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建宁县自然资源局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val="0"/>
          <w:bCs/>
          <w:color w:val="auto"/>
          <w:sz w:val="44"/>
          <w:szCs w:val="44"/>
          <w:highlight w:val="none"/>
        </w:rPr>
        <w:t>201</w:t>
      </w:r>
      <w:r>
        <w:rPr>
          <w:rFonts w:hint="eastAsia" w:ascii="方正小标宋简体" w:hAnsi="方正小标宋简体" w:eastAsia="方正小标宋简体" w:cs="方正小标宋简体"/>
          <w:b w:val="0"/>
          <w:bCs/>
          <w:color w:val="auto"/>
          <w:sz w:val="44"/>
          <w:szCs w:val="44"/>
          <w:highlight w:val="none"/>
          <w:lang w:val="en-US" w:eastAsia="zh-CN"/>
        </w:rPr>
        <w:t>9</w:t>
      </w:r>
      <w:r>
        <w:rPr>
          <w:rFonts w:hint="eastAsia" w:ascii="方正小标宋简体" w:hAnsi="方正小标宋简体" w:eastAsia="方正小标宋简体" w:cs="方正小标宋简体"/>
          <w:b w:val="0"/>
          <w:bCs/>
          <w:color w:val="auto"/>
          <w:sz w:val="44"/>
          <w:szCs w:val="44"/>
          <w:highlight w:val="none"/>
        </w:rPr>
        <w:t>年政府信息公开工作年度报告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_GB2312" w:hAnsi="仿宋_GB2312" w:eastAsia="仿宋_GB2312" w:cs="仿宋_GB2312"/>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outlineLvl w:val="9"/>
        <w:rPr>
          <w:rFonts w:hint="eastAsia" w:ascii="黑体" w:eastAsia="黑体"/>
          <w:color w:val="auto"/>
          <w:sz w:val="32"/>
          <w:szCs w:val="32"/>
          <w:highlight w:val="none"/>
        </w:rPr>
      </w:pPr>
      <w:r>
        <w:rPr>
          <w:rFonts w:hint="eastAsia" w:ascii="黑体" w:eastAsia="黑体"/>
          <w:color w:val="auto"/>
          <w:sz w:val="32"/>
          <w:szCs w:val="32"/>
          <w:highlight w:val="none"/>
        </w:rPr>
        <w:t>引言</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firstLineChars="200"/>
        <w:jc w:val="both"/>
        <w:outlineLvl w:val="9"/>
        <w:rPr>
          <w:rFonts w:hint="eastAsia" w:ascii="黑体" w:hAnsi="黑体" w:eastAsia="黑体" w:cs="黑体"/>
          <w:sz w:val="32"/>
          <w:szCs w:val="28"/>
        </w:rPr>
      </w:pPr>
      <w:r>
        <w:rPr>
          <w:rFonts w:hint="eastAsia" w:ascii="仿宋_GB2312" w:eastAsia="仿宋_GB2312"/>
          <w:color w:val="auto"/>
          <w:sz w:val="32"/>
          <w:szCs w:val="32"/>
          <w:highlight w:val="none"/>
        </w:rPr>
        <w:t>根据《中华人民共和国政府信息公开条例》《福建省政府信息公开办法》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建宁县</w:t>
      </w:r>
      <w:r>
        <w:rPr>
          <w:rFonts w:hint="eastAsia" w:ascii="仿宋_GB2312" w:eastAsia="仿宋_GB2312"/>
          <w:color w:val="auto"/>
          <w:sz w:val="32"/>
          <w:szCs w:val="32"/>
          <w:highlight w:val="none"/>
          <w:lang w:eastAsia="zh-CN"/>
        </w:rPr>
        <w:t>人民</w:t>
      </w:r>
      <w:r>
        <w:rPr>
          <w:rFonts w:hint="eastAsia" w:ascii="仿宋_GB2312" w:eastAsia="仿宋_GB2312"/>
          <w:color w:val="auto"/>
          <w:sz w:val="32"/>
          <w:szCs w:val="32"/>
          <w:highlight w:val="none"/>
        </w:rPr>
        <w:t>政府</w:t>
      </w:r>
      <w:r>
        <w:rPr>
          <w:rFonts w:hint="eastAsia" w:ascii="仿宋_GB2312" w:eastAsia="仿宋_GB2312"/>
          <w:color w:val="auto"/>
          <w:sz w:val="32"/>
          <w:szCs w:val="32"/>
          <w:highlight w:val="none"/>
          <w:lang w:eastAsia="zh-CN"/>
        </w:rPr>
        <w:t>办公室</w:t>
      </w:r>
      <w:r>
        <w:rPr>
          <w:rFonts w:hint="eastAsia" w:ascii="仿宋_GB2312" w:eastAsia="仿宋_GB2312"/>
          <w:color w:val="auto"/>
          <w:sz w:val="32"/>
          <w:szCs w:val="32"/>
          <w:highlight w:val="none"/>
        </w:rPr>
        <w:t>关于做好201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年政府信息公开工作年度报告</w:t>
      </w:r>
      <w:r>
        <w:rPr>
          <w:rFonts w:hint="eastAsia" w:ascii="仿宋_GB2312" w:eastAsia="仿宋_GB2312"/>
          <w:color w:val="auto"/>
          <w:sz w:val="32"/>
          <w:szCs w:val="32"/>
          <w:highlight w:val="none"/>
          <w:lang w:eastAsia="zh-CN"/>
        </w:rPr>
        <w:t>编制发布</w:t>
      </w:r>
      <w:r>
        <w:rPr>
          <w:rFonts w:hint="eastAsia" w:ascii="仿宋_GB2312" w:eastAsia="仿宋_GB2312"/>
          <w:color w:val="auto"/>
          <w:sz w:val="32"/>
          <w:szCs w:val="32"/>
          <w:highlight w:val="none"/>
        </w:rPr>
        <w:t>的通知</w:t>
      </w:r>
      <w:r>
        <w:rPr>
          <w:rFonts w:hint="eastAsia" w:ascii="仿宋_GB2312" w:eastAsia="仿宋_GB2312"/>
          <w:color w:val="auto"/>
          <w:sz w:val="32"/>
          <w:szCs w:val="32"/>
          <w:highlight w:val="none"/>
          <w:lang w:eastAsia="zh-CN"/>
        </w:rPr>
        <w:t>》精神</w:t>
      </w:r>
      <w:r>
        <w:rPr>
          <w:rFonts w:hint="eastAsia" w:ascii="仿宋_GB2312" w:eastAsia="仿宋_GB2312"/>
          <w:color w:val="auto"/>
          <w:sz w:val="32"/>
          <w:szCs w:val="32"/>
          <w:highlight w:val="none"/>
        </w:rPr>
        <w:t>，组织编制建宁县</w:t>
      </w:r>
      <w:r>
        <w:rPr>
          <w:rFonts w:hint="eastAsia" w:ascii="仿宋_GB2312" w:eastAsia="仿宋_GB2312"/>
          <w:color w:val="auto"/>
          <w:sz w:val="32"/>
          <w:szCs w:val="32"/>
          <w:highlight w:val="none"/>
          <w:lang w:eastAsia="zh-CN"/>
        </w:rPr>
        <w:t>自然</w:t>
      </w:r>
      <w:r>
        <w:rPr>
          <w:rFonts w:hint="eastAsia" w:ascii="仿宋_GB2312" w:eastAsia="仿宋_GB2312"/>
          <w:color w:val="auto"/>
          <w:sz w:val="32"/>
          <w:szCs w:val="32"/>
          <w:highlight w:val="none"/>
        </w:rPr>
        <w:t>资源局20</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年政府信息公开年度报告。本年报中所列数据的统计期限自</w:t>
      </w:r>
      <w:r>
        <w:rPr>
          <w:rFonts w:hint="eastAsia" w:ascii="仿宋_GB2312" w:eastAsia="仿宋_GB2312"/>
          <w:color w:val="auto"/>
          <w:sz w:val="32"/>
          <w:szCs w:val="32"/>
          <w:highlight w:val="none"/>
          <w:lang w:eastAsia="zh-CN"/>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rPr>
        <w:t>1月1日起至</w:t>
      </w:r>
      <w:r>
        <w:rPr>
          <w:rFonts w:hint="eastAsia" w:ascii="仿宋_GB2312" w:eastAsia="仿宋_GB2312"/>
          <w:color w:val="auto"/>
          <w:sz w:val="32"/>
          <w:szCs w:val="32"/>
          <w:highlight w:val="none"/>
          <w:lang w:eastAsia="zh-CN"/>
        </w:rPr>
        <w:t>201</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rPr>
        <w:t>12月31日止，可在</w:t>
      </w:r>
      <w:r>
        <w:rPr>
          <w:rFonts w:hint="eastAsia" w:ascii="仿宋_GB2312" w:eastAsia="仿宋_GB2312"/>
          <w:color w:val="auto"/>
          <w:sz w:val="32"/>
          <w:szCs w:val="32"/>
          <w:highlight w:val="none"/>
          <w:lang w:eastAsia="zh-CN"/>
        </w:rPr>
        <w:t>建宁县人民政府</w:t>
      </w:r>
      <w:r>
        <w:rPr>
          <w:rFonts w:hint="eastAsia" w:ascii="仿宋_GB2312" w:eastAsia="仿宋_GB2312"/>
          <w:color w:val="auto"/>
          <w:sz w:val="32"/>
          <w:szCs w:val="32"/>
          <w:highlight w:val="none"/>
        </w:rPr>
        <w:t>网站</w:t>
      </w:r>
      <w:r>
        <w:rPr>
          <w:rFonts w:hint="eastAsia" w:ascii="仿宋_GB2312" w:eastAsia="仿宋_GB2312"/>
          <w:color w:val="auto"/>
          <w:sz w:val="32"/>
          <w:szCs w:val="32"/>
          <w:highlight w:val="none"/>
          <w:lang w:eastAsia="zh-CN"/>
        </w:rPr>
        <w:t>政府信息公开专栏</w:t>
      </w:r>
      <w:r>
        <w:rPr>
          <w:rFonts w:hint="eastAsia" w:ascii="仿宋_GB2312" w:eastAsia="仿宋_GB2312"/>
          <w:color w:val="auto"/>
          <w:sz w:val="32"/>
          <w:szCs w:val="32"/>
          <w:highlight w:val="none"/>
        </w:rPr>
        <w:t>http://www.fjjn.gov.cn/zfxxgkzl/zfxxgkndbg/xzfcydw1/gtzyj/下载本年度报告电子版。如对本报告有任何疑问，请联系：建宁县</w:t>
      </w:r>
      <w:r>
        <w:rPr>
          <w:rFonts w:hint="eastAsia" w:ascii="仿宋_GB2312" w:eastAsia="仿宋_GB2312"/>
          <w:color w:val="auto"/>
          <w:sz w:val="32"/>
          <w:szCs w:val="32"/>
          <w:highlight w:val="none"/>
          <w:lang w:eastAsia="zh-CN"/>
        </w:rPr>
        <w:t>自然</w:t>
      </w:r>
      <w:r>
        <w:rPr>
          <w:rFonts w:hint="eastAsia" w:ascii="仿宋_GB2312" w:eastAsia="仿宋_GB2312"/>
          <w:color w:val="auto"/>
          <w:sz w:val="32"/>
          <w:szCs w:val="32"/>
          <w:highlight w:val="none"/>
        </w:rPr>
        <w:t>资源局政府信息公开工作领导小组办公室，联系电话：0598-3982896，电子邮件：jngt3982896@163.com。</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28"/>
        </w:rPr>
      </w:pPr>
      <w:r>
        <w:rPr>
          <w:rFonts w:hint="eastAsia" w:ascii="黑体" w:hAnsi="黑体" w:eastAsia="黑体" w:cs="黑体"/>
          <w:sz w:val="32"/>
          <w:szCs w:val="28"/>
        </w:rPr>
        <w:t>一、总体情况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kern w:val="0"/>
          <w:sz w:val="32"/>
          <w:szCs w:val="32"/>
        </w:rPr>
      </w:pPr>
      <w:r>
        <w:rPr>
          <w:rFonts w:hint="eastAsia" w:ascii="Times New Roman" w:hAnsi="Times New Roman" w:eastAsia="仿宋_GB2312"/>
          <w:kern w:val="0"/>
          <w:sz w:val="32"/>
          <w:szCs w:val="32"/>
          <w:lang w:eastAsia="zh-CN"/>
        </w:rPr>
        <w:t>我局</w:t>
      </w:r>
      <w:r>
        <w:rPr>
          <w:rFonts w:ascii="Times New Roman" w:hAnsi="Times New Roman" w:eastAsia="仿宋_GB2312"/>
          <w:kern w:val="0"/>
          <w:sz w:val="32"/>
          <w:szCs w:val="32"/>
        </w:rPr>
        <w:t>坚持以习近平新时代中国特色社会主义思想为指导，认真学习贯彻习近平生态文明思想，</w:t>
      </w:r>
      <w:r>
        <w:rPr>
          <w:rFonts w:hint="eastAsia" w:ascii="Times New Roman" w:hAnsi="Times New Roman" w:eastAsia="仿宋_GB2312"/>
          <w:kern w:val="0"/>
          <w:sz w:val="32"/>
          <w:szCs w:val="32"/>
        </w:rPr>
        <w:t>深入</w:t>
      </w:r>
      <w:r>
        <w:rPr>
          <w:rFonts w:ascii="Times New Roman" w:hAnsi="Times New Roman" w:eastAsia="仿宋_GB2312"/>
          <w:kern w:val="0"/>
          <w:sz w:val="32"/>
          <w:szCs w:val="32"/>
        </w:rPr>
        <w:t>落实</w:t>
      </w:r>
      <w:r>
        <w:rPr>
          <w:rFonts w:hint="eastAsia" w:ascii="Times New Roman" w:hAnsi="Times New Roman" w:eastAsia="仿宋_GB2312"/>
          <w:kern w:val="0"/>
          <w:sz w:val="32"/>
          <w:szCs w:val="32"/>
          <w:lang w:eastAsia="zh-CN"/>
        </w:rPr>
        <w:t>各级</w:t>
      </w:r>
      <w:r>
        <w:rPr>
          <w:rFonts w:hint="eastAsia" w:ascii="Times New Roman" w:hAnsi="Times New Roman" w:eastAsia="仿宋_GB2312"/>
          <w:kern w:val="0"/>
          <w:sz w:val="32"/>
          <w:szCs w:val="32"/>
        </w:rPr>
        <w:t>关于全面推进政务公开工作的系列</w:t>
      </w:r>
      <w:r>
        <w:rPr>
          <w:rFonts w:ascii="Times New Roman" w:hAnsi="Times New Roman" w:eastAsia="仿宋_GB2312"/>
          <w:kern w:val="0"/>
          <w:sz w:val="32"/>
          <w:szCs w:val="32"/>
        </w:rPr>
        <w:t>部署，</w:t>
      </w:r>
      <w:r>
        <w:rPr>
          <w:rFonts w:hint="eastAsia" w:ascii="Times New Roman" w:hAnsi="Times New Roman" w:eastAsia="仿宋_GB2312"/>
          <w:kern w:val="0"/>
          <w:sz w:val="32"/>
          <w:szCs w:val="32"/>
        </w:rPr>
        <w:t>大力</w:t>
      </w:r>
      <w:r>
        <w:rPr>
          <w:rFonts w:ascii="Times New Roman" w:hAnsi="Times New Roman" w:eastAsia="仿宋_GB2312"/>
          <w:kern w:val="0"/>
          <w:sz w:val="32"/>
          <w:szCs w:val="32"/>
        </w:rPr>
        <w:t>推进自然资源领域决策、执行、管理、服务、结果公开，扩大公众参与</w:t>
      </w:r>
      <w:r>
        <w:rPr>
          <w:rFonts w:hint="eastAsia" w:ascii="Times New Roman" w:hAnsi="Times New Roman" w:eastAsia="仿宋_GB2312"/>
          <w:kern w:val="0"/>
          <w:sz w:val="32"/>
          <w:szCs w:val="32"/>
          <w:lang w:eastAsia="zh-CN"/>
        </w:rPr>
        <w:t>面</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不断提升</w:t>
      </w:r>
      <w:r>
        <w:rPr>
          <w:rFonts w:ascii="Times New Roman" w:hAnsi="Times New Roman" w:eastAsia="仿宋_GB2312"/>
          <w:kern w:val="0"/>
          <w:sz w:val="32"/>
          <w:szCs w:val="32"/>
        </w:rPr>
        <w:t>政务公开</w:t>
      </w:r>
      <w:r>
        <w:rPr>
          <w:rFonts w:hint="eastAsia" w:ascii="Times New Roman" w:hAnsi="Times New Roman" w:eastAsia="仿宋_GB2312"/>
          <w:kern w:val="0"/>
          <w:sz w:val="32"/>
          <w:szCs w:val="32"/>
        </w:rPr>
        <w:t>的质量和</w:t>
      </w:r>
      <w:r>
        <w:rPr>
          <w:rFonts w:ascii="Times New Roman" w:hAnsi="Times New Roman" w:eastAsia="仿宋_GB2312"/>
          <w:kern w:val="0"/>
          <w:sz w:val="32"/>
          <w:szCs w:val="32"/>
        </w:rPr>
        <w:t>实效，有力保障公众知情权、表达权、参与权、监督权，</w:t>
      </w:r>
      <w:r>
        <w:rPr>
          <w:rFonts w:hint="eastAsia" w:ascii="Times New Roman" w:hAnsi="Times New Roman" w:eastAsia="仿宋_GB2312"/>
          <w:kern w:val="0"/>
          <w:sz w:val="32"/>
          <w:szCs w:val="32"/>
        </w:rPr>
        <w:t>推动</w:t>
      </w:r>
      <w:r>
        <w:rPr>
          <w:rFonts w:ascii="Times New Roman" w:hAnsi="Times New Roman" w:eastAsia="仿宋_GB2312"/>
          <w:kern w:val="0"/>
          <w:sz w:val="32"/>
          <w:szCs w:val="32"/>
        </w:rPr>
        <w:t>落实新发展理念，促进高质量发展。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28"/>
          <w:lang w:eastAsia="zh-CN"/>
        </w:rPr>
      </w:pPr>
      <w:r>
        <w:rPr>
          <w:rFonts w:hint="eastAsia" w:ascii="楷体_GB2312" w:hAnsi="楷体_GB2312" w:eastAsia="楷体_GB2312" w:cs="楷体_GB2312"/>
          <w:sz w:val="32"/>
          <w:szCs w:val="28"/>
          <w:lang w:eastAsia="zh-CN"/>
        </w:rPr>
        <w:t>（一）主动公开情况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1.大力推进重点领域信息公开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对于涉及土地报批、土地出让、不动产登记、</w:t>
      </w:r>
      <w:r>
        <w:rPr>
          <w:rFonts w:hint="eastAsia" w:ascii="仿宋_GB2312" w:hAnsi="仿宋_GB2312" w:eastAsia="仿宋_GB2312" w:cs="仿宋_GB2312"/>
          <w:sz w:val="32"/>
          <w:szCs w:val="28"/>
          <w:lang w:eastAsia="zh-CN"/>
        </w:rPr>
        <w:t>征拆迁工作、采矿权、</w:t>
      </w:r>
      <w:r>
        <w:rPr>
          <w:rFonts w:hint="eastAsia" w:ascii="仿宋_GB2312" w:hAnsi="仿宋_GB2312" w:eastAsia="仿宋_GB2312" w:cs="仿宋_GB2312"/>
          <w:sz w:val="32"/>
          <w:szCs w:val="28"/>
          <w:lang w:val="en-US" w:eastAsia="zh-CN"/>
        </w:rPr>
        <w:t>行政处罚结果信息等重点领域相关内容均在政府独立门户网专栏栏目予以公开；对于建设用地、工业用地使用权及矿产资源采矿权招拍挂出让，均通过规定网站依法依程序进行公开，方便社会各界群众咨询、办事和部门监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推进“放管服”改革信息公开</w:t>
      </w:r>
    </w:p>
    <w:p>
      <w:pPr>
        <w:spacing w:line="560" w:lineRule="exact"/>
        <w:ind w:firstLine="640" w:firstLineChars="200"/>
        <w:jc w:val="left"/>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）优化</w:t>
      </w:r>
      <w:r>
        <w:rPr>
          <w:rFonts w:hint="eastAsia" w:ascii="仿宋_GB2312" w:hAnsi="仿宋_GB2312" w:eastAsia="仿宋_GB2312" w:cs="仿宋_GB2312"/>
          <w:b w:val="0"/>
          <w:bCs w:val="0"/>
          <w:color w:val="000000"/>
          <w:sz w:val="32"/>
          <w:szCs w:val="32"/>
          <w:lang w:eastAsia="zh-CN"/>
        </w:rPr>
        <w:t>流程、集成服务。</w:t>
      </w:r>
      <w:r>
        <w:rPr>
          <w:rFonts w:hint="eastAsia" w:ascii="仿宋_GB2312" w:hAnsi="仿宋_GB2312" w:eastAsia="仿宋_GB2312" w:cs="仿宋_GB2312"/>
          <w:bCs/>
          <w:color w:val="000000"/>
          <w:sz w:val="32"/>
          <w:szCs w:val="32"/>
          <w:lang w:val="en-US" w:eastAsia="zh-CN"/>
        </w:rPr>
        <w:t>在保证不动产登记发证质量前提下，精简收件材料，简化审批方式，压缩流程时间，进一步方便企业和群众办事，提高工作效率，于2019年7月将对外承诺一般登记时间压缩至5个工作日、抵押登记时间压缩至3个工作日，于2019年11月29日公布了</w:t>
      </w:r>
      <w:r>
        <w:rPr>
          <w:rFonts w:hint="eastAsia" w:ascii="仿宋_GB2312" w:hAnsi="仿宋_GB2312" w:eastAsia="仿宋_GB2312" w:cs="仿宋_GB2312"/>
          <w:i w:val="0"/>
          <w:caps w:val="0"/>
          <w:color w:val="000000"/>
          <w:spacing w:val="0"/>
          <w:sz w:val="32"/>
          <w:szCs w:val="32"/>
          <w:shd w:val="clear" w:fill="FFFFFF"/>
        </w:rPr>
        <w:t>26种不动产</w:t>
      </w:r>
      <w:r>
        <w:rPr>
          <w:rFonts w:hint="eastAsia" w:ascii="仿宋_GB2312" w:hAnsi="仿宋_GB2312" w:eastAsia="仿宋_GB2312" w:cs="仿宋_GB2312"/>
          <w:i w:val="0"/>
          <w:caps w:val="0"/>
          <w:color w:val="000000"/>
          <w:spacing w:val="0"/>
          <w:sz w:val="32"/>
          <w:szCs w:val="32"/>
          <w:shd w:val="clear" w:fill="FFFFFF"/>
          <w:lang w:eastAsia="zh-CN"/>
        </w:rPr>
        <w:t>主要</w:t>
      </w:r>
      <w:r>
        <w:rPr>
          <w:rFonts w:hint="eastAsia" w:ascii="仿宋_GB2312" w:hAnsi="仿宋_GB2312" w:eastAsia="仿宋_GB2312" w:cs="仿宋_GB2312"/>
          <w:i w:val="0"/>
          <w:caps w:val="0"/>
          <w:color w:val="000000"/>
          <w:spacing w:val="0"/>
          <w:sz w:val="32"/>
          <w:szCs w:val="32"/>
          <w:shd w:val="clear" w:fill="FFFFFF"/>
        </w:rPr>
        <w:t>登记类型</w:t>
      </w:r>
      <w:r>
        <w:rPr>
          <w:rFonts w:hint="eastAsia" w:ascii="仿宋_GB2312" w:hAnsi="仿宋_GB2312" w:eastAsia="仿宋_GB2312" w:cs="仿宋_GB2312"/>
          <w:i w:val="0"/>
          <w:caps w:val="0"/>
          <w:color w:val="000000"/>
          <w:spacing w:val="0"/>
          <w:sz w:val="32"/>
          <w:szCs w:val="32"/>
          <w:shd w:val="clear" w:fill="FFFFFF"/>
          <w:lang w:eastAsia="zh-CN"/>
        </w:rPr>
        <w:t>流程优化图</w:t>
      </w:r>
      <w:r>
        <w:rPr>
          <w:rFonts w:hint="eastAsia" w:ascii="仿宋_GB2312" w:hAnsi="仿宋_GB2312" w:eastAsia="仿宋_GB2312" w:cs="仿宋_GB2312"/>
          <w:bCs/>
          <w:color w:val="000000"/>
          <w:sz w:val="32"/>
          <w:szCs w:val="32"/>
          <w:lang w:val="en-US" w:eastAsia="zh-CN"/>
        </w:rPr>
        <w:t>。</w:t>
      </w:r>
    </w:p>
    <w:p>
      <w:pPr>
        <w:spacing w:line="560" w:lineRule="exact"/>
        <w:ind w:firstLine="640" w:firstLineChars="200"/>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CN"/>
        </w:rPr>
        <w:t>）着力提升“互联网+”。</w:t>
      </w:r>
      <w:r>
        <w:rPr>
          <w:rFonts w:hint="eastAsia" w:ascii="仿宋_GB2312" w:hAnsi="仿宋_GB2312" w:eastAsia="仿宋_GB2312" w:cs="仿宋_GB2312"/>
          <w:sz w:val="32"/>
          <w:szCs w:val="32"/>
          <w:lang w:eastAsia="zh-CN"/>
        </w:rPr>
        <w:t>不动产登记</w:t>
      </w:r>
      <w:r>
        <w:rPr>
          <w:rFonts w:hint="eastAsia" w:ascii="仿宋_GB2312" w:hAnsi="仿宋_GB2312" w:eastAsia="仿宋_GB2312" w:cs="仿宋_GB2312"/>
          <w:sz w:val="32"/>
          <w:szCs w:val="32"/>
        </w:rPr>
        <w:t>中心不断</w:t>
      </w:r>
      <w:r>
        <w:rPr>
          <w:rFonts w:hint="eastAsia" w:ascii="仿宋_GB2312" w:hAnsi="仿宋_GB2312" w:eastAsia="仿宋_GB2312" w:cs="仿宋_GB2312"/>
          <w:color w:val="000000"/>
          <w:sz w:val="32"/>
          <w:szCs w:val="32"/>
        </w:rPr>
        <w:t>完善各项制度，按窗口规范化建设，强化工作责任，提高服务水平，提升办事效率，确保登记质量，保障</w:t>
      </w:r>
      <w:r>
        <w:rPr>
          <w:rFonts w:hint="eastAsia" w:ascii="仿宋_GB2312" w:hAnsi="仿宋_GB2312" w:eastAsia="仿宋_GB2312" w:cs="仿宋_GB2312"/>
          <w:bCs/>
          <w:color w:val="000000"/>
          <w:sz w:val="32"/>
          <w:szCs w:val="32"/>
        </w:rPr>
        <w:t>业务进行，不断创新推出“互联网+</w:t>
      </w:r>
      <w:r>
        <w:rPr>
          <w:rFonts w:hint="eastAsia" w:ascii="仿宋_GB2312" w:hAnsi="仿宋_GB2312" w:eastAsia="仿宋_GB2312" w:cs="仿宋_GB2312"/>
          <w:bCs/>
          <w:color w:val="000000"/>
          <w:sz w:val="32"/>
          <w:szCs w:val="32"/>
          <w:lang w:eastAsia="zh-CN"/>
        </w:rPr>
        <w:t>不动产</w:t>
      </w:r>
      <w:r>
        <w:rPr>
          <w:rFonts w:hint="eastAsia" w:ascii="仿宋_GB2312" w:hAnsi="仿宋_GB2312" w:eastAsia="仿宋_GB2312" w:cs="仿宋_GB2312"/>
          <w:bCs/>
          <w:color w:val="000000"/>
          <w:sz w:val="32"/>
          <w:szCs w:val="32"/>
        </w:rPr>
        <w:t>登记”。</w:t>
      </w:r>
      <w:r>
        <w:rPr>
          <w:rFonts w:hint="eastAsia" w:ascii="仿宋_GB2312" w:hAnsi="仿宋_GB2312" w:eastAsia="仿宋_GB2312" w:cs="仿宋_GB2312"/>
          <w:color w:val="000000"/>
          <w:sz w:val="32"/>
          <w:szCs w:val="32"/>
          <w:lang w:val="en-US" w:eastAsia="zh-CN"/>
        </w:rPr>
        <w:t>利用“建宁自然资源”微信公众号，向公众提供不动产登记的办事指南、政策法规，在大厅明显位置设置了微信公众号的二维码标识，方便公众利用微信查询不动产登记服务指南、一次性告知单等，并提供</w:t>
      </w:r>
      <w:r>
        <w:rPr>
          <w:rFonts w:hint="eastAsia" w:ascii="仿宋_GB2312" w:hAnsi="仿宋_GB2312" w:eastAsia="仿宋_GB2312" w:cs="仿宋_GB2312"/>
          <w:b w:val="0"/>
          <w:bCs w:val="0"/>
          <w:color w:val="000000"/>
          <w:sz w:val="32"/>
          <w:szCs w:val="32"/>
          <w:lang w:val="en-US" w:eastAsia="zh-CN"/>
        </w:rPr>
        <w:t>微信预约、发送领证短信</w:t>
      </w:r>
      <w:r>
        <w:rPr>
          <w:rFonts w:hint="eastAsia" w:ascii="仿宋_GB2312" w:hAnsi="仿宋_GB2312" w:eastAsia="仿宋_GB2312" w:cs="仿宋_GB2312"/>
          <w:color w:val="000000"/>
          <w:sz w:val="32"/>
          <w:szCs w:val="32"/>
          <w:lang w:val="en-US" w:eastAsia="zh-CN"/>
        </w:rPr>
        <w:t>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3.及时公开部门预决算信息</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按照</w:t>
      </w:r>
      <w:r>
        <w:rPr>
          <w:rFonts w:hint="eastAsia" w:ascii="Times New Roman" w:hAnsi="Times New Roman" w:eastAsia="仿宋_GB2312"/>
          <w:sz w:val="32"/>
          <w:szCs w:val="32"/>
          <w:lang w:eastAsia="zh-CN"/>
        </w:rPr>
        <w:t>县政府</w:t>
      </w:r>
      <w:r>
        <w:rPr>
          <w:rFonts w:ascii="Times New Roman" w:hAnsi="Times New Roman" w:eastAsia="仿宋_GB2312"/>
          <w:sz w:val="32"/>
          <w:szCs w:val="32"/>
        </w:rPr>
        <w:t>统一部署，于201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门户网站公开201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年部门预算，内容包括有关文字说明和所有应公开的部门预算表格</w:t>
      </w:r>
      <w:r>
        <w:rPr>
          <w:rFonts w:hint="eastAsia" w:ascii="Times New Roman" w:hAnsi="Times New Roman" w:eastAsia="仿宋_GB2312"/>
          <w:sz w:val="32"/>
          <w:szCs w:val="32"/>
          <w:lang w:eastAsia="zh-CN"/>
        </w:rPr>
        <w:t>。</w:t>
      </w:r>
      <w:r>
        <w:rPr>
          <w:rFonts w:ascii="Times New Roman" w:hAnsi="Times New Roman" w:eastAsia="仿宋_GB2312"/>
          <w:sz w:val="32"/>
          <w:szCs w:val="32"/>
        </w:rPr>
        <w:t>于201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月20日在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门户网站公开201</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年度部门决算，</w:t>
      </w:r>
      <w:r>
        <w:rPr>
          <w:rFonts w:hint="eastAsia" w:ascii="Times New Roman" w:hAnsi="Times New Roman" w:eastAsia="仿宋_GB2312"/>
          <w:sz w:val="32"/>
          <w:szCs w:val="32"/>
          <w:lang w:eastAsia="zh-CN"/>
        </w:rPr>
        <w:t>内容包括部门概况、</w:t>
      </w:r>
      <w:r>
        <w:rPr>
          <w:rFonts w:hint="eastAsia" w:ascii="Times New Roman" w:hAnsi="Times New Roman" w:eastAsia="仿宋_GB2312"/>
          <w:sz w:val="32"/>
          <w:szCs w:val="32"/>
          <w:lang w:val="en-US" w:eastAsia="zh-CN"/>
        </w:rPr>
        <w:t>2018年度部门决算表、2018年度部门决算情况说明</w:t>
      </w:r>
      <w:r>
        <w:rPr>
          <w:rFonts w:hint="eastAsia" w:ascii="Times New Roman" w:hAnsi="Times New Roman" w:eastAsia="仿宋_GB2312"/>
          <w:sz w:val="32"/>
          <w:szCs w:val="32"/>
          <w:lang w:eastAsia="zh-CN"/>
        </w:rPr>
        <w:t>。</w:t>
      </w:r>
      <w:r>
        <w:rPr>
          <w:rFonts w:ascii="Times New Roman" w:hAnsi="Times New Roman" w:eastAsia="仿宋_GB2312"/>
          <w:sz w:val="32"/>
          <w:szCs w:val="32"/>
        </w:rPr>
        <w:t>并在</w:t>
      </w:r>
      <w:r>
        <w:rPr>
          <w:rFonts w:hint="eastAsia" w:ascii="Times New Roman" w:hAnsi="Times New Roman" w:eastAsia="仿宋_GB2312"/>
          <w:sz w:val="32"/>
          <w:szCs w:val="32"/>
          <w:lang w:eastAsia="zh-CN"/>
        </w:rPr>
        <w:t>政府</w:t>
      </w:r>
      <w:r>
        <w:rPr>
          <w:rFonts w:ascii="Times New Roman" w:hAnsi="Times New Roman" w:eastAsia="仿宋_GB2312"/>
          <w:sz w:val="32"/>
          <w:szCs w:val="32"/>
        </w:rPr>
        <w:t>户网站预决算公开专栏汇总集中近年来预决算公开信息，便于社会公众查询监督。</w:t>
      </w:r>
    </w:p>
    <w:p>
      <w:pPr>
        <w:spacing w:line="360" w:lineRule="auto"/>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w:t>
      </w:r>
      <w:bookmarkStart w:id="0" w:name="_GoBack"/>
      <w:bookmarkEnd w:id="0"/>
      <w:r>
        <w:rPr>
          <w:rFonts w:hint="eastAsia" w:ascii="楷体_GB2312" w:hAnsi="楷体_GB2312" w:eastAsia="楷体_GB2312" w:cs="楷体_GB2312"/>
          <w:sz w:val="32"/>
          <w:szCs w:val="32"/>
          <w:lang w:eastAsia="zh-CN"/>
        </w:rPr>
        <w:t>）依申请公开情况</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left"/>
        <w:outlineLvl w:val="9"/>
        <w:rPr>
          <w:rFonts w:hint="eastAsia" w:ascii="仿宋_GB2312" w:hAnsi="仿宋_GB2312" w:eastAsia="仿宋_GB2312" w:cs="仿宋_GB2312"/>
          <w:b w:val="0"/>
          <w:i w:val="0"/>
          <w:caps w:val="0"/>
          <w:color w:val="auto"/>
          <w:spacing w:val="0"/>
          <w:sz w:val="32"/>
          <w:szCs w:val="32"/>
          <w:highlight w:val="none"/>
          <w:shd w:val="clear" w:color="auto" w:fill="FFFFFF"/>
        </w:rPr>
      </w:pP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201</w:t>
      </w:r>
      <w:r>
        <w:rPr>
          <w:rFonts w:hint="eastAsia" w:ascii="仿宋_GB2312" w:hAnsi="仿宋_GB2312" w:eastAsia="仿宋_GB2312" w:cs="仿宋_GB2312"/>
          <w:b w:val="0"/>
          <w:i w:val="0"/>
          <w:caps w:val="0"/>
          <w:color w:val="auto"/>
          <w:spacing w:val="0"/>
          <w:sz w:val="32"/>
          <w:szCs w:val="32"/>
          <w:highlight w:val="none"/>
          <w:shd w:val="clear" w:color="auto" w:fill="FFFFFF"/>
          <w:lang w:val="en-US" w:eastAsia="zh-CN"/>
        </w:rPr>
        <w:t>9</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年</w:t>
      </w:r>
      <w:r>
        <w:rPr>
          <w:rFonts w:hint="eastAsia" w:ascii="仿宋_GB2312" w:hAnsi="仿宋_GB2312" w:eastAsia="仿宋_GB2312" w:cs="仿宋_GB2312"/>
          <w:b w:val="0"/>
          <w:i w:val="0"/>
          <w:caps w:val="0"/>
          <w:color w:val="auto"/>
          <w:spacing w:val="0"/>
          <w:sz w:val="32"/>
          <w:szCs w:val="32"/>
          <w:highlight w:val="none"/>
          <w:shd w:val="clear" w:color="auto" w:fill="FFFFFF"/>
        </w:rPr>
        <w:t>度尚未收到涉及</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自然</w:t>
      </w:r>
      <w:r>
        <w:rPr>
          <w:rFonts w:hint="eastAsia" w:ascii="仿宋_GB2312" w:hAnsi="仿宋_GB2312" w:eastAsia="仿宋_GB2312" w:cs="仿宋_GB2312"/>
          <w:b w:val="0"/>
          <w:i w:val="0"/>
          <w:caps w:val="0"/>
          <w:color w:val="auto"/>
          <w:spacing w:val="0"/>
          <w:sz w:val="32"/>
          <w:szCs w:val="32"/>
          <w:highlight w:val="none"/>
          <w:shd w:val="clear" w:color="auto" w:fill="FFFFFF"/>
        </w:rPr>
        <w:t>资源管理政府信息公开的申请件</w:t>
      </w: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，特此说明</w:t>
      </w:r>
      <w:r>
        <w:rPr>
          <w:rFonts w:hint="eastAsia" w:ascii="仿宋_GB2312" w:hAnsi="仿宋_GB2312" w:eastAsia="仿宋_GB2312" w:cs="仿宋_GB2312"/>
          <w:b w:val="0"/>
          <w:i w:val="0"/>
          <w:caps w:val="0"/>
          <w:color w:val="auto"/>
          <w:spacing w:val="0"/>
          <w:sz w:val="32"/>
          <w:szCs w:val="32"/>
          <w:highlight w:val="none"/>
          <w:shd w:val="clear" w:color="auto" w:fill="FFFFFF"/>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0" w:leftChars="0" w:right="0" w:rightChars="0" w:firstLine="640" w:firstLineChars="200"/>
        <w:jc w:val="left"/>
        <w:outlineLvl w:val="9"/>
        <w:rPr>
          <w:rFonts w:hint="eastAsia" w:ascii="楷体_GB2312" w:hAnsi="楷体_GB2312" w:eastAsia="楷体_GB2312" w:cs="楷体_GB2312"/>
          <w:b w:val="0"/>
          <w:i w:val="0"/>
          <w:caps w:val="0"/>
          <w:color w:val="auto"/>
          <w:spacing w:val="0"/>
          <w:sz w:val="32"/>
          <w:szCs w:val="32"/>
          <w:highlight w:val="none"/>
          <w:shd w:val="clear" w:color="auto" w:fill="FFFFFF"/>
          <w:lang w:eastAsia="zh-CN"/>
        </w:rPr>
      </w:pPr>
      <w:r>
        <w:rPr>
          <w:rFonts w:hint="eastAsia" w:ascii="楷体_GB2312" w:hAnsi="楷体_GB2312" w:eastAsia="楷体_GB2312" w:cs="楷体_GB2312"/>
          <w:b w:val="0"/>
          <w:i w:val="0"/>
          <w:caps w:val="0"/>
          <w:color w:val="auto"/>
          <w:spacing w:val="0"/>
          <w:sz w:val="32"/>
          <w:szCs w:val="32"/>
          <w:highlight w:val="none"/>
          <w:shd w:val="clear" w:color="auto" w:fill="FFFFFF"/>
          <w:lang w:eastAsia="zh-CN"/>
        </w:rPr>
        <w:t>（三）政务新媒体建设情况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i w:val="0"/>
          <w:caps w:val="0"/>
          <w:color w:val="auto"/>
          <w:spacing w:val="0"/>
          <w:sz w:val="32"/>
          <w:szCs w:val="32"/>
          <w:highlight w:val="none"/>
          <w:shd w:val="clear" w:color="auto" w:fill="FFFFFF"/>
          <w:lang w:eastAsia="zh-CN"/>
        </w:rPr>
      </w:pPr>
      <w:r>
        <w:rPr>
          <w:rFonts w:hint="eastAsia" w:ascii="仿宋_GB2312" w:hAnsi="仿宋_GB2312" w:eastAsia="仿宋_GB2312" w:cs="仿宋_GB2312"/>
          <w:b w:val="0"/>
          <w:i w:val="0"/>
          <w:caps w:val="0"/>
          <w:color w:val="auto"/>
          <w:spacing w:val="0"/>
          <w:sz w:val="32"/>
          <w:szCs w:val="32"/>
          <w:highlight w:val="none"/>
          <w:shd w:val="clear" w:color="auto" w:fill="FFFFFF"/>
          <w:lang w:eastAsia="zh-CN"/>
        </w:rPr>
        <w:t>我局制定了《建宁县自然资源局微信公众号管理办法》《中共建宁县自然资源局党组关于网络舆论引导和舆情处置工作方案》等，明确了微信公众号信息发布审查制度、安全管理制度、保密审查制度、应急处置及舆情处置等制度。在公众号上设置“概况信息、便民服务、联系我们”等栏目，主动公开局主要职责、内设机构、办事指南等信息，方便群众知晓政策，畅通群众沟通、反馈渠道。同时依托微信公众号，积极宣传自然资源法律法规和相关政策、局工作开展情况，讲解永久基本农田保护、地灾防治、自然资源管理、不动产权证办理、第三次全国土地调查、脱贫攻坚政策宣传、安全生产等知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（四）监督保障情况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rPr>
      </w:pPr>
      <w:r>
        <w:rPr>
          <w:rFonts w:hint="eastAsia" w:ascii="Times New Roman" w:hAnsi="Times New Roman" w:eastAsia="仿宋_GB2312"/>
          <w:sz w:val="32"/>
          <w:szCs w:val="32"/>
          <w:lang w:val="en-US" w:eastAsia="zh-CN"/>
        </w:rPr>
        <w:t>结合实际研究制定了《建宁县自然资源局政务公开工作实施方案》，成立领导小组及工作机构，确保政务信息公开工作顺利开展。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28"/>
        </w:rPr>
      </w:pPr>
      <w:r>
        <w:rPr>
          <w:rFonts w:hint="eastAsia" w:ascii="黑体" w:hAnsi="黑体" w:eastAsia="黑体" w:cs="黑体"/>
          <w:sz w:val="32"/>
          <w:szCs w:val="28"/>
        </w:rPr>
        <w:t>二、主动公开政府信息情况</w:t>
      </w:r>
    </w:p>
    <w:tbl>
      <w:tblPr>
        <w:tblStyle w:val="6"/>
        <w:tblW w:w="8401" w:type="dxa"/>
        <w:jc w:val="center"/>
        <w:tblInd w:w="0" w:type="dxa"/>
        <w:tblLayout w:type="fixed"/>
        <w:tblCellMar>
          <w:top w:w="15" w:type="dxa"/>
          <w:left w:w="15" w:type="dxa"/>
          <w:bottom w:w="15" w:type="dxa"/>
          <w:right w:w="15" w:type="dxa"/>
        </w:tblCellMar>
      </w:tblPr>
      <w:tblGrid>
        <w:gridCol w:w="2714"/>
        <w:gridCol w:w="2000"/>
        <w:gridCol w:w="1650"/>
        <w:gridCol w:w="2037"/>
      </w:tblGrid>
      <w:tr>
        <w:tblPrEx>
          <w:tblLayout w:type="fixed"/>
          <w:tblCellMar>
            <w:top w:w="15" w:type="dxa"/>
            <w:left w:w="15" w:type="dxa"/>
            <w:bottom w:w="15" w:type="dxa"/>
            <w:right w:w="15" w:type="dxa"/>
          </w:tblCellMar>
        </w:tblPrEx>
        <w:trPr>
          <w:trHeight w:val="495" w:hRule="atLeast"/>
          <w:jc w:val="center"/>
        </w:trPr>
        <w:tc>
          <w:tcPr>
            <w:tcW w:w="8401"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第二十条第（一）项</w:t>
            </w:r>
          </w:p>
        </w:tc>
      </w:tr>
      <w:tr>
        <w:tblPrEx>
          <w:tblLayout w:type="fixed"/>
          <w:tblCellMar>
            <w:top w:w="15" w:type="dxa"/>
            <w:left w:w="15" w:type="dxa"/>
            <w:bottom w:w="15" w:type="dxa"/>
            <w:right w:w="15" w:type="dxa"/>
          </w:tblCellMar>
        </w:tblPrEx>
        <w:trPr>
          <w:trHeight w:val="9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本年新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kern w:val="0"/>
                <w:sz w:val="24"/>
                <w:szCs w:val="24"/>
                <w:lang w:bidi="ar"/>
              </w:rPr>
              <w:t>制作数量</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本年新</w:t>
            </w:r>
            <w:r>
              <w:rPr>
                <w:rFonts w:hint="eastAsia" w:ascii="仿宋_GB2312" w:hAnsi="仿宋_GB2312" w:eastAsia="仿宋_GB2312" w:cs="仿宋_GB2312"/>
                <w:color w:val="000000"/>
                <w:kern w:val="0"/>
                <w:sz w:val="24"/>
                <w:szCs w:val="24"/>
                <w:lang w:bidi="ar"/>
              </w:rPr>
              <w:br w:type="textWrapping"/>
            </w:r>
            <w:r>
              <w:rPr>
                <w:rFonts w:hint="eastAsia" w:ascii="仿宋_GB2312" w:hAnsi="仿宋_GB2312" w:eastAsia="仿宋_GB2312" w:cs="仿宋_GB2312"/>
                <w:kern w:val="0"/>
                <w:sz w:val="24"/>
                <w:szCs w:val="24"/>
                <w:lang w:bidi="ar"/>
              </w:rPr>
              <w:t>公开数量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对外公开总数量</w:t>
            </w:r>
          </w:p>
        </w:tc>
      </w:tr>
      <w:tr>
        <w:tblPrEx>
          <w:tblLayout w:type="fixed"/>
          <w:tblCellMar>
            <w:top w:w="15" w:type="dxa"/>
            <w:left w:w="15" w:type="dxa"/>
            <w:bottom w:w="15" w:type="dxa"/>
            <w:right w:w="15" w:type="dxa"/>
          </w:tblCellMar>
        </w:tblPrEx>
        <w:trPr>
          <w:trHeight w:val="508"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规章</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c>
          <w:tcPr>
            <w:tcW w:w="16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0</w:t>
            </w:r>
          </w:p>
        </w:tc>
      </w:tr>
      <w:tr>
        <w:tblPrEx>
          <w:tblLayout w:type="fixed"/>
          <w:tblCellMar>
            <w:top w:w="15" w:type="dxa"/>
            <w:left w:w="15" w:type="dxa"/>
            <w:bottom w:w="15" w:type="dxa"/>
            <w:right w:w="15" w:type="dxa"/>
          </w:tblCellMar>
        </w:tblPrEx>
        <w:trPr>
          <w:trHeight w:val="471"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规范性文件</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c>
          <w:tcPr>
            <w:tcW w:w="16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val="en-US" w:eastAsia="zh-CN" w:bidi="ar"/>
              </w:rPr>
              <w:t>0</w:t>
            </w:r>
          </w:p>
        </w:tc>
      </w:tr>
      <w:tr>
        <w:tblPrEx>
          <w:tblLayout w:type="fixed"/>
          <w:tblCellMar>
            <w:top w:w="15" w:type="dxa"/>
            <w:left w:w="15" w:type="dxa"/>
            <w:bottom w:w="15" w:type="dxa"/>
            <w:right w:w="15" w:type="dxa"/>
          </w:tblCellMar>
        </w:tblPrEx>
        <w:trPr>
          <w:trHeight w:val="480"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第二十条第（五）项</w:t>
            </w:r>
          </w:p>
        </w:tc>
      </w:tr>
      <w:tr>
        <w:tblPrEx>
          <w:tblLayout w:type="fixed"/>
          <w:tblCellMar>
            <w:top w:w="15" w:type="dxa"/>
            <w:left w:w="15" w:type="dxa"/>
            <w:bottom w:w="15" w:type="dxa"/>
            <w:right w:w="15"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上一年项目数量</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本年增/减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处理决定数量</w:t>
            </w:r>
          </w:p>
        </w:tc>
      </w:tr>
      <w:tr>
        <w:tblPrEx>
          <w:tblLayout w:type="fixed"/>
          <w:tblCellMar>
            <w:top w:w="15" w:type="dxa"/>
            <w:left w:w="15" w:type="dxa"/>
            <w:bottom w:w="15" w:type="dxa"/>
            <w:right w:w="15" w:type="dxa"/>
          </w:tblCellMar>
        </w:tblPrEx>
        <w:trPr>
          <w:trHeight w:val="528"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行政许可</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156</w:t>
            </w:r>
          </w:p>
        </w:tc>
      </w:tr>
      <w:tr>
        <w:tblPrEx>
          <w:tblLayout w:type="fixed"/>
          <w:tblCellMar>
            <w:top w:w="15" w:type="dxa"/>
            <w:left w:w="15" w:type="dxa"/>
            <w:bottom w:w="15" w:type="dxa"/>
            <w:right w:w="15" w:type="dxa"/>
          </w:tblCellMar>
        </w:tblPrEx>
        <w:trPr>
          <w:trHeight w:val="55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其他对外管理服务事项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24"/>
                <w:szCs w:val="24"/>
                <w:lang w:val="en-US" w:eastAsia="zh-CN" w:bidi="ar"/>
              </w:rPr>
              <w:t>0</w:t>
            </w:r>
          </w:p>
        </w:tc>
      </w:tr>
      <w:tr>
        <w:tblPrEx>
          <w:tblLayout w:type="fixed"/>
          <w:tblCellMar>
            <w:top w:w="15" w:type="dxa"/>
            <w:left w:w="15" w:type="dxa"/>
            <w:bottom w:w="15" w:type="dxa"/>
            <w:right w:w="15" w:type="dxa"/>
          </w:tblCellMar>
        </w:tblPrEx>
        <w:trPr>
          <w:trHeight w:val="406"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第二十条第（六）项</w:t>
            </w:r>
          </w:p>
        </w:tc>
      </w:tr>
      <w:tr>
        <w:tblPrEx>
          <w:tblLayout w:type="fixed"/>
          <w:tblCellMar>
            <w:top w:w="15" w:type="dxa"/>
            <w:left w:w="15" w:type="dxa"/>
            <w:bottom w:w="15" w:type="dxa"/>
            <w:right w:w="15" w:type="dxa"/>
          </w:tblCellMar>
        </w:tblPrEx>
        <w:trPr>
          <w:trHeight w:val="634"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信息内容</w:t>
            </w:r>
          </w:p>
        </w:tc>
        <w:tc>
          <w:tcPr>
            <w:tcW w:w="200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上一年项目数量</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本年增/减</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处理决定数量</w:t>
            </w:r>
          </w:p>
        </w:tc>
      </w:tr>
      <w:tr>
        <w:tblPrEx>
          <w:tblLayout w:type="fixed"/>
          <w:tblCellMar>
            <w:top w:w="15" w:type="dxa"/>
            <w:left w:w="15" w:type="dxa"/>
            <w:bottom w:w="15" w:type="dxa"/>
            <w:right w:w="15" w:type="dxa"/>
          </w:tblCellMar>
        </w:tblPrEx>
        <w:trPr>
          <w:trHeight w:val="430"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行政处罚</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25</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-11</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14</w:t>
            </w:r>
          </w:p>
        </w:tc>
      </w:tr>
      <w:tr>
        <w:tblPrEx>
          <w:tblLayout w:type="fixed"/>
          <w:tblCellMar>
            <w:top w:w="15" w:type="dxa"/>
            <w:left w:w="15" w:type="dxa"/>
            <w:bottom w:w="15" w:type="dxa"/>
            <w:right w:w="15" w:type="dxa"/>
          </w:tblCellMar>
        </w:tblPrEx>
        <w:trPr>
          <w:trHeight w:val="409"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行政强制</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0</w:t>
            </w:r>
          </w:p>
        </w:tc>
        <w:tc>
          <w:tcPr>
            <w:tcW w:w="16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0</w:t>
            </w:r>
          </w:p>
        </w:tc>
        <w:tc>
          <w:tcPr>
            <w:tcW w:w="203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4"/>
                <w:szCs w:val="24"/>
              </w:rPr>
              <w:t>　0</w:t>
            </w:r>
          </w:p>
        </w:tc>
      </w:tr>
      <w:tr>
        <w:tblPrEx>
          <w:tblLayout w:type="fixed"/>
          <w:tblCellMar>
            <w:top w:w="15" w:type="dxa"/>
            <w:left w:w="15" w:type="dxa"/>
            <w:bottom w:w="15" w:type="dxa"/>
            <w:right w:w="15" w:type="dxa"/>
          </w:tblCellMar>
        </w:tblPrEx>
        <w:trPr>
          <w:trHeight w:val="474"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第二十条第（八）项</w:t>
            </w:r>
          </w:p>
        </w:tc>
      </w:tr>
      <w:tr>
        <w:tblPrEx>
          <w:tblLayout w:type="fixed"/>
          <w:tblCellMar>
            <w:top w:w="15" w:type="dxa"/>
            <w:left w:w="15" w:type="dxa"/>
            <w:bottom w:w="15" w:type="dxa"/>
            <w:right w:w="15" w:type="dxa"/>
          </w:tblCellMar>
        </w:tblPrEx>
        <w:trPr>
          <w:trHeight w:val="507"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信息内容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上一年项目数量</w:t>
            </w:r>
          </w:p>
        </w:tc>
        <w:tc>
          <w:tcPr>
            <w:tcW w:w="368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本年增/减</w:t>
            </w:r>
          </w:p>
        </w:tc>
      </w:tr>
      <w:tr>
        <w:tblPrEx>
          <w:tblLayout w:type="fixed"/>
          <w:tblCellMar>
            <w:top w:w="15" w:type="dxa"/>
            <w:left w:w="15" w:type="dxa"/>
            <w:bottom w:w="15" w:type="dxa"/>
            <w:right w:w="15" w:type="dxa"/>
          </w:tblCellMar>
        </w:tblPrEx>
        <w:trPr>
          <w:trHeight w:val="551"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行政事业性收费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368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Layout w:type="fixed"/>
          <w:tblCellMar>
            <w:top w:w="15" w:type="dxa"/>
            <w:left w:w="15" w:type="dxa"/>
            <w:bottom w:w="15" w:type="dxa"/>
            <w:right w:w="15" w:type="dxa"/>
          </w:tblCellMar>
        </w:tblPrEx>
        <w:trPr>
          <w:trHeight w:val="476" w:hRule="atLeast"/>
          <w:jc w:val="center"/>
        </w:trPr>
        <w:tc>
          <w:tcPr>
            <w:tcW w:w="8401"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第二十条第（九）项</w:t>
            </w:r>
          </w:p>
        </w:tc>
      </w:tr>
      <w:tr>
        <w:tblPrEx>
          <w:tblLayout w:type="fixed"/>
          <w:tblCellMar>
            <w:top w:w="15" w:type="dxa"/>
            <w:left w:w="15" w:type="dxa"/>
            <w:bottom w:w="15" w:type="dxa"/>
            <w:right w:w="15" w:type="dxa"/>
          </w:tblCellMar>
        </w:tblPrEx>
        <w:trPr>
          <w:trHeight w:val="585"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信息内容</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采购项目数量</w:t>
            </w:r>
          </w:p>
        </w:tc>
        <w:tc>
          <w:tcPr>
            <w:tcW w:w="3687"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采购总金额</w:t>
            </w:r>
          </w:p>
        </w:tc>
      </w:tr>
      <w:tr>
        <w:tblPrEx>
          <w:tblLayout w:type="fixed"/>
          <w:tblCellMar>
            <w:top w:w="15" w:type="dxa"/>
            <w:left w:w="15" w:type="dxa"/>
            <w:bottom w:w="15" w:type="dxa"/>
            <w:right w:w="15" w:type="dxa"/>
          </w:tblCellMar>
        </w:tblPrEx>
        <w:trPr>
          <w:trHeight w:val="539" w:hRule="atLeast"/>
          <w:jc w:val="center"/>
        </w:trPr>
        <w:tc>
          <w:tcPr>
            <w:tcW w:w="271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4"/>
                <w:szCs w:val="24"/>
                <w:lang w:bidi="ar"/>
              </w:rPr>
              <w:t>政府集中采购</w:t>
            </w:r>
          </w:p>
        </w:tc>
        <w:tc>
          <w:tcPr>
            <w:tcW w:w="200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spacing w:after="18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19</w:t>
            </w:r>
          </w:p>
        </w:tc>
        <w:tc>
          <w:tcPr>
            <w:tcW w:w="3687"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spacing w:before="100" w:beforeAutospacing="1" w:after="100" w:afterAutospacing="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3965142元</w:t>
            </w:r>
          </w:p>
        </w:tc>
      </w:tr>
    </w:tbl>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ind w:left="640" w:leftChars="0" w:firstLine="0" w:firstLineChars="0"/>
        <w:textAlignment w:val="auto"/>
        <w:rPr>
          <w:rFonts w:hint="eastAsia" w:ascii="黑体" w:hAnsi="黑体" w:eastAsia="黑体" w:cs="黑体"/>
          <w:sz w:val="32"/>
          <w:szCs w:val="28"/>
        </w:rPr>
      </w:pPr>
      <w:r>
        <w:rPr>
          <w:rFonts w:hint="eastAsia" w:ascii="黑体" w:hAnsi="黑体" w:eastAsia="黑体" w:cs="黑体"/>
          <w:sz w:val="32"/>
          <w:szCs w:val="28"/>
        </w:rPr>
        <w:t>收到和处理政府信息公开申请情况</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640" w:leftChars="0" w:right="0" w:rightChars="0"/>
        <w:textAlignment w:val="auto"/>
        <w:rPr>
          <w:rFonts w:hint="eastAsia" w:ascii="黑体" w:hAnsi="黑体" w:eastAsia="黑体" w:cs="黑体"/>
          <w:sz w:val="32"/>
          <w:szCs w:val="28"/>
        </w:rPr>
      </w:pPr>
    </w:p>
    <w:tbl>
      <w:tblPr>
        <w:tblStyle w:val="6"/>
        <w:tblW w:w="9071"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696"/>
        <w:gridCol w:w="936"/>
        <w:gridCol w:w="2023"/>
        <w:gridCol w:w="798"/>
        <w:gridCol w:w="742"/>
        <w:gridCol w:w="742"/>
        <w:gridCol w:w="798"/>
        <w:gridCol w:w="951"/>
        <w:gridCol w:w="701"/>
        <w:gridCol w:w="68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（本列数据的勾稽关系为：第一项加第二项之和，等于第三项加第四项之和）</w:t>
            </w:r>
          </w:p>
        </w:tc>
        <w:tc>
          <w:tcPr>
            <w:tcW w:w="5416" w:type="dxa"/>
            <w:gridSpan w:val="7"/>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798"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自然人</w:t>
            </w:r>
          </w:p>
        </w:tc>
        <w:tc>
          <w:tcPr>
            <w:tcW w:w="3934"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法人或其他组织</w:t>
            </w:r>
          </w:p>
        </w:tc>
        <w:tc>
          <w:tcPr>
            <w:tcW w:w="68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798"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商业企业</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科研机构</w:t>
            </w:r>
          </w:p>
        </w:tc>
        <w:tc>
          <w:tcPr>
            <w:tcW w:w="79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社会公益组织</w:t>
            </w:r>
          </w:p>
        </w:tc>
        <w:tc>
          <w:tcPr>
            <w:tcW w:w="95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法律服务机构</w:t>
            </w:r>
          </w:p>
        </w:tc>
        <w:tc>
          <w:tcPr>
            <w:tcW w:w="70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其他</w:t>
            </w:r>
          </w:p>
        </w:tc>
        <w:tc>
          <w:tcPr>
            <w:tcW w:w="684"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一、本年新收政府信息公开申请数量</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lang w:val="en-US" w:eastAsia="zh-CN"/>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二、上年结转政府信息公开申请数量</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三、本年度办理结果</w:t>
            </w:r>
          </w:p>
        </w:tc>
        <w:tc>
          <w:tcPr>
            <w:tcW w:w="295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（一）予以公开</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95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（二）部分公开（区分处理的，只计这一情形，不计其他情形）</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（三）不予公开</w:t>
            </w: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1.属于国家秘密</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2.其他法律行政法规禁止公开</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3.危及“三安全一稳定”</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4.保护第三方合法权益</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5.属于三类内部事务信息</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6.属于四类过程性信息</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7.属于行政执法案卷</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8.属于行政查询事项</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（四）无法提供</w:t>
            </w: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1.本机关不掌握相关政府信息</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2.没有现成信息需要另行制作</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3.补正后申请内容仍不明确</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（五）不予处理</w:t>
            </w: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1.信访举报投诉类申请</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2.重复申请</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3.要求提供公开出版物</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4.无正当理由大量反复申请</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936"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0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5.要求行政机关确认或重新出具已获取信息</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95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（六）其他处理</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696"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295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（七）总计</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365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left"/>
              <w:rPr>
                <w:rFonts w:hint="eastAsia" w:ascii="仿宋_GB2312" w:hAnsi="仿宋_GB2312" w:eastAsia="仿宋_GB2312" w:cs="仿宋_GB2312"/>
              </w:rPr>
            </w:pPr>
            <w:r>
              <w:rPr>
                <w:rFonts w:hint="eastAsia" w:ascii="仿宋_GB2312" w:hAnsi="仿宋_GB2312" w:eastAsia="仿宋_GB2312" w:cs="仿宋_GB2312"/>
                <w:kern w:val="0"/>
                <w:sz w:val="24"/>
                <w:szCs w:val="24"/>
                <w:lang w:bidi="ar"/>
              </w:rPr>
              <w:t>四、结转下年度继续办理</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4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9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95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70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c>
          <w:tcPr>
            <w:tcW w:w="6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4"/>
                <w:szCs w:val="24"/>
                <w:lang w:val="en-US" w:eastAsia="zh-CN" w:bidi="ar"/>
              </w:rPr>
              <w:t>0</w:t>
            </w:r>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sz w:val="32"/>
          <w:szCs w:val="28"/>
        </w:rPr>
      </w:pPr>
      <w:r>
        <w:rPr>
          <w:rFonts w:hint="eastAsia" w:ascii="黑体" w:hAnsi="黑体" w:eastAsia="黑体" w:cs="黑体"/>
          <w:sz w:val="32"/>
          <w:szCs w:val="28"/>
        </w:rPr>
        <w:t>　　四、政府信息公开行政复议、行政诉讼情况</w:t>
      </w:r>
    </w:p>
    <w:tbl>
      <w:tblPr>
        <w:tblStyle w:val="6"/>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567"/>
        <w:gridCol w:w="567"/>
        <w:gridCol w:w="567"/>
        <w:gridCol w:w="567"/>
        <w:gridCol w:w="567"/>
        <w:gridCol w:w="567"/>
        <w:gridCol w:w="567"/>
        <w:gridCol w:w="567"/>
        <w:gridCol w:w="567"/>
        <w:gridCol w:w="567"/>
        <w:gridCol w:w="567"/>
        <w:gridCol w:w="567"/>
        <w:gridCol w:w="567"/>
        <w:gridCol w:w="567"/>
        <w:gridCol w:w="5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283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行政复议</w:t>
            </w:r>
          </w:p>
        </w:tc>
        <w:tc>
          <w:tcPr>
            <w:tcW w:w="5670"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trHeight w:val="355" w:hRule="atLeast"/>
          <w:jc w:val="center"/>
        </w:trPr>
        <w:tc>
          <w:tcPr>
            <w:tcW w:w="567"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结果维持</w:t>
            </w:r>
          </w:p>
        </w:tc>
        <w:tc>
          <w:tcPr>
            <w:tcW w:w="56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结果纠正</w:t>
            </w:r>
          </w:p>
        </w:tc>
        <w:tc>
          <w:tcPr>
            <w:tcW w:w="56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其他结果</w:t>
            </w:r>
          </w:p>
        </w:tc>
        <w:tc>
          <w:tcPr>
            <w:tcW w:w="56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尚未审结</w:t>
            </w:r>
          </w:p>
        </w:tc>
        <w:tc>
          <w:tcPr>
            <w:tcW w:w="567"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总计</w:t>
            </w:r>
          </w:p>
        </w:tc>
        <w:tc>
          <w:tcPr>
            <w:tcW w:w="283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未经复议直接起诉</w:t>
            </w:r>
          </w:p>
        </w:tc>
        <w:tc>
          <w:tcPr>
            <w:tcW w:w="2835"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567"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67" w:type="dxa"/>
            <w:vMerge w:val="continue"/>
            <w:tcBorders>
              <w:top w:val="nil"/>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6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6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67" w:type="dxa"/>
            <w:vMerge w:val="continue"/>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仿宋_GB2312" w:hAnsi="仿宋_GB2312" w:eastAsia="仿宋_GB2312" w:cs="仿宋_GB2312"/>
                <w:sz w:val="24"/>
                <w:szCs w:val="24"/>
              </w:rPr>
            </w:pP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结果维持</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结果纠正</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其他结果</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尚未审结</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bidi="ar"/>
              </w:rPr>
              <w:t>总计</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结果维持</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结果纠正</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bidi="ar"/>
              </w:rPr>
              <w:t>其他结果</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bidi="ar"/>
              </w:rPr>
              <w:t>尚未审结</w:t>
            </w:r>
          </w:p>
        </w:tc>
        <w:tc>
          <w:tcPr>
            <w:tcW w:w="56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Ex>
        <w:trPr>
          <w:jc w:val="center"/>
        </w:trPr>
        <w:tc>
          <w:tcPr>
            <w:tcW w:w="5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 0</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lang w:val="en-US" w:eastAsia="zh-CN"/>
              </w:rPr>
              <w:t>0</w:t>
            </w:r>
            <w:r>
              <w:rPr>
                <w:rFonts w:hint="eastAsia" w:ascii="仿宋_GB2312" w:hAnsi="仿宋_GB2312" w:eastAsia="仿宋_GB2312" w:cs="仿宋_GB2312"/>
                <w:kern w:val="0"/>
                <w:sz w:val="20"/>
                <w:szCs w:val="20"/>
              </w:rPr>
              <w:t>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lang w:val="en-US" w:eastAsia="zh-CN"/>
              </w:rPr>
              <w:t>0</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0"/>
                <w:szCs w:val="20"/>
                <w:lang w:val="en-US" w:eastAsia="zh-CN"/>
              </w:rPr>
              <w:t>0</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color w:val="000000"/>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after="180"/>
              <w:jc w:val="center"/>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0"/>
                <w:szCs w:val="20"/>
              </w:rPr>
              <w:t>0 </w:t>
            </w:r>
          </w:p>
        </w:tc>
        <w:tc>
          <w:tcPr>
            <w:tcW w:w="56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jc w:val="left"/>
              <w:rPr>
                <w:rFonts w:hint="eastAsia" w:ascii="仿宋_GB2312" w:hAnsi="仿宋_GB2312" w:eastAsia="仿宋_GB2312" w:cs="仿宋_GB2312"/>
                <w:kern w:val="2"/>
                <w:sz w:val="21"/>
                <w:szCs w:val="22"/>
                <w:lang w:val="en-US" w:eastAsia="zh-CN" w:bidi="ar-SA"/>
              </w:rPr>
            </w:pPr>
            <w:r>
              <w:rPr>
                <w:rFonts w:hint="eastAsia" w:ascii="仿宋_GB2312" w:hAnsi="仿宋_GB2312" w:eastAsia="仿宋_GB2312" w:cs="仿宋_GB2312"/>
                <w:kern w:val="0"/>
                <w:sz w:val="24"/>
                <w:szCs w:val="24"/>
              </w:rPr>
              <w:t>0 </w:t>
            </w:r>
          </w:p>
        </w:tc>
      </w:tr>
    </w:tbl>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sz w:val="32"/>
          <w:szCs w:val="32"/>
        </w:rPr>
      </w:pPr>
      <w:r>
        <w:rPr>
          <w:rFonts w:hint="eastAsia" w:ascii="黑体" w:hAnsi="黑体" w:eastAsia="黑体" w:cs="黑体"/>
          <w:sz w:val="32"/>
          <w:szCs w:val="32"/>
        </w:rPr>
        <w:t>　　五、存在的主要问题及改进情况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积极推进政务公开工作，取得了一定成效，但是与社会公众的需求还有差距。</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在政策解读回应的载体和形式上较为单一，未能充分利用生动活泼、通俗易懂的语言和图表图解、音频视频、动漫等公众喜闻乐见的多元化解读方式；</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栏目、版面设计上仍需进一步调整优化；</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在政民互动交流上仍需进一步改进和加强。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年在政府信息公开方面将重点做好以下工作：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大重点领域信息公开力度。继续推进征地信息公开，推动以土地市场信息为重点的自然资源领域公共资源配置更加透明；积极推进交易公告、资格审查结果、交易过程信息、成交信息、履约信息以及有关变更信息的公开；积极促进信息发布手段多样化，及时发布地质灾害信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（二）加大重要政策发布解读和舆情回应力度。综合运用传统媒体、政务新媒体等平台，开展多种形式的政策解读。按照“谁主管、谁负责”的原则，认真做好政务舆情回应工作，及时回应社会关切。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（三）加强平台建设和管理。加强</w:t>
      </w:r>
      <w:r>
        <w:rPr>
          <w:rFonts w:hint="eastAsia" w:ascii="仿宋_GB2312" w:hAnsi="仿宋_GB2312" w:eastAsia="仿宋_GB2312" w:cs="仿宋_GB2312"/>
          <w:sz w:val="32"/>
          <w:szCs w:val="32"/>
          <w:lang w:eastAsia="zh-CN"/>
        </w:rPr>
        <w:t>微信公众号</w:t>
      </w:r>
      <w:r>
        <w:rPr>
          <w:rFonts w:hint="eastAsia" w:ascii="仿宋_GB2312" w:hAnsi="仿宋_GB2312" w:eastAsia="仿宋_GB2312" w:cs="仿宋_GB2312"/>
          <w:sz w:val="32"/>
          <w:szCs w:val="32"/>
        </w:rPr>
        <w:t>内容建设,完善</w:t>
      </w:r>
      <w:r>
        <w:rPr>
          <w:rFonts w:hint="eastAsia" w:ascii="仿宋_GB2312" w:hAnsi="仿宋_GB2312" w:eastAsia="仿宋_GB2312" w:cs="仿宋_GB2312"/>
          <w:sz w:val="32"/>
          <w:szCs w:val="32"/>
          <w:lang w:eastAsia="zh-CN"/>
        </w:rPr>
        <w:t>信息公开</w:t>
      </w:r>
      <w:r>
        <w:rPr>
          <w:rFonts w:hint="eastAsia" w:ascii="仿宋_GB2312" w:hAnsi="仿宋_GB2312" w:eastAsia="仿宋_GB2312" w:cs="仿宋_GB2312"/>
          <w:sz w:val="32"/>
          <w:szCs w:val="32"/>
        </w:rPr>
        <w:t>功能，把</w:t>
      </w:r>
      <w:r>
        <w:rPr>
          <w:rFonts w:hint="eastAsia" w:ascii="仿宋_GB2312" w:hAnsi="仿宋_GB2312" w:eastAsia="仿宋_GB2312" w:cs="仿宋_GB2312"/>
          <w:sz w:val="32"/>
          <w:szCs w:val="32"/>
          <w:lang w:eastAsia="zh-CN"/>
        </w:rPr>
        <w:t>微信公众号</w:t>
      </w:r>
      <w:r>
        <w:rPr>
          <w:rFonts w:hint="eastAsia" w:ascii="仿宋_GB2312" w:hAnsi="仿宋_GB2312" w:eastAsia="仿宋_GB2312" w:cs="仿宋_GB2312"/>
          <w:sz w:val="32"/>
          <w:szCs w:val="32"/>
        </w:rPr>
        <w:t>建设成为政务公开和政务服务的</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平台。推进政务新媒体健康有序发展，规范</w:t>
      </w:r>
      <w:r>
        <w:rPr>
          <w:rFonts w:hint="eastAsia" w:ascii="仿宋_GB2312" w:hAnsi="仿宋_GB2312" w:eastAsia="仿宋_GB2312" w:cs="仿宋_GB2312"/>
          <w:sz w:val="32"/>
          <w:szCs w:val="32"/>
          <w:lang w:eastAsia="zh-CN"/>
        </w:rPr>
        <w:t>微信公众号</w:t>
      </w:r>
      <w:r>
        <w:rPr>
          <w:rFonts w:hint="eastAsia" w:ascii="仿宋_GB2312" w:hAnsi="仿宋_GB2312" w:eastAsia="仿宋_GB2312" w:cs="仿宋_GB2312"/>
          <w:sz w:val="32"/>
          <w:szCs w:val="32"/>
        </w:rPr>
        <w:t>的管理。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textAlignment w:val="auto"/>
        <w:rPr>
          <w:rFonts w:hint="eastAsia" w:ascii="仿宋_GB2312" w:hAnsi="仿宋_GB2312" w:eastAsia="仿宋_GB2312" w:cs="仿宋_GB2312"/>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486" w:firstLineChars="1402"/>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建宁县自然资源局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2020年1月10日</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AC39A"/>
    <w:multiLevelType w:val="singleLevel"/>
    <w:tmpl w:val="CCAAC39A"/>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e/D4FEAviwY4GU/jcApvwaaC9kc=" w:salt="M7wHLif6odXMKy6sjKwmO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91A0C"/>
    <w:rsid w:val="00952F2D"/>
    <w:rsid w:val="01B22BAC"/>
    <w:rsid w:val="03D834AA"/>
    <w:rsid w:val="04AE10B9"/>
    <w:rsid w:val="05E25EFA"/>
    <w:rsid w:val="06B97A59"/>
    <w:rsid w:val="09B21743"/>
    <w:rsid w:val="0B121958"/>
    <w:rsid w:val="0E941853"/>
    <w:rsid w:val="100776BE"/>
    <w:rsid w:val="1555654E"/>
    <w:rsid w:val="16776441"/>
    <w:rsid w:val="1BDD2215"/>
    <w:rsid w:val="1CBE5AE2"/>
    <w:rsid w:val="1F2B402A"/>
    <w:rsid w:val="1FFA27C0"/>
    <w:rsid w:val="20597A2E"/>
    <w:rsid w:val="22234369"/>
    <w:rsid w:val="222B75CD"/>
    <w:rsid w:val="22EE4BF9"/>
    <w:rsid w:val="26CE0775"/>
    <w:rsid w:val="28482795"/>
    <w:rsid w:val="2952000F"/>
    <w:rsid w:val="2956316E"/>
    <w:rsid w:val="29991A0C"/>
    <w:rsid w:val="29C75FB9"/>
    <w:rsid w:val="2ABB3F7D"/>
    <w:rsid w:val="2BEF45CF"/>
    <w:rsid w:val="2E9B7D9E"/>
    <w:rsid w:val="2EC73614"/>
    <w:rsid w:val="300F5CD2"/>
    <w:rsid w:val="306446A9"/>
    <w:rsid w:val="36496684"/>
    <w:rsid w:val="3869585E"/>
    <w:rsid w:val="3BAE180D"/>
    <w:rsid w:val="3F8636E0"/>
    <w:rsid w:val="43C31BB1"/>
    <w:rsid w:val="4465139B"/>
    <w:rsid w:val="45AB6038"/>
    <w:rsid w:val="47AA3F89"/>
    <w:rsid w:val="48E848DF"/>
    <w:rsid w:val="4A975AD1"/>
    <w:rsid w:val="4B987CDE"/>
    <w:rsid w:val="4BE10F31"/>
    <w:rsid w:val="4DC72F80"/>
    <w:rsid w:val="4FA13AD7"/>
    <w:rsid w:val="51861C5B"/>
    <w:rsid w:val="54425111"/>
    <w:rsid w:val="557E28F0"/>
    <w:rsid w:val="56140117"/>
    <w:rsid w:val="566C34C1"/>
    <w:rsid w:val="567E40CD"/>
    <w:rsid w:val="56964966"/>
    <w:rsid w:val="5A1C0CEB"/>
    <w:rsid w:val="5B015160"/>
    <w:rsid w:val="5C4D4C41"/>
    <w:rsid w:val="5E121F84"/>
    <w:rsid w:val="5F750D6D"/>
    <w:rsid w:val="5FDC2810"/>
    <w:rsid w:val="5FDF33A2"/>
    <w:rsid w:val="606F286E"/>
    <w:rsid w:val="60BB4E9E"/>
    <w:rsid w:val="620B5237"/>
    <w:rsid w:val="69C664E0"/>
    <w:rsid w:val="6A4212A3"/>
    <w:rsid w:val="6C8E6C42"/>
    <w:rsid w:val="6E501F34"/>
    <w:rsid w:val="70FA21E5"/>
    <w:rsid w:val="74374DE3"/>
    <w:rsid w:val="748F3160"/>
    <w:rsid w:val="771A1B28"/>
    <w:rsid w:val="771D0524"/>
    <w:rsid w:val="7A1526EC"/>
    <w:rsid w:val="7AE76067"/>
    <w:rsid w:val="7B7613ED"/>
    <w:rsid w:val="7BFD7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8"/>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 Char Char4"/>
    <w:basedOn w:val="7"/>
    <w:link w:val="3"/>
    <w:semiHidden/>
    <w:qFormat/>
    <w:uiPriority w:val="0"/>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2020-01-06T07:48:00Z</dcterms:created>
  <dc:creator>刘根</dc:creator>
  <cp:lastModifiedBy>迷茫</cp:lastModifiedBy>
  <cp:lastPrinted>2020-01-09T01:19:00Z</cp:lastPrinted>
  <dcterms:modified xsi:type="dcterms:W3CDTF">2021-04-21T03:07:25Z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