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6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建宁县自然资源局</w:t>
      </w:r>
    </w:p>
    <w:p>
      <w:pPr>
        <w:pStyle w:val="2"/>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20</w:t>
      </w:r>
      <w:r>
        <w:rPr>
          <w:rFonts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sz w:val="44"/>
          <w:szCs w:val="44"/>
        </w:rPr>
        <w:t>政府信息公开工作年度报告</w:t>
      </w:r>
    </w:p>
    <w:p>
      <w:pPr>
        <w:spacing w:line="500" w:lineRule="exact"/>
        <w:ind w:firstLine="640" w:firstLineChars="200"/>
        <w:rPr>
          <w:rFonts w:ascii="黑体" w:eastAsia="黑体"/>
          <w:sz w:val="32"/>
          <w:szCs w:val="32"/>
        </w:rPr>
      </w:pPr>
      <w:r>
        <w:rPr>
          <w:rFonts w:hint="eastAsia" w:ascii="黑体" w:eastAsia="黑体"/>
          <w:sz w:val="32"/>
          <w:szCs w:val="32"/>
        </w:rPr>
        <w:t>引言</w:t>
      </w:r>
    </w:p>
    <w:p>
      <w:pPr>
        <w:spacing w:line="500" w:lineRule="exact"/>
        <w:ind w:firstLine="640" w:firstLineChars="200"/>
        <w:rPr>
          <w:rFonts w:ascii="方正小标宋简体" w:hAnsi="方正小标宋简体" w:eastAsia="方正小标宋简体" w:cs="方正小标宋简体"/>
          <w:sz w:val="32"/>
          <w:szCs w:val="32"/>
        </w:rPr>
      </w:pPr>
      <w:r>
        <w:rPr>
          <w:rFonts w:hint="eastAsia" w:ascii="仿宋_GB2312" w:eastAsia="仿宋_GB2312"/>
          <w:sz w:val="32"/>
          <w:szCs w:val="32"/>
        </w:rPr>
        <w:t>根据《中华人民共和国政府信息公开条例》、《福建省政府信息公开办法》、《建宁县人民政府办公室关于做好2020年政府信息公开工作年度报告编制发布的通知》精神，组织编制建宁县自然资源局2020年政府信息公开年度报告。本年报中所列数据的统计期限自2020年1月1日起至2020年12月31日止，可在建宁县人民政府网站政府信息公开专栏http://www.fjjn.gov.cn/zfxxgkzl/zfxxgkndbg/xzfcydw1/gtzyj/下载本年度报告电子版。如对本报告有任何疑问，请联系：建宁县自然资源局政府信息公开工作领导小组办公室，联系电话：0598-3982896，电子邮件：jngt3982896@163.com。现将2020年度自然资源局政府信息公开工作总结报告如下：</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2020年，我局认真贯彻落实党中央、国务院关于全面推进政务公开工作的决策部署，严格按照县委、县政府的统一工作安排，认真贯彻《中华人民共和国政府信息公开条例》各项要求，结合自然资源工作实际情况，对政务公开相关制度、规定进行梳理和完善，确保政府信息公开监督管理、信息保密审核、发布维护等职责均能落实到位。依托建宁县人民政府网站、我局微信公众号等平台主动公开信息，及时回应相关舆情热点，进一步加强政务公开和公众互动，有力保障公众知情权、表达权、参与权、监督权，推动落实新发展理念，促进高质量发展。</w:t>
      </w:r>
    </w:p>
    <w:p>
      <w:pPr>
        <w:pStyle w:val="2"/>
        <w:widowControl/>
        <w:spacing w:before="0" w:beforeAutospacing="0" w:after="0" w:afterAutospacing="0" w:line="500" w:lineRule="exact"/>
        <w:ind w:firstLine="640" w:firstLineChars="200"/>
        <w:rPr>
          <w:rFonts w:ascii="楷体_GB2312" w:hAnsi="楷体_GB2312" w:eastAsia="楷体_GB2312" w:cs="楷体_GB2312"/>
          <w:sz w:val="32"/>
          <w:szCs w:val="28"/>
        </w:rPr>
      </w:pPr>
      <w:r>
        <w:rPr>
          <w:rFonts w:hint="eastAsia" w:ascii="楷体_GB2312" w:hAnsi="楷体_GB2312" w:eastAsia="楷体_GB2312" w:cs="楷体_GB2312"/>
          <w:sz w:val="32"/>
          <w:szCs w:val="28"/>
        </w:rPr>
        <w:t>（一）主动公开情况</w:t>
      </w:r>
    </w:p>
    <w:p>
      <w:pPr>
        <w:pStyle w:val="2"/>
        <w:widowControl/>
        <w:spacing w:before="0" w:beforeAutospacing="0" w:after="0" w:afterAutospacing="0" w:line="5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1.推进重点领域基层政务公开标准目录编制公开</w:t>
      </w:r>
    </w:p>
    <w:p>
      <w:pPr>
        <w:pStyle w:val="2"/>
        <w:widowControl/>
        <w:spacing w:before="0" w:beforeAutospacing="0" w:after="0" w:afterAutospacing="0" w:line="5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根据国务院办公厅印发的《关于全面推进基层政务公开标准化规范化工作的指导意见》（国办发〔2019〕54号）、《福建省人民政府办公厅关于全面推进基层政务公开标准化规范化工作的通知》（闽政办〔2020〕26号）的工作要求，</w:t>
      </w:r>
      <w:r>
        <w:rPr>
          <w:rFonts w:hint="eastAsia" w:ascii="仿宋_GB2312" w:eastAsia="仿宋_GB2312"/>
          <w:sz w:val="32"/>
          <w:szCs w:val="32"/>
        </w:rPr>
        <w:t>按照县委、县政府的统一部署，</w:t>
      </w:r>
      <w:r>
        <w:rPr>
          <w:rFonts w:hint="eastAsia" w:ascii="仿宋_GB2312" w:hAnsi="仿宋_GB2312" w:eastAsia="仿宋_GB2312" w:cs="仿宋_GB2312"/>
          <w:sz w:val="32"/>
          <w:szCs w:val="28"/>
        </w:rPr>
        <w:t>我局编制了《建宁县国有土地上房屋征收与补偿领域基层政务公开标准目录》、《建宁县农村集体土地征收领域基层政务公开标准目录》、《建宁县城乡规划领域基层政务公开标准目录》，进一步推进政务公开标准化规范化工作。</w:t>
      </w:r>
    </w:p>
    <w:p>
      <w:pPr>
        <w:pStyle w:val="2"/>
        <w:widowControl/>
        <w:numPr>
          <w:ilvl w:val="0"/>
          <w:numId w:val="1"/>
        </w:numPr>
        <w:spacing w:before="0" w:beforeAutospacing="0" w:after="0" w:afterAutospacing="0" w:line="50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大力推进重点领域信息公开</w:t>
      </w:r>
    </w:p>
    <w:p>
      <w:pPr>
        <w:pStyle w:val="2"/>
        <w:widowControl/>
        <w:numPr>
          <w:ilvl w:val="0"/>
          <w:numId w:val="0"/>
        </w:numPr>
        <w:spacing w:before="0" w:beforeAutospacing="0" w:after="0" w:afterAutospacing="0" w:line="500" w:lineRule="exact"/>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）优化</w:t>
      </w:r>
      <w:r>
        <w:rPr>
          <w:rFonts w:hint="eastAsia" w:ascii="仿宋_GB2312" w:hAnsi="仿宋_GB2312" w:eastAsia="仿宋_GB2312" w:cs="仿宋_GB2312"/>
          <w:sz w:val="32"/>
          <w:szCs w:val="28"/>
          <w:lang w:eastAsia="zh-CN"/>
        </w:rPr>
        <w:t>流程、集成服务。</w:t>
      </w:r>
      <w:r>
        <w:rPr>
          <w:rFonts w:hint="eastAsia" w:ascii="仿宋_GB2312" w:hAnsi="仿宋_GB2312" w:eastAsia="仿宋_GB2312" w:cs="仿宋_GB2312"/>
          <w:sz w:val="32"/>
          <w:szCs w:val="28"/>
          <w:lang w:val="en-US" w:eastAsia="zh-CN"/>
        </w:rPr>
        <w:t>在保证不动产登记发证质量前提下，精简收件材料，简化审批方式，压缩流程时间，进一步方便企业和群众办事，提高工作效率，于2019年7月将对外承诺一般登记时间压缩至5个工作日、抵押登记时间压缩至3个工作日，于2019年11月29日公布了</w:t>
      </w:r>
      <w:r>
        <w:rPr>
          <w:rFonts w:hint="eastAsia" w:ascii="仿宋_GB2312" w:hAnsi="仿宋_GB2312" w:eastAsia="仿宋_GB2312" w:cs="仿宋_GB2312"/>
          <w:sz w:val="32"/>
          <w:szCs w:val="28"/>
        </w:rPr>
        <w:t>26种不动产</w:t>
      </w:r>
      <w:r>
        <w:rPr>
          <w:rFonts w:hint="eastAsia" w:ascii="仿宋_GB2312" w:hAnsi="仿宋_GB2312" w:eastAsia="仿宋_GB2312" w:cs="仿宋_GB2312"/>
          <w:sz w:val="32"/>
          <w:szCs w:val="28"/>
          <w:lang w:eastAsia="zh-CN"/>
        </w:rPr>
        <w:t>主要</w:t>
      </w:r>
      <w:r>
        <w:rPr>
          <w:rFonts w:hint="eastAsia" w:ascii="仿宋_GB2312" w:hAnsi="仿宋_GB2312" w:eastAsia="仿宋_GB2312" w:cs="仿宋_GB2312"/>
          <w:sz w:val="32"/>
          <w:szCs w:val="28"/>
        </w:rPr>
        <w:t>登记类型</w:t>
      </w:r>
      <w:r>
        <w:rPr>
          <w:rFonts w:hint="eastAsia" w:ascii="仿宋_GB2312" w:hAnsi="仿宋_GB2312" w:eastAsia="仿宋_GB2312" w:cs="仿宋_GB2312"/>
          <w:sz w:val="32"/>
          <w:szCs w:val="28"/>
          <w:lang w:eastAsia="zh-CN"/>
        </w:rPr>
        <w:t>流程优化图</w:t>
      </w:r>
      <w:r>
        <w:rPr>
          <w:rFonts w:hint="eastAsia" w:ascii="仿宋_GB2312" w:hAnsi="仿宋_GB2312" w:eastAsia="仿宋_GB2312" w:cs="仿宋_GB2312"/>
          <w:sz w:val="32"/>
          <w:szCs w:val="28"/>
          <w:lang w:val="en-US" w:eastAsia="zh-CN"/>
        </w:rPr>
        <w:t>。</w:t>
      </w:r>
    </w:p>
    <w:p>
      <w:pPr>
        <w:pStyle w:val="2"/>
        <w:widowControl/>
        <w:numPr>
          <w:ilvl w:val="0"/>
          <w:numId w:val="0"/>
        </w:numPr>
        <w:spacing w:before="0" w:beforeAutospacing="0" w:after="0" w:afterAutospacing="0" w:line="50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）着力提升“互联网+”。不动产登记</w:t>
      </w:r>
      <w:r>
        <w:rPr>
          <w:rFonts w:hint="eastAsia" w:ascii="仿宋_GB2312" w:hAnsi="仿宋_GB2312" w:eastAsia="仿宋_GB2312" w:cs="仿宋_GB2312"/>
          <w:sz w:val="32"/>
          <w:szCs w:val="28"/>
        </w:rPr>
        <w:t>中心不断完善各项制度，按窗口规范化建设，强化工作责任，提高服务水平，提升办事效率，确保登记质量，保障业务进行，不断创新推出“互联网+</w:t>
      </w:r>
      <w:r>
        <w:rPr>
          <w:rFonts w:hint="eastAsia" w:ascii="仿宋_GB2312" w:hAnsi="仿宋_GB2312" w:eastAsia="仿宋_GB2312" w:cs="仿宋_GB2312"/>
          <w:sz w:val="32"/>
          <w:szCs w:val="28"/>
          <w:lang w:eastAsia="zh-CN"/>
        </w:rPr>
        <w:t>不动产</w:t>
      </w:r>
      <w:r>
        <w:rPr>
          <w:rFonts w:hint="eastAsia" w:ascii="仿宋_GB2312" w:hAnsi="仿宋_GB2312" w:eastAsia="仿宋_GB2312" w:cs="仿宋_GB2312"/>
          <w:sz w:val="32"/>
          <w:szCs w:val="28"/>
        </w:rPr>
        <w:t>登记”。</w:t>
      </w:r>
      <w:r>
        <w:rPr>
          <w:rFonts w:hint="eastAsia" w:ascii="仿宋_GB2312" w:hAnsi="仿宋_GB2312" w:eastAsia="仿宋_GB2312" w:cs="仿宋_GB2312"/>
          <w:sz w:val="32"/>
          <w:szCs w:val="28"/>
          <w:lang w:val="en-US" w:eastAsia="zh-CN"/>
        </w:rPr>
        <w:t>利用“建宁自然资源”微信公众号，向公众提供不动产登记的办事指南、政策法规，在大厅明显位置设置了微信公众号的二维码标识，方便公众利用微信查询不动产登记服务指南、一次性告知单等，并提供微信预约、发送领证短信服务。</w:t>
      </w:r>
    </w:p>
    <w:p>
      <w:pPr>
        <w:pStyle w:val="2"/>
        <w:widowControl/>
        <w:numPr>
          <w:ilvl w:val="0"/>
          <w:numId w:val="0"/>
        </w:numPr>
        <w:spacing w:before="0" w:beforeAutospacing="0" w:after="0" w:afterAutospacing="0" w:line="500" w:lineRule="exact"/>
        <w:rPr>
          <w:rFonts w:hint="eastAsia" w:ascii="仿宋_GB2312" w:hAnsi="仿宋_GB2312" w:eastAsia="仿宋_GB2312" w:cs="仿宋_GB2312"/>
          <w:sz w:val="32"/>
          <w:szCs w:val="28"/>
        </w:rPr>
      </w:pPr>
    </w:p>
    <w:p>
      <w:pPr>
        <w:pStyle w:val="2"/>
        <w:widowControl/>
        <w:spacing w:before="0" w:beforeAutospacing="0" w:after="0" w:afterAutospacing="0" w:line="5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对于涉及规划计划、土地出让划拨等重点领域相关内容均在政府门户网站专栏予以公开，方便社会各界群众咨询、办事和部门监督。2020年我局主动公开政府信息33条，均为通过政府网站公开政府信息，其中规划计划类信息16条、城乡建设类信息16条、 按其他类信息1条。</w:t>
      </w:r>
    </w:p>
    <w:p>
      <w:pPr>
        <w:pStyle w:val="2"/>
        <w:widowControl/>
        <w:spacing w:before="0" w:beforeAutospacing="0" w:after="0" w:afterAutospacing="0" w:line="50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3.及时公开部门预决算信息</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w:t>
      </w:r>
      <w:r>
        <w:rPr>
          <w:rFonts w:hint="eastAsia" w:ascii="Times New Roman" w:hAnsi="Times New Roman" w:eastAsia="仿宋_GB2312"/>
          <w:sz w:val="32"/>
          <w:szCs w:val="32"/>
        </w:rPr>
        <w:t>县政府</w:t>
      </w:r>
      <w:r>
        <w:rPr>
          <w:rFonts w:ascii="Times New Roman" w:hAnsi="Times New Roman" w:eastAsia="仿宋_GB2312"/>
          <w:sz w:val="32"/>
          <w:szCs w:val="32"/>
        </w:rPr>
        <w:t>统一部署，于201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门户网站公开201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年部门预算，内容包括有关文字说明和所有应公开的部门预算表格</w:t>
      </w:r>
      <w:r>
        <w:rPr>
          <w:rFonts w:hint="eastAsia" w:ascii="Times New Roman" w:hAnsi="Times New Roman" w:eastAsia="仿宋_GB2312"/>
          <w:sz w:val="32"/>
          <w:szCs w:val="32"/>
          <w:lang w:eastAsia="zh-CN"/>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月20日在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门户网站公开201</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年度部门决算，</w:t>
      </w:r>
      <w:r>
        <w:rPr>
          <w:rFonts w:hint="eastAsia" w:ascii="Times New Roman" w:hAnsi="Times New Roman" w:eastAsia="仿宋_GB2312"/>
          <w:sz w:val="32"/>
          <w:szCs w:val="32"/>
          <w:lang w:eastAsia="zh-CN"/>
        </w:rPr>
        <w:t>内容包括部门概况、</w:t>
      </w:r>
      <w:r>
        <w:rPr>
          <w:rFonts w:hint="eastAsia" w:ascii="Times New Roman" w:hAnsi="Times New Roman" w:eastAsia="仿宋_GB2312"/>
          <w:sz w:val="32"/>
          <w:szCs w:val="32"/>
          <w:lang w:val="en-US" w:eastAsia="zh-CN"/>
        </w:rPr>
        <w:t>2018年度部门决算表、2018年度部门决算情况说明</w:t>
      </w:r>
      <w:r>
        <w:rPr>
          <w:rFonts w:hint="eastAsia" w:ascii="Times New Roman" w:hAnsi="Times New Roman" w:eastAsia="仿宋_GB2312"/>
          <w:sz w:val="32"/>
          <w:szCs w:val="32"/>
          <w:lang w:eastAsia="zh-CN"/>
        </w:rPr>
        <w:t>。</w:t>
      </w:r>
      <w:r>
        <w:rPr>
          <w:rFonts w:ascii="Times New Roman" w:hAnsi="Times New Roman" w:eastAsia="仿宋_GB2312"/>
          <w:sz w:val="32"/>
          <w:szCs w:val="32"/>
        </w:rPr>
        <w:t>并在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户网站预决算公开专栏汇总集中近年来预决算公开信息，便于社会公众查询监督。20</w:t>
      </w:r>
      <w:r>
        <w:rPr>
          <w:rFonts w:hint="eastAsia" w:ascii="Times New Roman" w:hAnsi="Times New Roman" w:eastAsia="仿宋_GB2312"/>
          <w:sz w:val="32"/>
          <w:szCs w:val="32"/>
        </w:rPr>
        <w:t>20</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16</w:t>
      </w:r>
      <w:r>
        <w:rPr>
          <w:rFonts w:ascii="Times New Roman" w:hAnsi="Times New Roman" w:eastAsia="仿宋_GB2312"/>
          <w:sz w:val="32"/>
          <w:szCs w:val="32"/>
        </w:rPr>
        <w:t>日在</w:t>
      </w:r>
      <w:r>
        <w:rPr>
          <w:rFonts w:hint="eastAsia" w:ascii="Times New Roman" w:hAnsi="Times New Roman" w:eastAsia="仿宋_GB2312"/>
          <w:sz w:val="32"/>
          <w:szCs w:val="32"/>
        </w:rPr>
        <w:t>政府</w:t>
      </w:r>
      <w:r>
        <w:rPr>
          <w:rFonts w:ascii="Times New Roman" w:hAnsi="Times New Roman" w:eastAsia="仿宋_GB2312"/>
          <w:sz w:val="32"/>
          <w:szCs w:val="32"/>
        </w:rPr>
        <w:t>门户网站公开20</w:t>
      </w:r>
      <w:r>
        <w:rPr>
          <w:rFonts w:hint="eastAsia" w:ascii="Times New Roman" w:hAnsi="Times New Roman" w:eastAsia="仿宋_GB2312"/>
          <w:sz w:val="32"/>
          <w:szCs w:val="32"/>
        </w:rPr>
        <w:t>20</w:t>
      </w:r>
      <w:r>
        <w:rPr>
          <w:rFonts w:ascii="Times New Roman" w:hAnsi="Times New Roman" w:eastAsia="仿宋_GB2312"/>
          <w:sz w:val="32"/>
          <w:szCs w:val="32"/>
        </w:rPr>
        <w:t>年部门预算，内容包括有关文字说明和所有应公开的部门预算表格</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20</w:t>
      </w:r>
      <w:r>
        <w:rPr>
          <w:rFonts w:ascii="Times New Roman" w:hAnsi="Times New Roman" w:eastAsia="仿宋_GB2312"/>
          <w:sz w:val="32"/>
          <w:szCs w:val="32"/>
        </w:rPr>
        <w:t>年</w:t>
      </w:r>
      <w:r>
        <w:rPr>
          <w:rFonts w:hint="eastAsia" w:ascii="Times New Roman" w:hAnsi="Times New Roman" w:eastAsia="仿宋_GB2312"/>
          <w:sz w:val="32"/>
          <w:szCs w:val="32"/>
        </w:rPr>
        <w:t>8</w:t>
      </w:r>
      <w:r>
        <w:rPr>
          <w:rFonts w:ascii="Times New Roman" w:hAnsi="Times New Roman" w:eastAsia="仿宋_GB2312"/>
          <w:sz w:val="32"/>
          <w:szCs w:val="32"/>
        </w:rPr>
        <w:t>月2</w:t>
      </w:r>
      <w:r>
        <w:rPr>
          <w:rFonts w:hint="eastAsia" w:ascii="Times New Roman" w:hAnsi="Times New Roman" w:eastAsia="仿宋_GB2312"/>
          <w:sz w:val="32"/>
          <w:szCs w:val="32"/>
        </w:rPr>
        <w:t>6</w:t>
      </w:r>
      <w:r>
        <w:rPr>
          <w:rFonts w:ascii="Times New Roman" w:hAnsi="Times New Roman" w:eastAsia="仿宋_GB2312"/>
          <w:sz w:val="32"/>
          <w:szCs w:val="32"/>
        </w:rPr>
        <w:t>日在</w:t>
      </w:r>
      <w:r>
        <w:rPr>
          <w:rFonts w:hint="eastAsia" w:ascii="Times New Roman" w:hAnsi="Times New Roman" w:eastAsia="仿宋_GB2312"/>
          <w:sz w:val="32"/>
          <w:szCs w:val="32"/>
        </w:rPr>
        <w:t>政府</w:t>
      </w:r>
      <w:r>
        <w:rPr>
          <w:rFonts w:ascii="Times New Roman" w:hAnsi="Times New Roman" w:eastAsia="仿宋_GB2312"/>
          <w:sz w:val="32"/>
          <w:szCs w:val="32"/>
        </w:rPr>
        <w:t>门户网站公开20</w:t>
      </w:r>
      <w:r>
        <w:rPr>
          <w:rFonts w:hint="eastAsia" w:ascii="Times New Roman" w:hAnsi="Times New Roman" w:eastAsia="仿宋_GB2312"/>
          <w:sz w:val="32"/>
          <w:szCs w:val="32"/>
        </w:rPr>
        <w:t>19</w:t>
      </w:r>
      <w:r>
        <w:rPr>
          <w:rFonts w:ascii="Times New Roman" w:hAnsi="Times New Roman" w:eastAsia="仿宋_GB2312"/>
          <w:sz w:val="32"/>
          <w:szCs w:val="32"/>
        </w:rPr>
        <w:t>年度部门决算，</w:t>
      </w:r>
      <w:r>
        <w:rPr>
          <w:rFonts w:hint="eastAsia" w:ascii="Times New Roman" w:hAnsi="Times New Roman" w:eastAsia="仿宋_GB2312"/>
          <w:sz w:val="32"/>
          <w:szCs w:val="32"/>
        </w:rPr>
        <w:t>内容包括部门概况、2019年度部门决算表、2019年度部门决算情况说明。</w:t>
      </w:r>
      <w:r>
        <w:rPr>
          <w:rFonts w:ascii="Times New Roman" w:hAnsi="Times New Roman" w:eastAsia="仿宋_GB2312"/>
          <w:sz w:val="32"/>
          <w:szCs w:val="32"/>
        </w:rPr>
        <w:t>并在</w:t>
      </w:r>
      <w:r>
        <w:rPr>
          <w:rFonts w:hint="eastAsia" w:ascii="Times New Roman" w:hAnsi="Times New Roman" w:eastAsia="仿宋_GB2312"/>
          <w:sz w:val="32"/>
          <w:szCs w:val="32"/>
        </w:rPr>
        <w:t>政府</w:t>
      </w:r>
      <w:r>
        <w:rPr>
          <w:rFonts w:ascii="Times New Roman" w:hAnsi="Times New Roman" w:eastAsia="仿宋_GB2312"/>
          <w:sz w:val="32"/>
          <w:szCs w:val="32"/>
        </w:rPr>
        <w:t>户网站预决算公开专栏汇总集中近年来预决算公开信息，便于社会公众查询监督。</w:t>
      </w:r>
    </w:p>
    <w:p>
      <w:pPr>
        <w:spacing w:line="500" w:lineRule="exact"/>
        <w:ind w:firstLine="640" w:firstLineChars="200"/>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rPr>
        <w:t>（二）依申请公开情况</w:t>
      </w:r>
    </w:p>
    <w:p>
      <w:pPr>
        <w:spacing w:line="500" w:lineRule="exact"/>
        <w:ind w:firstLine="640" w:firstLineChars="200"/>
        <w:jc w:val="lef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2020年度尚未收到涉及自然资源管理政府信息公开的申请件，特此说明。</w:t>
      </w:r>
    </w:p>
    <w:p>
      <w:pPr>
        <w:spacing w:line="500" w:lineRule="exact"/>
        <w:ind w:firstLine="640" w:firstLineChars="200"/>
        <w:jc w:val="left"/>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（三）政务新媒体建设情况</w:t>
      </w:r>
    </w:p>
    <w:p>
      <w:pPr>
        <w:spacing w:line="500" w:lineRule="exact"/>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局依照制定的《建宁县自然资源局微信公众号管理办法》《中共建宁县自然资源局党组关于网络舆论引导和舆情处置工作方案》等新媒体管理制度，严格执行微信公众号信息发布审查制度、安全管理制度、保密审查制度、应急处置及舆情处置等制度。依托微信公众号，积极宣传自然资源法律法规和相关政策、局工作开展情况，通过发布直播预告和小品视频讲解永久基本农田保护、地灾防治、自然资源管理、不动产权证办理等知识，寓教于乐，在做到信息公开普及的同时将自然资源工作普及于民，做到“执法者普法”。</w:t>
      </w:r>
    </w:p>
    <w:p>
      <w:pPr>
        <w:pStyle w:val="2"/>
        <w:widowControl/>
        <w:spacing w:before="0" w:beforeAutospacing="0" w:after="0" w:afterAutospacing="0" w:line="500" w:lineRule="exact"/>
        <w:ind w:firstLine="640" w:firstLineChars="200"/>
      </w:pPr>
      <w:r>
        <w:rPr>
          <w:rFonts w:hint="eastAsia" w:ascii="黑体" w:hAnsi="黑体" w:eastAsia="黑体" w:cs="黑体"/>
          <w:sz w:val="32"/>
          <w:szCs w:val="32"/>
        </w:rPr>
        <w:t>二、主动公开政府信息情况</w:t>
      </w:r>
    </w:p>
    <w:tbl>
      <w:tblPr>
        <w:tblStyle w:val="3"/>
        <w:tblW w:w="8401" w:type="dxa"/>
        <w:jc w:val="center"/>
        <w:tblInd w:w="0" w:type="dxa"/>
        <w:tblLayout w:type="fixed"/>
        <w:tblCellMar>
          <w:top w:w="15" w:type="dxa"/>
          <w:left w:w="15" w:type="dxa"/>
          <w:bottom w:w="15" w:type="dxa"/>
          <w:right w:w="15" w:type="dxa"/>
        </w:tblCellMar>
      </w:tblPr>
      <w:tblGrid>
        <w:gridCol w:w="2714"/>
        <w:gridCol w:w="2000"/>
        <w:gridCol w:w="1650"/>
        <w:gridCol w:w="2037"/>
      </w:tblGrid>
      <w:tr>
        <w:tblPrEx>
          <w:tblLayout w:type="fixed"/>
          <w:tblCellMar>
            <w:top w:w="15" w:type="dxa"/>
            <w:left w:w="15" w:type="dxa"/>
            <w:bottom w:w="15" w:type="dxa"/>
            <w:right w:w="15" w:type="dxa"/>
          </w:tblCellMar>
        </w:tblPrEx>
        <w:trPr>
          <w:trHeight w:val="495" w:hRule="atLeast"/>
          <w:jc w:val="center"/>
        </w:trPr>
        <w:tc>
          <w:tcPr>
            <w:tcW w:w="8401"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第二十条第（一）项</w:t>
            </w:r>
          </w:p>
        </w:tc>
      </w:tr>
      <w:tr>
        <w:tblPrEx>
          <w:tblLayout w:type="fixed"/>
          <w:tblCellMar>
            <w:top w:w="15" w:type="dxa"/>
            <w:left w:w="15" w:type="dxa"/>
            <w:bottom w:w="15" w:type="dxa"/>
            <w:right w:w="15" w:type="dxa"/>
          </w:tblCellMar>
        </w:tblPrEx>
        <w:trPr>
          <w:trHeight w:val="882"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本年新</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制作数量</w:t>
            </w:r>
          </w:p>
        </w:tc>
        <w:tc>
          <w:tcPr>
            <w:tcW w:w="1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本年新</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公开数量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对外公开总数量</w:t>
            </w:r>
          </w:p>
        </w:tc>
      </w:tr>
      <w:tr>
        <w:tblPrEx>
          <w:tblLayout w:type="fixed"/>
          <w:tblCellMar>
            <w:top w:w="15" w:type="dxa"/>
            <w:left w:w="15" w:type="dxa"/>
            <w:bottom w:w="15" w:type="dxa"/>
            <w:right w:w="15" w:type="dxa"/>
          </w:tblCellMar>
        </w:tblPrEx>
        <w:trPr>
          <w:trHeight w:val="523"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规章</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r>
      <w:tr>
        <w:tblPrEx>
          <w:tblLayout w:type="fixed"/>
          <w:tblCellMar>
            <w:top w:w="15" w:type="dxa"/>
            <w:left w:w="15" w:type="dxa"/>
            <w:bottom w:w="15" w:type="dxa"/>
            <w:right w:w="15" w:type="dxa"/>
          </w:tblCellMar>
        </w:tblPrEx>
        <w:trPr>
          <w:trHeight w:val="471"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规范性文件</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16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r>
      <w:tr>
        <w:tblPrEx>
          <w:tblLayout w:type="fixed"/>
          <w:tblCellMar>
            <w:top w:w="15" w:type="dxa"/>
            <w:left w:w="15" w:type="dxa"/>
            <w:bottom w:w="15" w:type="dxa"/>
            <w:right w:w="15" w:type="dxa"/>
          </w:tblCellMar>
        </w:tblPrEx>
        <w:trPr>
          <w:trHeight w:val="480"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第二十条第（五）项</w:t>
            </w:r>
          </w:p>
        </w:tc>
      </w:tr>
      <w:tr>
        <w:tblPrEx>
          <w:tblLayout w:type="fixed"/>
          <w:tblCellMar>
            <w:top w:w="15" w:type="dxa"/>
            <w:left w:w="15" w:type="dxa"/>
            <w:bottom w:w="15" w:type="dxa"/>
            <w:right w:w="15"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上一年项目数量</w:t>
            </w:r>
          </w:p>
        </w:tc>
        <w:tc>
          <w:tcPr>
            <w:tcW w:w="1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本年增/减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处理决定数量</w:t>
            </w:r>
          </w:p>
        </w:tc>
      </w:tr>
      <w:tr>
        <w:tblPrEx>
          <w:tblLayout w:type="fixed"/>
          <w:tblCellMar>
            <w:top w:w="15" w:type="dxa"/>
            <w:left w:w="15" w:type="dxa"/>
            <w:bottom w:w="15" w:type="dxa"/>
            <w:right w:w="15" w:type="dxa"/>
          </w:tblCellMar>
        </w:tblPrEx>
        <w:trPr>
          <w:trHeight w:val="528"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行政许可</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eastAsia="宋体"/>
                <w:lang w:eastAsia="zh-CN"/>
              </w:rPr>
            </w:pPr>
            <w:r>
              <w:rPr>
                <w:rFonts w:hint="eastAsia" w:ascii="宋体" w:hAnsi="宋体" w:cs="宋体"/>
                <w:color w:val="000000"/>
                <w:kern w:val="0"/>
                <w:sz w:val="24"/>
                <w:szCs w:val="24"/>
                <w:lang w:bidi="ar"/>
              </w:rPr>
              <w:t>　</w:t>
            </w:r>
            <w:r>
              <w:rPr>
                <w:rFonts w:hint="eastAsia" w:ascii="宋体" w:hAnsi="宋体" w:cs="宋体"/>
                <w:color w:val="000000"/>
                <w:kern w:val="0"/>
                <w:sz w:val="24"/>
                <w:szCs w:val="24"/>
                <w:lang w:val="en-US" w:eastAsia="zh-CN" w:bidi="ar"/>
              </w:rPr>
              <w:t>8</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eastAsia="宋体"/>
                <w:lang w:eastAsia="zh-CN"/>
              </w:rPr>
            </w:pPr>
            <w:r>
              <w:rPr>
                <w:rFonts w:hint="eastAsia" w:ascii="宋体" w:hAnsi="宋体" w:cs="宋体"/>
                <w:color w:val="000000"/>
                <w:kern w:val="0"/>
                <w:sz w:val="24"/>
                <w:szCs w:val="24"/>
                <w:lang w:bidi="ar"/>
              </w:rPr>
              <w:t>　</w:t>
            </w:r>
            <w:r>
              <w:rPr>
                <w:rFonts w:hint="eastAsia" w:ascii="宋体" w:hAnsi="宋体" w:cs="宋体"/>
                <w:color w:val="000000"/>
                <w:kern w:val="0"/>
                <w:sz w:val="24"/>
                <w:szCs w:val="24"/>
                <w:lang w:val="en-US" w:eastAsia="zh-CN" w:bidi="ar"/>
              </w:rPr>
              <w:t>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85</w:t>
            </w:r>
          </w:p>
        </w:tc>
      </w:tr>
      <w:tr>
        <w:tblPrEx>
          <w:tblLayout w:type="fixed"/>
          <w:tblCellMar>
            <w:top w:w="15" w:type="dxa"/>
            <w:left w:w="15" w:type="dxa"/>
            <w:bottom w:w="15" w:type="dxa"/>
            <w:right w:w="15" w:type="dxa"/>
          </w:tblCellMar>
        </w:tblPrEx>
        <w:trPr>
          <w:trHeight w:val="55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其他对外管理服务事项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r>
      <w:tr>
        <w:tblPrEx>
          <w:tblLayout w:type="fixed"/>
          <w:tblCellMar>
            <w:top w:w="15" w:type="dxa"/>
            <w:left w:w="15" w:type="dxa"/>
            <w:bottom w:w="15" w:type="dxa"/>
            <w:right w:w="15" w:type="dxa"/>
          </w:tblCellMar>
        </w:tblPrEx>
        <w:trPr>
          <w:trHeight w:val="406"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第二十条第（六）项</w:t>
            </w:r>
          </w:p>
        </w:tc>
      </w:tr>
      <w:tr>
        <w:tblPrEx>
          <w:tblLayout w:type="fixed"/>
          <w:tblCellMar>
            <w:top w:w="15" w:type="dxa"/>
            <w:left w:w="15" w:type="dxa"/>
            <w:bottom w:w="15" w:type="dxa"/>
            <w:right w:w="15"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上一年项目数量</w:t>
            </w:r>
          </w:p>
        </w:tc>
        <w:tc>
          <w:tcPr>
            <w:tcW w:w="16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本年增/减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处理决定数量</w:t>
            </w:r>
          </w:p>
        </w:tc>
      </w:tr>
      <w:tr>
        <w:tblPrEx>
          <w:tblLayout w:type="fixed"/>
          <w:tblCellMar>
            <w:top w:w="15" w:type="dxa"/>
            <w:left w:w="15" w:type="dxa"/>
            <w:bottom w:w="15" w:type="dxa"/>
            <w:right w:w="15" w:type="dxa"/>
          </w:tblCellMar>
        </w:tblPrEx>
        <w:trPr>
          <w:trHeight w:val="43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行政处罚</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14</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5</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19</w:t>
            </w:r>
          </w:p>
        </w:tc>
      </w:tr>
      <w:tr>
        <w:tblPrEx>
          <w:tblLayout w:type="fixed"/>
          <w:tblCellMar>
            <w:top w:w="15" w:type="dxa"/>
            <w:left w:w="15" w:type="dxa"/>
            <w:bottom w:w="15" w:type="dxa"/>
            <w:right w:w="15" w:type="dxa"/>
          </w:tblCellMar>
        </w:tblPrEx>
        <w:trPr>
          <w:trHeight w:val="409"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行政强制</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　0</w:t>
            </w:r>
          </w:p>
        </w:tc>
      </w:tr>
      <w:tr>
        <w:tblPrEx>
          <w:tblLayout w:type="fixed"/>
          <w:tblCellMar>
            <w:top w:w="15" w:type="dxa"/>
            <w:left w:w="15" w:type="dxa"/>
            <w:bottom w:w="15" w:type="dxa"/>
            <w:right w:w="15" w:type="dxa"/>
          </w:tblCellMar>
        </w:tblPrEx>
        <w:trPr>
          <w:trHeight w:val="474"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第二十条第（八）项</w:t>
            </w:r>
          </w:p>
        </w:tc>
      </w:tr>
      <w:tr>
        <w:tblPrEx>
          <w:tblLayout w:type="fixed"/>
          <w:tblCellMar>
            <w:top w:w="15" w:type="dxa"/>
            <w:left w:w="15" w:type="dxa"/>
            <w:bottom w:w="15" w:type="dxa"/>
            <w:right w:w="15" w:type="dxa"/>
          </w:tblCellMar>
        </w:tblPrEx>
        <w:trPr>
          <w:trHeight w:val="27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信息内容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上一年项目数量</w:t>
            </w:r>
          </w:p>
        </w:tc>
        <w:tc>
          <w:tcPr>
            <w:tcW w:w="368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本年增/减</w:t>
            </w:r>
          </w:p>
        </w:tc>
      </w:tr>
      <w:tr>
        <w:tblPrEx>
          <w:tblLayout w:type="fixed"/>
          <w:tblCellMar>
            <w:top w:w="15" w:type="dxa"/>
            <w:left w:w="15" w:type="dxa"/>
            <w:bottom w:w="15" w:type="dxa"/>
            <w:right w:w="15" w:type="dxa"/>
          </w:tblCellMar>
        </w:tblPrEx>
        <w:trPr>
          <w:trHeight w:val="551"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行政事业性收费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eastAsia="宋体"/>
                <w:lang w:val="en-US" w:eastAsia="zh-CN"/>
              </w:rPr>
            </w:pPr>
            <w:r>
              <w:rPr>
                <w:rFonts w:hint="eastAsia" w:ascii="宋体" w:hAnsi="宋体" w:cs="宋体"/>
                <w:color w:val="000000"/>
                <w:kern w:val="0"/>
                <w:sz w:val="24"/>
                <w:szCs w:val="24"/>
                <w:lang w:bidi="ar"/>
              </w:rPr>
              <w:t>　</w:t>
            </w:r>
            <w:r>
              <w:rPr>
                <w:rFonts w:hint="eastAsia" w:ascii="宋体" w:hAnsi="宋体" w:cs="宋体"/>
                <w:color w:val="000000"/>
                <w:kern w:val="0"/>
                <w:sz w:val="24"/>
                <w:szCs w:val="24"/>
                <w:lang w:val="en-US" w:eastAsia="zh-CN" w:bidi="ar"/>
              </w:rPr>
              <w:t>7</w:t>
            </w:r>
          </w:p>
        </w:tc>
        <w:tc>
          <w:tcPr>
            <w:tcW w:w="368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0 </w:t>
            </w:r>
          </w:p>
        </w:tc>
      </w:tr>
      <w:tr>
        <w:tblPrEx>
          <w:tblLayout w:type="fixed"/>
          <w:tblCellMar>
            <w:top w:w="15" w:type="dxa"/>
            <w:left w:w="15" w:type="dxa"/>
            <w:bottom w:w="15" w:type="dxa"/>
            <w:right w:w="15" w:type="dxa"/>
          </w:tblCellMar>
        </w:tblPrEx>
        <w:trPr>
          <w:trHeight w:val="476"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第二十条第（九）项</w:t>
            </w:r>
          </w:p>
        </w:tc>
      </w:tr>
      <w:tr>
        <w:tblPrEx>
          <w:tblLayout w:type="fixed"/>
          <w:tblCellMar>
            <w:top w:w="15" w:type="dxa"/>
            <w:left w:w="15" w:type="dxa"/>
            <w:bottom w:w="15" w:type="dxa"/>
            <w:right w:w="15" w:type="dxa"/>
          </w:tblCellMar>
        </w:tblPrEx>
        <w:trPr>
          <w:trHeight w:val="585"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信息内容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采购项目数量</w:t>
            </w:r>
          </w:p>
        </w:tc>
        <w:tc>
          <w:tcPr>
            <w:tcW w:w="368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4"/>
                <w:szCs w:val="24"/>
                <w:lang w:bidi="ar"/>
              </w:rPr>
              <w:t>采购总金额</w:t>
            </w:r>
          </w:p>
        </w:tc>
      </w:tr>
      <w:tr>
        <w:tblPrEx>
          <w:tblLayout w:type="fixed"/>
          <w:tblCellMar>
            <w:top w:w="15" w:type="dxa"/>
            <w:left w:w="15" w:type="dxa"/>
            <w:bottom w:w="15" w:type="dxa"/>
            <w:right w:w="15" w:type="dxa"/>
          </w:tblCellMar>
        </w:tblPrEx>
        <w:trPr>
          <w:trHeight w:val="539"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pPr>
            <w:r>
              <w:rPr>
                <w:rFonts w:hint="eastAsia" w:ascii="宋体" w:hAnsi="宋体" w:cs="宋体"/>
                <w:color w:val="000000"/>
                <w:kern w:val="0"/>
                <w:sz w:val="24"/>
                <w:szCs w:val="24"/>
                <w:lang w:bidi="ar"/>
              </w:rPr>
              <w:t>政府集中采购</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default" w:eastAsia="宋体"/>
                <w:lang w:val="en-US" w:eastAsia="zh-CN"/>
              </w:rPr>
            </w:pPr>
            <w:r>
              <w:rPr>
                <w:rFonts w:hint="eastAsia" w:ascii="宋体" w:hAnsi="宋体" w:cs="宋体"/>
                <w:color w:val="000000"/>
                <w:kern w:val="0"/>
                <w:sz w:val="24"/>
                <w:szCs w:val="24"/>
                <w:lang w:bidi="ar"/>
              </w:rPr>
              <w:t>　</w:t>
            </w:r>
            <w:r>
              <w:rPr>
                <w:rFonts w:hint="eastAsia" w:ascii="宋体" w:hAnsi="宋体" w:cs="宋体"/>
                <w:color w:val="000000"/>
                <w:kern w:val="0"/>
                <w:sz w:val="24"/>
                <w:szCs w:val="24"/>
                <w:lang w:val="en-US" w:eastAsia="zh-CN" w:bidi="ar"/>
              </w:rPr>
              <w:t>21</w:t>
            </w:r>
          </w:p>
        </w:tc>
        <w:tc>
          <w:tcPr>
            <w:tcW w:w="368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00" w:afterAutospacing="1"/>
              <w:jc w:val="left"/>
              <w:rPr>
                <w:rFonts w:hint="default" w:eastAsia="宋体"/>
                <w:lang w:val="en-US" w:eastAsia="zh-CN"/>
              </w:rPr>
            </w:pPr>
            <w:r>
              <w:rPr>
                <w:kern w:val="0"/>
                <w:sz w:val="24"/>
                <w:szCs w:val="24"/>
                <w:lang w:bidi="ar"/>
              </w:rPr>
              <w:t> </w:t>
            </w:r>
            <w:r>
              <w:rPr>
                <w:rFonts w:hint="eastAsia"/>
                <w:kern w:val="0"/>
                <w:sz w:val="24"/>
                <w:szCs w:val="24"/>
                <w:lang w:val="en-US" w:eastAsia="zh-CN" w:bidi="ar"/>
              </w:rPr>
              <w:t xml:space="preserve">         298731元</w:t>
            </w:r>
          </w:p>
        </w:tc>
      </w:tr>
    </w:tbl>
    <w:p>
      <w:pPr>
        <w:pStyle w:val="2"/>
        <w:widowControl/>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96"/>
        <w:gridCol w:w="936"/>
        <w:gridCol w:w="2023"/>
        <w:gridCol w:w="798"/>
        <w:gridCol w:w="742"/>
        <w:gridCol w:w="742"/>
        <w:gridCol w:w="798"/>
        <w:gridCol w:w="951"/>
        <w:gridCol w:w="701"/>
        <w:gridCol w:w="6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（本列数据的勾稽关系为：第一项加第二项之和，等于第三项加第四项之和）</w:t>
            </w:r>
          </w:p>
        </w:tc>
        <w:tc>
          <w:tcPr>
            <w:tcW w:w="5416"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79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自然人</w:t>
            </w:r>
          </w:p>
        </w:tc>
        <w:tc>
          <w:tcPr>
            <w:tcW w:w="393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法人或其他组织</w:t>
            </w:r>
          </w:p>
        </w:tc>
        <w:tc>
          <w:tcPr>
            <w:tcW w:w="68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798"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商业企业</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科研机构</w:t>
            </w:r>
          </w:p>
        </w:tc>
        <w:tc>
          <w:tcPr>
            <w:tcW w:w="7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社会公益组织</w:t>
            </w:r>
          </w:p>
        </w:tc>
        <w:tc>
          <w:tcPr>
            <w:tcW w:w="9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法律服务机构</w:t>
            </w:r>
          </w:p>
        </w:tc>
        <w:tc>
          <w:tcPr>
            <w:tcW w:w="7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其他</w:t>
            </w:r>
          </w:p>
        </w:tc>
        <w:tc>
          <w:tcPr>
            <w:tcW w:w="684"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宋体" w:hAnsi="宋体" w:cs="宋体"/>
                <w:kern w:val="0"/>
                <w:sz w:val="24"/>
                <w:szCs w:val="24"/>
                <w:lang w:bidi="ar"/>
              </w:rPr>
              <w:t>一、本年新收政府信息公开申请数量</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宋体" w:hAnsi="宋体" w:cs="宋体"/>
                <w:kern w:val="0"/>
                <w:sz w:val="24"/>
                <w:szCs w:val="24"/>
                <w:lang w:bidi="ar"/>
              </w:rPr>
              <w:t>二、上年结转政府信息公开申请数量</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4"/>
                <w:szCs w:val="24"/>
                <w:lang w:bidi="ar"/>
              </w:rPr>
              <w:t>三、本年度办理结果</w:t>
            </w:r>
          </w:p>
        </w:tc>
        <w:tc>
          <w:tcPr>
            <w:tcW w:w="29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（一）予以公开</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9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（二）部分公开（区分处理的，只计这一情形，不计其他情形）</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（三）不予公开</w:t>
            </w: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1.属于国家秘密</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2.其他法律行政法规禁止公开</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3.危及“三安全一稳定”</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4.保护第三方合法权益</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5.属于三类内部事务信息</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6.属于四类过程性信息</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7.属于行政执法案卷</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8.属于行政查询事项</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（四）无法提供</w:t>
            </w: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1.本机关不掌握相关政府信息</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2.没有现成信息需要另行制作</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3.补正后申请内容仍不明确</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（五）不予处理</w:t>
            </w: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1.信访举报投诉类申请</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2.重复申请</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3.要求提供公开出版物</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4.无正当理由大量反复申请</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936"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0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5.要求行政机关确认或重新出具已获取信息</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9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（六）其他处理</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29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楷体" w:hAnsi="楷体" w:eastAsia="楷体" w:cs="楷体"/>
                <w:kern w:val="0"/>
                <w:sz w:val="24"/>
                <w:szCs w:val="24"/>
                <w:lang w:bidi="ar"/>
              </w:rPr>
              <w:t>（七）总计</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left"/>
            </w:pPr>
            <w:r>
              <w:rPr>
                <w:rFonts w:hint="eastAsia" w:ascii="宋体" w:hAnsi="宋体" w:cs="宋体"/>
                <w:kern w:val="0"/>
                <w:sz w:val="24"/>
                <w:szCs w:val="24"/>
                <w:lang w:bidi="ar"/>
              </w:rPr>
              <w:t>四、结转下年度继续办理</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c>
          <w:tcPr>
            <w:tcW w:w="7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cs="Calibri"/>
                <w:kern w:val="0"/>
                <w:sz w:val="24"/>
                <w:szCs w:val="24"/>
                <w:lang w:bidi="ar"/>
              </w:rPr>
              <w:t> </w:t>
            </w:r>
            <w:r>
              <w:rPr>
                <w:rFonts w:hint="eastAsia" w:cs="Calibri"/>
                <w:kern w:val="0"/>
                <w:sz w:val="24"/>
                <w:szCs w:val="24"/>
                <w:lang w:bidi="ar"/>
              </w:rPr>
              <w:t>0</w:t>
            </w:r>
          </w:p>
        </w:tc>
        <w:tc>
          <w:tcPr>
            <w:tcW w:w="6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4"/>
                <w:szCs w:val="24"/>
                <w:lang w:bidi="ar"/>
              </w:rPr>
              <w:t>0</w:t>
            </w:r>
            <w:r>
              <w:rPr>
                <w:rFonts w:cs="Calibri"/>
                <w:kern w:val="0"/>
                <w:sz w:val="24"/>
                <w:szCs w:val="24"/>
                <w:lang w:bidi="ar"/>
              </w:rPr>
              <w:t> </w:t>
            </w:r>
          </w:p>
        </w:tc>
      </w:tr>
    </w:tbl>
    <w:p>
      <w:pPr>
        <w:pStyle w:val="2"/>
        <w:widowControl/>
        <w:spacing w:line="500" w:lineRule="exact"/>
        <w:ind w:firstLine="640" w:firstLineChars="200"/>
      </w:pPr>
      <w:r>
        <w:rPr>
          <w:rFonts w:hint="eastAsia" w:ascii="黑体" w:hAnsi="黑体" w:eastAsia="黑体" w:cs="黑体"/>
          <w:sz w:val="32"/>
          <w:szCs w:val="32"/>
        </w:rPr>
        <w:t>四、政府信息公开行政复议、行政诉讼情况</w:t>
      </w:r>
    </w:p>
    <w:tbl>
      <w:tblPr>
        <w:tblStyle w:val="3"/>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567"/>
        <w:gridCol w:w="567"/>
        <w:gridCol w:w="567"/>
        <w:gridCol w:w="567"/>
        <w:gridCol w:w="567"/>
        <w:gridCol w:w="567"/>
        <w:gridCol w:w="567"/>
        <w:gridCol w:w="567"/>
        <w:gridCol w:w="567"/>
        <w:gridCol w:w="567"/>
        <w:gridCol w:w="567"/>
        <w:gridCol w:w="567"/>
        <w:gridCol w:w="567"/>
        <w:gridCol w:w="567"/>
        <w:gridCol w:w="5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83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行政复议</w:t>
            </w:r>
          </w:p>
        </w:tc>
        <w:tc>
          <w:tcPr>
            <w:tcW w:w="5670"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55" w:hRule="atLeast"/>
          <w:jc w:val="center"/>
        </w:trPr>
        <w:tc>
          <w:tcPr>
            <w:tcW w:w="56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56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56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其他结果</w:t>
            </w:r>
          </w:p>
        </w:tc>
        <w:tc>
          <w:tcPr>
            <w:tcW w:w="56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56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总计</w:t>
            </w:r>
          </w:p>
        </w:tc>
        <w:tc>
          <w:tcPr>
            <w:tcW w:w="283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未经复议直接起诉</w:t>
            </w:r>
          </w:p>
        </w:tc>
        <w:tc>
          <w:tcPr>
            <w:tcW w:w="283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567"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567"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567"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567"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sz w:val="24"/>
                <w:szCs w:val="24"/>
              </w:rPr>
            </w:pP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其他结果</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0"/>
                <w:szCs w:val="20"/>
                <w:lang w:bidi="ar"/>
              </w:rPr>
              <w:t>总计</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结果维持</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结果纠正</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0"/>
                <w:szCs w:val="20"/>
                <w:lang w:bidi="ar"/>
              </w:rPr>
              <w:t>其他结果</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尚未审结</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5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cs="Calibri"/>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color w:val="000000"/>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pPr>
            <w:r>
              <w:rPr>
                <w:rFonts w:hint="eastAsia" w:ascii="宋体" w:hAnsi="宋体" w:cs="宋体"/>
                <w:kern w:val="0"/>
                <w:sz w:val="20"/>
                <w:szCs w:val="20"/>
                <w:lang w:bidi="ar"/>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80"/>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bl>
    <w:p>
      <w:pPr>
        <w:pStyle w:val="2"/>
        <w:widowControl/>
        <w:spacing w:line="500" w:lineRule="exact"/>
        <w:ind w:firstLine="640" w:firstLineChars="200"/>
      </w:pPr>
      <w:r>
        <w:rPr>
          <w:rFonts w:hint="eastAsia" w:ascii="黑体" w:hAnsi="黑体" w:eastAsia="黑体" w:cs="黑体"/>
          <w:sz w:val="32"/>
          <w:szCs w:val="32"/>
        </w:rPr>
        <w:t>五、存在的主要问题及改进情况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一是政务信息公开宣传力度不足，有待进一步加强；二是政府信息公开形式还不够丰富，对信息公开的时效性重视不足。</w:t>
      </w:r>
      <w:r>
        <w:rPr>
          <w:rFonts w:ascii="仿宋_GB2312" w:hAnsi="仿宋_GB2312" w:eastAsia="仿宋_GB2312" w:cs="仿宋_GB2312"/>
          <w:sz w:val="32"/>
          <w:szCs w:val="32"/>
        </w:rPr>
        <w:t xml:space="preserve"> </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进一步加大政府信息公开力度，及时公布机构改革后的职能调整、内设机构调整、领导职责分工调整等信息，依法保障公民的知情权、参与权和监督权；对政府信息公开相关人员加强学习培训，进一步提高工作人员的业务水平与责任意识。充分利用政府门户网站、户外宣传栏，加大对政府信息公开的宣传力度，提高公众参与率和知晓率，为公众提供优质的政府信息服务。</w:t>
      </w:r>
    </w:p>
    <w:p>
      <w:pPr>
        <w:pStyle w:val="2"/>
        <w:widowControl/>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pStyle w:val="2"/>
        <w:widowControl/>
        <w:spacing w:line="500" w:lineRule="exact"/>
        <w:ind w:firstLine="640" w:firstLineChars="200"/>
      </w:pPr>
      <w:r>
        <w:rPr>
          <w:rFonts w:hint="eastAsia" w:ascii="仿宋_GB2312" w:hAnsi="仿宋_GB2312" w:eastAsia="仿宋_GB2312" w:cs="仿宋_GB2312"/>
          <w:sz w:val="32"/>
          <w:szCs w:val="32"/>
        </w:rPr>
        <w:t>需要说明的其他事项：无</w:t>
      </w:r>
    </w:p>
    <w:p>
      <w:pPr>
        <w:spacing w:line="600" w:lineRule="exact"/>
        <w:rPr>
          <w:rFonts w:ascii="仿宋_GB2312" w:eastAsia="仿宋_GB2312"/>
          <w:b/>
          <w:sz w:val="30"/>
          <w:szCs w:val="30"/>
        </w:rPr>
      </w:pPr>
    </w:p>
    <w:p>
      <w:pPr>
        <w:spacing w:line="600" w:lineRule="exact"/>
        <w:rPr>
          <w:rFonts w:ascii="仿宋_GB2312" w:eastAsia="仿宋_GB2312"/>
          <w:b/>
          <w:sz w:val="30"/>
          <w:szCs w:val="30"/>
        </w:rPr>
      </w:pPr>
    </w:p>
    <w:p>
      <w:pPr>
        <w:pStyle w:val="2"/>
        <w:widowControl/>
        <w:spacing w:before="0" w:beforeAutospacing="0" w:after="0" w:afterAutospacing="0" w:line="560" w:lineRule="exact"/>
        <w:ind w:firstLine="4486" w:firstLineChars="140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建宁县自然资源局</w:t>
      </w:r>
    </w:p>
    <w:p>
      <w:pPr>
        <w:pStyle w:val="2"/>
        <w:widowControl/>
        <w:spacing w:before="0" w:beforeAutospacing="0" w:after="0" w:afterAutospacing="0" w:line="560" w:lineRule="exact"/>
        <w:ind w:firstLine="4800" w:firstLineChars="15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年1月8日</w:t>
      </w:r>
    </w:p>
    <w:p>
      <w:pPr>
        <w:spacing w:line="600" w:lineRule="exact"/>
        <w:rPr>
          <w:rFonts w:ascii="仿宋_GB2312" w:eastAsia="仿宋_GB2312"/>
          <w:b/>
          <w:sz w:val="30"/>
          <w:szCs w:val="30"/>
        </w:rPr>
      </w:pPr>
    </w:p>
    <w:p>
      <w:pPr>
        <w:spacing w:line="600" w:lineRule="exact"/>
        <w:rPr>
          <w:rFonts w:ascii="仿宋_GB2312" w:eastAsia="仿宋_GB2312"/>
          <w:b/>
          <w:sz w:val="30"/>
          <w:szCs w:val="30"/>
        </w:rPr>
      </w:pPr>
    </w:p>
    <w:p>
      <w:pPr>
        <w:spacing w:line="600" w:lineRule="exact"/>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8D36B"/>
    <w:multiLevelType w:val="singleLevel"/>
    <w:tmpl w:val="4EF8D36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tRq4E6VUT3ZcU5whhHUZGF+G7v4=" w:salt="yoyum3XikelXsZ+H4ix1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20264"/>
    <w:rsid w:val="00392344"/>
    <w:rsid w:val="00512D16"/>
    <w:rsid w:val="00875538"/>
    <w:rsid w:val="0090374E"/>
    <w:rsid w:val="00E85B4A"/>
    <w:rsid w:val="05BE34D3"/>
    <w:rsid w:val="05F2222C"/>
    <w:rsid w:val="0D1813D4"/>
    <w:rsid w:val="0EC7084D"/>
    <w:rsid w:val="127F2786"/>
    <w:rsid w:val="18F6103D"/>
    <w:rsid w:val="191927C3"/>
    <w:rsid w:val="1D91626D"/>
    <w:rsid w:val="1DB277F3"/>
    <w:rsid w:val="1E184116"/>
    <w:rsid w:val="24420264"/>
    <w:rsid w:val="2C4D4E08"/>
    <w:rsid w:val="2FAF129D"/>
    <w:rsid w:val="3B635722"/>
    <w:rsid w:val="3D5A72F0"/>
    <w:rsid w:val="414C4806"/>
    <w:rsid w:val="479D6412"/>
    <w:rsid w:val="4A913366"/>
    <w:rsid w:val="4D3D79EA"/>
    <w:rsid w:val="54551C0B"/>
    <w:rsid w:val="579A1B6D"/>
    <w:rsid w:val="5FBA3986"/>
    <w:rsid w:val="629C1144"/>
    <w:rsid w:val="63CA6D84"/>
    <w:rsid w:val="66927A5A"/>
    <w:rsid w:val="70215BB5"/>
    <w:rsid w:val="7120600F"/>
    <w:rsid w:val="76644191"/>
    <w:rsid w:val="7FC6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484</Words>
  <Characters>2762</Characters>
  <Lines>23</Lines>
  <Paragraphs>6</Paragraphs>
  <TotalTime>2</TotalTime>
  <ScaleCrop>false</ScaleCrop>
  <LinksUpToDate>false</LinksUpToDate>
  <CharactersWithSpaces>3240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2020-12-14T09:25:00Z</dcterms:created>
  <dc:creator>迷茫</dc:creator>
  <cp:lastModifiedBy>迷茫</cp:lastModifiedBy>
  <dcterms:modified xsi:type="dcterms:W3CDTF">2021-04-21T03:36:03Z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