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27" w:rsidRDefault="00894427" w:rsidP="00894427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894427" w:rsidRDefault="00894427" w:rsidP="00894427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894427" w:rsidRDefault="00894427" w:rsidP="00894427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894427" w:rsidRDefault="00894427" w:rsidP="00894427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894427" w:rsidRDefault="00894427" w:rsidP="00894427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894427" w:rsidRDefault="00894427" w:rsidP="00894427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894427" w:rsidRPr="0020726A" w:rsidRDefault="00894427" w:rsidP="00894427">
      <w:pPr>
        <w:ind w:firstLineChars="850" w:firstLine="2720"/>
        <w:rPr>
          <w:rFonts w:ascii="仿宋_GB2312" w:eastAsia="仿宋_GB2312"/>
          <w:sz w:val="32"/>
          <w:szCs w:val="32"/>
        </w:rPr>
      </w:pPr>
      <w:r w:rsidRPr="0044060F">
        <w:rPr>
          <w:rFonts w:ascii="仿宋_GB2312" w:eastAsia="仿宋_GB2312" w:hint="eastAsia"/>
          <w:sz w:val="32"/>
          <w:szCs w:val="32"/>
        </w:rPr>
        <w:t>建林</w:t>
      </w:r>
      <w:r w:rsidR="000035D4">
        <w:rPr>
          <w:rFonts w:ascii="仿宋_GB2312" w:eastAsia="仿宋_GB2312" w:hint="eastAsia"/>
          <w:sz w:val="32"/>
          <w:szCs w:val="32"/>
        </w:rPr>
        <w:t>综</w:t>
      </w:r>
      <w:r>
        <w:rPr>
          <w:rFonts w:ascii="仿宋_GB2312" w:eastAsia="仿宋_GB2312" w:hint="eastAsia"/>
          <w:sz w:val="32"/>
          <w:szCs w:val="32"/>
        </w:rPr>
        <w:t>〔2021〕</w:t>
      </w:r>
      <w:r w:rsidR="00CA5A97"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894427" w:rsidRPr="002C706A" w:rsidRDefault="00894427" w:rsidP="00894427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300A89" w:rsidRPr="00606A92" w:rsidRDefault="00606A92" w:rsidP="000B7886">
      <w:pPr>
        <w:spacing w:line="580" w:lineRule="exact"/>
        <w:rPr>
          <w:rFonts w:ascii="方正小标宋简体" w:eastAsia="方正小标宋简体"/>
          <w:sz w:val="44"/>
          <w:szCs w:val="44"/>
        </w:rPr>
      </w:pPr>
      <w:r w:rsidRPr="00606A92">
        <w:rPr>
          <w:rFonts w:ascii="方正小标宋简体" w:eastAsia="方正小标宋简体" w:hint="eastAsia"/>
          <w:sz w:val="44"/>
          <w:szCs w:val="44"/>
        </w:rPr>
        <w:t>建宁县林业局</w:t>
      </w:r>
      <w:r w:rsidR="0038018A" w:rsidRPr="00606A92">
        <w:rPr>
          <w:rFonts w:ascii="方正小标宋简体" w:eastAsia="方正小标宋简体" w:hint="eastAsia"/>
          <w:sz w:val="44"/>
          <w:szCs w:val="44"/>
        </w:rPr>
        <w:t>印发</w:t>
      </w:r>
      <w:r w:rsidR="0038018A">
        <w:rPr>
          <w:rFonts w:ascii="方正小标宋简体" w:eastAsia="方正小标宋简体" w:hint="eastAsia"/>
          <w:sz w:val="44"/>
          <w:szCs w:val="44"/>
        </w:rPr>
        <w:t>《</w:t>
      </w:r>
      <w:r w:rsidRPr="00606A92">
        <w:rPr>
          <w:rFonts w:ascii="方正小标宋简体" w:eastAsia="方正小标宋简体" w:hint="eastAsia"/>
          <w:sz w:val="44"/>
          <w:szCs w:val="44"/>
        </w:rPr>
        <w:t>关于建宁县自然保护地“两违”整治攻坚战实施方案</w:t>
      </w:r>
      <w:r w:rsidR="0038018A">
        <w:rPr>
          <w:rFonts w:ascii="方正小标宋简体" w:eastAsia="方正小标宋简体" w:hint="eastAsia"/>
          <w:sz w:val="44"/>
          <w:szCs w:val="44"/>
        </w:rPr>
        <w:t>》</w:t>
      </w:r>
      <w:r w:rsidRPr="00606A92">
        <w:rPr>
          <w:rFonts w:ascii="方正小标宋简体" w:eastAsia="方正小标宋简体" w:hint="eastAsia"/>
          <w:sz w:val="44"/>
          <w:szCs w:val="44"/>
        </w:rPr>
        <w:t>的通知</w:t>
      </w:r>
    </w:p>
    <w:p w:rsidR="00606A92" w:rsidRDefault="00606A92" w:rsidP="000B7886"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 w:rsidR="00606A92" w:rsidRDefault="00F91A47" w:rsidP="000B788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局属各单位、各自然保护地</w:t>
      </w:r>
      <w:r w:rsidR="00606A92" w:rsidRPr="00606A92">
        <w:rPr>
          <w:rFonts w:ascii="仿宋_GB2312" w:eastAsia="仿宋_GB2312" w:hint="eastAsia"/>
          <w:sz w:val="32"/>
          <w:szCs w:val="32"/>
        </w:rPr>
        <w:t>：</w:t>
      </w:r>
    </w:p>
    <w:p w:rsidR="00606A92" w:rsidRDefault="00606A92" w:rsidP="0006697B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根据《福建省“两违”综合整治专项行动方案》（闽自然资发[2021]1号）、《福建省自然保护地“两违”整治攻坚战实施方案》（闽林文[2021]12号）、</w:t>
      </w:r>
      <w:r w:rsidR="00D31418">
        <w:rPr>
          <w:rFonts w:ascii="仿宋_GB2312" w:eastAsia="仿宋_GB2312" w:hint="eastAsia"/>
          <w:sz w:val="32"/>
          <w:szCs w:val="32"/>
        </w:rPr>
        <w:t>《三明市自然保护地“两违”整治攻坚战实施方案》（明林综[2021]32号）</w:t>
      </w:r>
      <w:r>
        <w:rPr>
          <w:rFonts w:ascii="仿宋_GB2312" w:eastAsia="仿宋_GB2312" w:hint="eastAsia"/>
          <w:sz w:val="32"/>
          <w:szCs w:val="32"/>
        </w:rPr>
        <w:t>和</w:t>
      </w:r>
      <w:r w:rsidR="00894427">
        <w:rPr>
          <w:rFonts w:ascii="仿宋_GB2312" w:eastAsia="仿宋_GB2312" w:hint="eastAsia"/>
          <w:sz w:val="32"/>
          <w:szCs w:val="32"/>
        </w:rPr>
        <w:t>《建宁县“两违”综合治理专项行动工作实施方案》（建治违指[2021]13号）</w:t>
      </w:r>
      <w:r>
        <w:rPr>
          <w:rFonts w:ascii="仿宋_GB2312" w:eastAsia="仿宋_GB2312" w:hint="eastAsia"/>
          <w:sz w:val="32"/>
          <w:szCs w:val="32"/>
        </w:rPr>
        <w:t>文件要求，我局制定了《建宁县自然保护地“两违”整治攻坚战实施方案》，现印发给你们，请结合实际认真贯彻落实。</w:t>
      </w:r>
    </w:p>
    <w:p w:rsidR="00606A92" w:rsidRDefault="00606A92" w:rsidP="000B7886">
      <w:pPr>
        <w:spacing w:line="580" w:lineRule="exact"/>
        <w:ind w:right="16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建宁县林业局</w:t>
      </w:r>
    </w:p>
    <w:p w:rsidR="00606A92" w:rsidRDefault="00606A92" w:rsidP="0006697B">
      <w:pPr>
        <w:wordWrap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2021年6月1</w:t>
      </w:r>
      <w:r w:rsidR="009505F4">
        <w:rPr>
          <w:rFonts w:ascii="仿宋_GB2312" w:eastAsia="仿宋_GB2312" w:hint="eastAsia"/>
          <w:sz w:val="32"/>
          <w:szCs w:val="32"/>
        </w:rPr>
        <w:t>0</w:t>
      </w:r>
      <w:r w:rsidR="0006697B">
        <w:rPr>
          <w:rFonts w:ascii="仿宋_GB2312" w:eastAsia="仿宋_GB2312" w:hint="eastAsia"/>
          <w:sz w:val="32"/>
          <w:szCs w:val="32"/>
        </w:rPr>
        <w:t>日</w:t>
      </w:r>
    </w:p>
    <w:p w:rsidR="0038018A" w:rsidRDefault="0038018A" w:rsidP="0038018A">
      <w:pPr>
        <w:spacing w:line="580" w:lineRule="exact"/>
        <w:ind w:right="640" w:firstLine="87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关于</w:t>
      </w:r>
      <w:r w:rsidR="00757E37" w:rsidRPr="00757E37">
        <w:rPr>
          <w:rFonts w:ascii="方正小标宋简体" w:eastAsia="方正小标宋简体" w:hint="eastAsia"/>
          <w:sz w:val="44"/>
          <w:szCs w:val="44"/>
        </w:rPr>
        <w:t>建宁县自然保护地“两违”</w:t>
      </w:r>
    </w:p>
    <w:p w:rsidR="00606A92" w:rsidRDefault="00757E37" w:rsidP="0038018A">
      <w:pPr>
        <w:spacing w:line="580" w:lineRule="exact"/>
        <w:ind w:right="640" w:firstLine="870"/>
        <w:jc w:val="center"/>
        <w:rPr>
          <w:rFonts w:ascii="方正小标宋简体" w:eastAsia="方正小标宋简体"/>
          <w:sz w:val="44"/>
          <w:szCs w:val="44"/>
        </w:rPr>
      </w:pPr>
      <w:r w:rsidRPr="00757E37">
        <w:rPr>
          <w:rFonts w:ascii="方正小标宋简体" w:eastAsia="方正小标宋简体" w:hint="eastAsia"/>
          <w:sz w:val="44"/>
          <w:szCs w:val="44"/>
        </w:rPr>
        <w:t>整治攻坚战实施方案</w:t>
      </w:r>
    </w:p>
    <w:p w:rsidR="00757E37" w:rsidRDefault="00757E37" w:rsidP="000B7886">
      <w:pPr>
        <w:spacing w:line="580" w:lineRule="exact"/>
        <w:ind w:right="640"/>
        <w:rPr>
          <w:rFonts w:ascii="方正小标宋简体" w:eastAsia="方正小标宋简体"/>
          <w:sz w:val="44"/>
          <w:szCs w:val="44"/>
        </w:rPr>
      </w:pPr>
    </w:p>
    <w:p w:rsidR="00757E37" w:rsidRDefault="00757E37" w:rsidP="000B7886">
      <w:pPr>
        <w:spacing w:line="58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 w:rsidRPr="00757E37">
        <w:rPr>
          <w:rFonts w:ascii="仿宋_GB2312" w:eastAsia="仿宋_GB2312" w:hint="eastAsia"/>
          <w:sz w:val="32"/>
          <w:szCs w:val="32"/>
        </w:rPr>
        <w:t>为进一步巩固提升全县“两违”综合治理成效</w:t>
      </w:r>
      <w:r>
        <w:rPr>
          <w:rFonts w:ascii="仿宋_GB2312" w:eastAsia="仿宋_GB2312" w:hint="eastAsia"/>
          <w:sz w:val="32"/>
          <w:szCs w:val="32"/>
        </w:rPr>
        <w:t>，坚决遏制自然保护地“两违”问题，强化自然保护地监督管理，按照省市文件精神，结合我县自然保护地工作实际，制定本实施方案。</w:t>
      </w:r>
    </w:p>
    <w:p w:rsidR="00235DEC" w:rsidRPr="00235DEC" w:rsidRDefault="00235DEC" w:rsidP="000B7886">
      <w:pPr>
        <w:pStyle w:val="a5"/>
        <w:numPr>
          <w:ilvl w:val="0"/>
          <w:numId w:val="1"/>
        </w:numPr>
        <w:spacing w:line="580" w:lineRule="exact"/>
        <w:ind w:right="640" w:firstLineChars="0"/>
        <w:rPr>
          <w:rFonts w:ascii="黑体" w:eastAsia="黑体" w:hAnsi="黑体"/>
          <w:sz w:val="32"/>
          <w:szCs w:val="32"/>
        </w:rPr>
      </w:pPr>
      <w:r w:rsidRPr="00235DEC">
        <w:rPr>
          <w:rFonts w:ascii="黑体" w:eastAsia="黑体" w:hAnsi="黑体" w:hint="eastAsia"/>
          <w:sz w:val="32"/>
          <w:szCs w:val="32"/>
        </w:rPr>
        <w:t>工作目标</w:t>
      </w:r>
    </w:p>
    <w:p w:rsidR="00235DEC" w:rsidRDefault="00235DEC" w:rsidP="000B7886">
      <w:pPr>
        <w:spacing w:line="58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 w:rsidRPr="00235DEC">
        <w:rPr>
          <w:rFonts w:ascii="仿宋_GB2312" w:eastAsia="仿宋_GB2312" w:hint="eastAsia"/>
          <w:sz w:val="32"/>
          <w:szCs w:val="32"/>
        </w:rPr>
        <w:t>按照“省级指导、市县</w:t>
      </w:r>
      <w:r w:rsidR="00F91A47">
        <w:rPr>
          <w:rFonts w:ascii="仿宋_GB2312" w:eastAsia="仿宋_GB2312" w:hint="eastAsia"/>
          <w:sz w:val="32"/>
          <w:szCs w:val="32"/>
        </w:rPr>
        <w:t>主体</w:t>
      </w:r>
      <w:r w:rsidRPr="00235DEC">
        <w:rPr>
          <w:rFonts w:ascii="仿宋_GB2312" w:eastAsia="仿宋_GB2312" w:hint="eastAsia"/>
          <w:sz w:val="32"/>
          <w:szCs w:val="32"/>
        </w:rPr>
        <w:t>、乡镇主责”</w:t>
      </w:r>
      <w:r>
        <w:rPr>
          <w:rFonts w:ascii="仿宋_GB2312" w:eastAsia="仿宋_GB2312" w:hint="eastAsia"/>
          <w:sz w:val="32"/>
          <w:szCs w:val="32"/>
        </w:rPr>
        <w:t>原则，聚焦全县国家级、省级各类自然保护地管理范围内的“两违”问题（包括违法占地、违法建设。</w:t>
      </w:r>
      <w:r w:rsidRPr="00235DEC">
        <w:rPr>
          <w:rFonts w:ascii="楷体_GB2312" w:eastAsia="楷体_GB2312" w:hint="eastAsia"/>
          <w:b/>
          <w:sz w:val="32"/>
          <w:szCs w:val="32"/>
        </w:rPr>
        <w:t>“违法占地”</w:t>
      </w:r>
      <w:r w:rsidRPr="00235DEC">
        <w:rPr>
          <w:rFonts w:ascii="仿宋_GB2312" w:eastAsia="仿宋_GB2312" w:hint="eastAsia"/>
          <w:sz w:val="32"/>
          <w:szCs w:val="32"/>
        </w:rPr>
        <w:t>指违法占用各种类别的土地；</w:t>
      </w:r>
      <w:r>
        <w:rPr>
          <w:rFonts w:ascii="楷体_GB2312" w:eastAsia="楷体_GB2312" w:hint="eastAsia"/>
          <w:b/>
          <w:sz w:val="32"/>
          <w:szCs w:val="32"/>
        </w:rPr>
        <w:t>“违法建设”</w:t>
      </w:r>
      <w:r w:rsidRPr="00235DEC">
        <w:rPr>
          <w:rFonts w:ascii="仿宋_GB2312" w:eastAsia="仿宋_GB2312" w:hint="eastAsia"/>
          <w:sz w:val="32"/>
          <w:szCs w:val="32"/>
        </w:rPr>
        <w:t>指</w:t>
      </w:r>
      <w:r>
        <w:rPr>
          <w:rFonts w:ascii="仿宋_GB2312" w:eastAsia="仿宋_GB2312" w:hint="eastAsia"/>
          <w:sz w:val="32"/>
          <w:szCs w:val="32"/>
        </w:rPr>
        <w:t>违反空间规划和相关专项规划进行建设的行为），到2022年12月，通过两年时间集中整治攻坚，努力遏制新增自然保护地“两违”问题，健全完善长效机制，进一步提升自然保护地监督管理的能力和水平，全县自然保护地“两违”整治攻坚战取得明显成效。</w:t>
      </w:r>
    </w:p>
    <w:p w:rsidR="00235DEC" w:rsidRPr="00235DEC" w:rsidRDefault="00235DEC" w:rsidP="000B7886">
      <w:pPr>
        <w:pStyle w:val="a5"/>
        <w:numPr>
          <w:ilvl w:val="0"/>
          <w:numId w:val="1"/>
        </w:numPr>
        <w:spacing w:line="580" w:lineRule="exact"/>
        <w:ind w:right="640" w:firstLineChars="0"/>
        <w:rPr>
          <w:rFonts w:ascii="黑体" w:eastAsia="黑体" w:hAnsi="黑体"/>
          <w:sz w:val="32"/>
          <w:szCs w:val="32"/>
        </w:rPr>
      </w:pPr>
      <w:r w:rsidRPr="00235DEC">
        <w:rPr>
          <w:rFonts w:ascii="黑体" w:eastAsia="黑体" w:hAnsi="黑体" w:hint="eastAsia"/>
          <w:sz w:val="32"/>
          <w:szCs w:val="32"/>
        </w:rPr>
        <w:t>工作任务</w:t>
      </w:r>
    </w:p>
    <w:p w:rsidR="00235DEC" w:rsidRDefault="00235DEC" w:rsidP="000B7886">
      <w:pPr>
        <w:spacing w:line="58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福建闽江源国家级自然保护区、福建建宁闽江源国家湿地公园、福建闽江源国家森林公园和建宁小溪源省级森林公园管理范围内的“两违”问题进行全面排查。对排查出的“两违”问题，依据土地管理法、城市规划法、环境保护法、水法、水污染防治法、森林法、自然保护区条例……等法律法规，集中推进综合整治。对已</w:t>
      </w:r>
      <w:r>
        <w:rPr>
          <w:rFonts w:ascii="仿宋_GB2312" w:eastAsia="仿宋_GB2312" w:hint="eastAsia"/>
          <w:sz w:val="32"/>
          <w:szCs w:val="32"/>
        </w:rPr>
        <w:lastRenderedPageBreak/>
        <w:t>完成整治的，健全长效机制，加强后续监管，严防问题反弹。</w:t>
      </w:r>
    </w:p>
    <w:p w:rsidR="00235DEC" w:rsidRPr="00235DEC" w:rsidRDefault="00235DEC" w:rsidP="000B7886">
      <w:pPr>
        <w:pStyle w:val="a5"/>
        <w:numPr>
          <w:ilvl w:val="0"/>
          <w:numId w:val="1"/>
        </w:numPr>
        <w:spacing w:line="580" w:lineRule="exact"/>
        <w:ind w:right="640" w:firstLineChars="0"/>
        <w:rPr>
          <w:rFonts w:ascii="黑体" w:eastAsia="黑体" w:hAnsi="黑体"/>
          <w:sz w:val="32"/>
          <w:szCs w:val="32"/>
        </w:rPr>
      </w:pPr>
      <w:r w:rsidRPr="00235DEC">
        <w:rPr>
          <w:rFonts w:ascii="黑体" w:eastAsia="黑体" w:hAnsi="黑体" w:hint="eastAsia"/>
          <w:sz w:val="32"/>
          <w:szCs w:val="32"/>
        </w:rPr>
        <w:t>整治范围</w:t>
      </w:r>
    </w:p>
    <w:p w:rsidR="00235DEC" w:rsidRDefault="00235DEC" w:rsidP="00F91A47">
      <w:pPr>
        <w:spacing w:line="58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本次自然保护地“两违”整治攻坚范围是福建闽江源国家级自然保护区、福建建宁闽江源国家湿地公园、福建闽江源国家森林公园和建宁小溪源省级森林公园，三个国家级自然保护地和一个省级自然保护地。</w:t>
      </w:r>
    </w:p>
    <w:p w:rsidR="00235DEC" w:rsidRPr="00DD69CD" w:rsidRDefault="00DD69CD" w:rsidP="000B7886">
      <w:pPr>
        <w:spacing w:line="58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35DEC" w:rsidRPr="00DD69CD">
        <w:rPr>
          <w:rFonts w:ascii="仿宋_GB2312" w:eastAsia="仿宋_GB2312" w:hint="eastAsia"/>
          <w:sz w:val="32"/>
          <w:szCs w:val="32"/>
        </w:rPr>
        <w:t>整治范围认定：《</w:t>
      </w:r>
      <w:r w:rsidR="00F91A47">
        <w:rPr>
          <w:rFonts w:ascii="仿宋_GB2312" w:eastAsia="仿宋_GB2312" w:hint="eastAsia"/>
          <w:sz w:val="32"/>
          <w:szCs w:val="32"/>
        </w:rPr>
        <w:t>建宁县</w:t>
      </w:r>
      <w:r w:rsidR="00235DEC" w:rsidRPr="00DD69CD">
        <w:rPr>
          <w:rFonts w:ascii="仿宋_GB2312" w:eastAsia="仿宋_GB2312" w:hint="eastAsia"/>
          <w:sz w:val="32"/>
          <w:szCs w:val="32"/>
        </w:rPr>
        <w:t>自然保护地整合优化预案》在正式批复前，仍然按照原设立自然保护地的批复文件和原有依法依规</w:t>
      </w:r>
      <w:r w:rsidRPr="00DD69CD">
        <w:rPr>
          <w:rFonts w:ascii="仿宋_GB2312" w:eastAsia="仿宋_GB2312" w:hint="eastAsia"/>
          <w:sz w:val="32"/>
          <w:szCs w:val="32"/>
        </w:rPr>
        <w:t>批复的总体规划确定（划定）的范围边界和功能分区实施。</w:t>
      </w:r>
    </w:p>
    <w:p w:rsidR="00DD69CD" w:rsidRDefault="00DD69CD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（二）交叉问题处理：已列入中央生态环境保护督察、自然保护地“绿盾行动”整改清单的问题，按专项行动要求落实整改，加强后续监管。</w:t>
      </w:r>
    </w:p>
    <w:p w:rsidR="00DD69CD" w:rsidRDefault="00DD69CD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DD69CD">
        <w:rPr>
          <w:rFonts w:ascii="黑体" w:eastAsia="黑体" w:hAnsi="黑体" w:hint="eastAsia"/>
          <w:sz w:val="32"/>
          <w:szCs w:val="32"/>
        </w:rPr>
        <w:t>四、工作安排</w:t>
      </w:r>
    </w:p>
    <w:p w:rsidR="00DD69CD" w:rsidRDefault="00DD69CD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16743E">
        <w:rPr>
          <w:rFonts w:ascii="楷体_GB2312" w:eastAsia="楷体_GB2312" w:hint="eastAsia"/>
          <w:b/>
          <w:sz w:val="32"/>
          <w:szCs w:val="32"/>
        </w:rPr>
        <w:t>（一）全面摸排。</w:t>
      </w:r>
      <w:r w:rsidR="00F91A47">
        <w:rPr>
          <w:rFonts w:ascii="仿宋_GB2312" w:eastAsia="仿宋_GB2312" w:hint="eastAsia"/>
          <w:sz w:val="32"/>
          <w:szCs w:val="32"/>
        </w:rPr>
        <w:t>各乡（镇）林业站、自然保护地</w:t>
      </w:r>
      <w:r>
        <w:rPr>
          <w:rFonts w:ascii="仿宋_GB2312" w:eastAsia="仿宋_GB2312" w:hint="eastAsia"/>
          <w:sz w:val="32"/>
          <w:szCs w:val="32"/>
        </w:rPr>
        <w:t>按照县人民政府制定的“两违”综合治理专项行动工作实施方案，会同自然资源、生态环境、住房和城乡建设、水利、农业农村、城市管理等部门（以下简称“两违”综合整治相关部门）和各乡（镇）组织开展自然保护地“两违”问题摸排，进一步建立健全网格化、片区化、责任化日常巡查机制，结合护林员巡护、无人机航拍、群众举报等，及时发现自然保护地“两违”问题线索，做好问题线索台账，及时将发现的“两违”问题线索记</w:t>
      </w:r>
      <w:r>
        <w:rPr>
          <w:rFonts w:ascii="仿宋_GB2312" w:eastAsia="仿宋_GB2312" w:hint="eastAsia"/>
          <w:sz w:val="32"/>
          <w:szCs w:val="32"/>
        </w:rPr>
        <w:lastRenderedPageBreak/>
        <w:t>入</w:t>
      </w:r>
      <w:r w:rsidR="0016743E">
        <w:rPr>
          <w:rFonts w:ascii="仿宋_GB2312" w:eastAsia="仿宋_GB2312" w:hint="eastAsia"/>
          <w:sz w:val="32"/>
          <w:szCs w:val="32"/>
        </w:rPr>
        <w:t>电子</w:t>
      </w:r>
      <w:r>
        <w:rPr>
          <w:rFonts w:ascii="仿宋_GB2312" w:eastAsia="仿宋_GB2312" w:hint="eastAsia"/>
          <w:sz w:val="32"/>
          <w:szCs w:val="32"/>
        </w:rPr>
        <w:t>台账中。</w:t>
      </w:r>
    </w:p>
    <w:p w:rsidR="0016743E" w:rsidRDefault="0016743E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16743E">
        <w:rPr>
          <w:rFonts w:ascii="楷体_GB2312" w:eastAsia="楷体_GB2312" w:hint="eastAsia"/>
          <w:b/>
          <w:sz w:val="32"/>
          <w:szCs w:val="32"/>
        </w:rPr>
        <w:t>（二）认真核查。</w:t>
      </w:r>
      <w:r w:rsidRPr="0016743E">
        <w:rPr>
          <w:rFonts w:ascii="仿宋_GB2312" w:eastAsia="仿宋_GB2312" w:hint="eastAsia"/>
          <w:sz w:val="32"/>
          <w:szCs w:val="32"/>
        </w:rPr>
        <w:t>各乡（镇）</w:t>
      </w:r>
      <w:r>
        <w:rPr>
          <w:rFonts w:ascii="仿宋_GB2312" w:eastAsia="仿宋_GB2312" w:hint="eastAsia"/>
          <w:sz w:val="32"/>
          <w:szCs w:val="32"/>
        </w:rPr>
        <w:t>林业站接到县林业局发现的自然保护地“两违”问题线索后，要快速组织完成实地核查</w:t>
      </w:r>
      <w:r w:rsidR="00C63BA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将核查结果上报县林业局，并同步建立纸质台账。在实地核查时，发现事权不属于林业主管部门的，应及时向乡（镇）治违办书面反馈，由乡（镇）治违办统筹协调有权部门依法处置；经实地核查不属“两违”问题的，应</w:t>
      </w:r>
      <w:r w:rsidR="00C63BA7">
        <w:rPr>
          <w:rFonts w:ascii="仿宋_GB2312" w:eastAsia="仿宋_GB2312" w:hint="eastAsia"/>
          <w:sz w:val="32"/>
          <w:szCs w:val="32"/>
        </w:rPr>
        <w:t>由县林业局</w:t>
      </w:r>
      <w:r>
        <w:rPr>
          <w:rFonts w:ascii="仿宋_GB2312" w:eastAsia="仿宋_GB2312" w:hint="eastAsia"/>
          <w:sz w:val="32"/>
          <w:szCs w:val="32"/>
        </w:rPr>
        <w:t>将书面佐证材料上交至</w:t>
      </w:r>
      <w:r w:rsidR="00AA2DDF">
        <w:rPr>
          <w:rFonts w:ascii="仿宋_GB2312" w:eastAsia="仿宋_GB2312" w:hint="eastAsia"/>
          <w:sz w:val="32"/>
          <w:szCs w:val="32"/>
        </w:rPr>
        <w:t>市林业局</w:t>
      </w:r>
      <w:r>
        <w:rPr>
          <w:rFonts w:ascii="仿宋_GB2312" w:eastAsia="仿宋_GB2312" w:hint="eastAsia"/>
          <w:sz w:val="32"/>
          <w:szCs w:val="32"/>
        </w:rPr>
        <w:t>，由</w:t>
      </w:r>
      <w:r w:rsidR="00C63BA7">
        <w:rPr>
          <w:rFonts w:ascii="仿宋_GB2312" w:eastAsia="仿宋_GB2312" w:hint="eastAsia"/>
          <w:sz w:val="32"/>
          <w:szCs w:val="32"/>
        </w:rPr>
        <w:t>市</w:t>
      </w:r>
      <w:r w:rsidR="00AA2DDF">
        <w:rPr>
          <w:rFonts w:ascii="仿宋_GB2312" w:eastAsia="仿宋_GB2312" w:hint="eastAsia"/>
          <w:sz w:val="32"/>
          <w:szCs w:val="32"/>
        </w:rPr>
        <w:t>林业局</w:t>
      </w:r>
      <w:r>
        <w:rPr>
          <w:rFonts w:ascii="仿宋_GB2312" w:eastAsia="仿宋_GB2312" w:hint="eastAsia"/>
          <w:sz w:val="32"/>
          <w:szCs w:val="32"/>
        </w:rPr>
        <w:t>复核确认。</w:t>
      </w:r>
    </w:p>
    <w:p w:rsidR="0016743E" w:rsidRDefault="00C63BA7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（三）严格处置。</w:t>
      </w:r>
      <w:r w:rsidRPr="00C63BA7">
        <w:rPr>
          <w:rFonts w:ascii="仿宋_GB2312" w:eastAsia="仿宋_GB2312" w:hint="eastAsia"/>
          <w:sz w:val="32"/>
          <w:szCs w:val="32"/>
        </w:rPr>
        <w:t>各乡(镇)林业站经实地核查后确认属于林业部门职责的自然保护地“两违”问题，</w:t>
      </w:r>
      <w:r>
        <w:rPr>
          <w:rFonts w:ascii="仿宋_GB2312" w:eastAsia="仿宋_GB2312" w:hint="eastAsia"/>
          <w:sz w:val="32"/>
          <w:szCs w:val="32"/>
        </w:rPr>
        <w:t>由县</w:t>
      </w:r>
      <w:r w:rsidR="00DB430D">
        <w:rPr>
          <w:rFonts w:ascii="仿宋_GB2312" w:eastAsia="仿宋_GB2312" w:hint="eastAsia"/>
          <w:sz w:val="32"/>
          <w:szCs w:val="32"/>
        </w:rPr>
        <w:t>林业执法大队</w:t>
      </w:r>
      <w:r w:rsidRPr="00C63BA7">
        <w:rPr>
          <w:rFonts w:ascii="仿宋_GB2312" w:eastAsia="仿宋_GB2312" w:hint="eastAsia"/>
          <w:sz w:val="32"/>
          <w:szCs w:val="32"/>
        </w:rPr>
        <w:t>第一时间</w:t>
      </w:r>
      <w:r>
        <w:rPr>
          <w:rFonts w:ascii="仿宋_GB2312" w:eastAsia="仿宋_GB2312" w:hint="eastAsia"/>
          <w:sz w:val="32"/>
          <w:szCs w:val="32"/>
        </w:rPr>
        <w:t>发出限期整改通知书，确保依法依规处置到位；事权不属于林业部门的，及时交至县治违办统筹协调，相应由“两违”综合治理相关部门或乡（镇）等有权部门依法处置。</w:t>
      </w:r>
    </w:p>
    <w:p w:rsidR="00C63BA7" w:rsidRDefault="00C63BA7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C63BA7">
        <w:rPr>
          <w:rFonts w:ascii="楷体_GB2312" w:eastAsia="楷体_GB2312" w:hint="eastAsia"/>
          <w:b/>
          <w:sz w:val="32"/>
          <w:szCs w:val="32"/>
        </w:rPr>
        <w:t>（四）复核督导。</w:t>
      </w:r>
      <w:r w:rsidR="00F91A47"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级林业主管部门将会同“两违”综合治理相关部门对台账中涉及本县内自然保护地“两违”问题线索的核查、处置情况，在10内全面逐宗复核，并根据复核情况开展实地复核，实地核实比例不低于问题线索的15%。实地复核发现错报、漏报、瞒报、弄虚作假、</w:t>
      </w:r>
      <w:r w:rsidR="00F91A47">
        <w:rPr>
          <w:rFonts w:ascii="仿宋_GB2312" w:eastAsia="仿宋_GB2312" w:hint="eastAsia"/>
          <w:sz w:val="32"/>
          <w:szCs w:val="32"/>
        </w:rPr>
        <w:t>虚假</w:t>
      </w:r>
      <w:r>
        <w:rPr>
          <w:rFonts w:ascii="仿宋_GB2312" w:eastAsia="仿宋_GB2312" w:hint="eastAsia"/>
          <w:sz w:val="32"/>
          <w:szCs w:val="32"/>
        </w:rPr>
        <w:t>处置等问题，将依照相关规定严肃处理。对自然保护地“两违”问题线索核查、处置情况进行督导；</w:t>
      </w:r>
      <w:r w:rsidR="00DB430D">
        <w:rPr>
          <w:rFonts w:ascii="仿宋_GB2312" w:eastAsia="仿宋_GB2312" w:hint="eastAsia"/>
          <w:sz w:val="32"/>
          <w:szCs w:val="32"/>
        </w:rPr>
        <w:t>并对我县工作开展情况进行通报。</w:t>
      </w:r>
    </w:p>
    <w:p w:rsidR="00DB430D" w:rsidRPr="007E1DBA" w:rsidRDefault="008E685B" w:rsidP="000B7886">
      <w:pPr>
        <w:spacing w:line="580" w:lineRule="exact"/>
        <w:ind w:right="640" w:firstLine="645"/>
        <w:rPr>
          <w:rFonts w:ascii="黑体" w:eastAsia="黑体" w:hAnsi="黑体"/>
          <w:sz w:val="32"/>
          <w:szCs w:val="32"/>
        </w:rPr>
      </w:pPr>
      <w:r w:rsidRPr="007E1DBA">
        <w:rPr>
          <w:rFonts w:ascii="黑体" w:eastAsia="黑体" w:hAnsi="黑体" w:hint="eastAsia"/>
          <w:sz w:val="32"/>
          <w:szCs w:val="32"/>
        </w:rPr>
        <w:t>五、时间安排</w:t>
      </w:r>
    </w:p>
    <w:p w:rsidR="008E685B" w:rsidRDefault="008E685B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从2021年1月至2022年12月，分三个阶段进行。</w:t>
      </w:r>
    </w:p>
    <w:p w:rsidR="008E685B" w:rsidRPr="007E1DBA" w:rsidRDefault="007E1DBA" w:rsidP="000B7886">
      <w:pPr>
        <w:spacing w:line="580" w:lineRule="exact"/>
        <w:ind w:right="640"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</w:t>
      </w:r>
      <w:r w:rsidR="008E685B" w:rsidRPr="007E1DBA">
        <w:rPr>
          <w:rFonts w:ascii="楷体_GB2312" w:eastAsia="楷体_GB2312" w:hint="eastAsia"/>
          <w:b/>
          <w:sz w:val="32"/>
          <w:szCs w:val="32"/>
        </w:rPr>
        <w:t>全面部署（2021年6月15日前）。</w:t>
      </w:r>
      <w:r w:rsidR="008E685B" w:rsidRPr="007E1DBA">
        <w:rPr>
          <w:rFonts w:ascii="仿宋_GB2312" w:eastAsia="仿宋_GB2312" w:hint="eastAsia"/>
          <w:sz w:val="32"/>
          <w:szCs w:val="32"/>
        </w:rPr>
        <w:t>县林业局根据</w:t>
      </w:r>
      <w:r w:rsidR="00D31418">
        <w:rPr>
          <w:rFonts w:ascii="仿宋_GB2312" w:eastAsia="仿宋_GB2312" w:hint="eastAsia"/>
          <w:sz w:val="32"/>
          <w:szCs w:val="32"/>
        </w:rPr>
        <w:t>《</w:t>
      </w:r>
      <w:r w:rsidR="00D31418" w:rsidRPr="007E1DBA">
        <w:rPr>
          <w:rFonts w:ascii="仿宋_GB2312" w:eastAsia="仿宋_GB2312" w:hint="eastAsia"/>
          <w:sz w:val="32"/>
          <w:szCs w:val="32"/>
        </w:rPr>
        <w:t>三明市自然保护地“两违”整治攻坚战实施方案》（明林综[2021]32号）和</w:t>
      </w:r>
      <w:r w:rsidR="009505F4">
        <w:rPr>
          <w:rFonts w:ascii="仿宋_GB2312" w:eastAsia="仿宋_GB2312" w:hint="eastAsia"/>
          <w:sz w:val="32"/>
          <w:szCs w:val="32"/>
        </w:rPr>
        <w:t>《</w:t>
      </w:r>
      <w:r w:rsidR="00D31418">
        <w:rPr>
          <w:rFonts w:ascii="仿宋_GB2312" w:eastAsia="仿宋_GB2312" w:hint="eastAsia"/>
          <w:sz w:val="32"/>
          <w:szCs w:val="32"/>
        </w:rPr>
        <w:t>建宁县“两违”综合治理专项行动工作实施方案》（建治违指[2021]13号）</w:t>
      </w:r>
      <w:r w:rsidR="00EE0684">
        <w:rPr>
          <w:rFonts w:ascii="仿宋_GB2312" w:eastAsia="仿宋_GB2312" w:hint="eastAsia"/>
          <w:sz w:val="32"/>
          <w:szCs w:val="32"/>
        </w:rPr>
        <w:t>工作要求</w:t>
      </w:r>
      <w:r w:rsidR="008E685B" w:rsidRPr="007E1DBA">
        <w:rPr>
          <w:rFonts w:ascii="仿宋_GB2312" w:eastAsia="仿宋_GB2312" w:hint="eastAsia"/>
          <w:sz w:val="32"/>
          <w:szCs w:val="32"/>
        </w:rPr>
        <w:t>，结合我县实际，制定自然保护地“两违”整治攻坚战实施方案，并上报市林业局和县治违办备案。</w:t>
      </w:r>
    </w:p>
    <w:p w:rsidR="007E1DBA" w:rsidRDefault="007E1DBA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7E1DBA">
        <w:rPr>
          <w:rFonts w:ascii="楷体_GB2312" w:eastAsia="楷体_GB2312" w:hint="eastAsia"/>
          <w:b/>
          <w:sz w:val="32"/>
          <w:szCs w:val="32"/>
        </w:rPr>
        <w:t>（二）整治攻坚（2021年6月15日至2022年9月）。</w:t>
      </w:r>
      <w:r w:rsidRPr="007E1DBA">
        <w:rPr>
          <w:rFonts w:ascii="仿宋_GB2312" w:eastAsia="仿宋_GB2312" w:hint="eastAsia"/>
          <w:sz w:val="32"/>
          <w:szCs w:val="32"/>
        </w:rPr>
        <w:t>县林业局会同治违办、“两违”综合治理相关部门、</w:t>
      </w:r>
      <w:r>
        <w:rPr>
          <w:rFonts w:ascii="仿宋_GB2312" w:eastAsia="仿宋_GB2312" w:hint="eastAsia"/>
          <w:sz w:val="32"/>
          <w:szCs w:val="32"/>
        </w:rPr>
        <w:t>乡（镇）全面落实自然保护地“两违”问题整改攻坚任务，对自然保护地“两违”问题保持高压打击态势，形成严管严控的强大声势。</w:t>
      </w:r>
    </w:p>
    <w:p w:rsidR="007E1DBA" w:rsidRDefault="007E1DBA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AA2DDF">
        <w:rPr>
          <w:rFonts w:ascii="楷体_GB2312" w:eastAsia="楷体_GB2312" w:hint="eastAsia"/>
          <w:b/>
          <w:sz w:val="32"/>
          <w:szCs w:val="32"/>
        </w:rPr>
        <w:t>（三）总结评估（2022年10月至2022年12月）。</w:t>
      </w:r>
      <w:r w:rsidR="00AA2DDF">
        <w:rPr>
          <w:rFonts w:ascii="仿宋_GB2312" w:eastAsia="仿宋_GB2312" w:hint="eastAsia"/>
          <w:sz w:val="32"/>
          <w:szCs w:val="32"/>
        </w:rPr>
        <w:t>县林业局向市林业局书面报送自然保护地“两违”整治攻坚战的工作情况。市林业局将组织对我县开展评估，总结提炼好的的经验、做法，进一步完善规章制度，建立健全日常监管长效机制，坚决防治自然保护地“两违”问题反弹。</w:t>
      </w:r>
    </w:p>
    <w:p w:rsidR="00AA2DDF" w:rsidRPr="004470D4" w:rsidRDefault="00AA2DDF" w:rsidP="000B7886">
      <w:pPr>
        <w:spacing w:line="580" w:lineRule="exact"/>
        <w:ind w:right="640" w:firstLine="645"/>
        <w:rPr>
          <w:rFonts w:ascii="黑体" w:eastAsia="黑体" w:hAnsi="黑体"/>
          <w:sz w:val="32"/>
          <w:szCs w:val="32"/>
        </w:rPr>
      </w:pPr>
      <w:r w:rsidRPr="004470D4">
        <w:rPr>
          <w:rFonts w:ascii="黑体" w:eastAsia="黑体" w:hAnsi="黑体" w:hint="eastAsia"/>
          <w:sz w:val="32"/>
          <w:szCs w:val="32"/>
        </w:rPr>
        <w:t>六、工作要求</w:t>
      </w:r>
    </w:p>
    <w:p w:rsidR="00AA2DDF" w:rsidRDefault="00AA2DDF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4470D4">
        <w:rPr>
          <w:rFonts w:ascii="楷体_GB2312" w:eastAsia="楷体_GB2312" w:hint="eastAsia"/>
          <w:b/>
          <w:sz w:val="32"/>
          <w:szCs w:val="32"/>
        </w:rPr>
        <w:t>（一）加强组织领导。</w:t>
      </w:r>
      <w:r>
        <w:rPr>
          <w:rFonts w:ascii="仿宋_GB2312" w:eastAsia="仿宋_GB2312" w:hint="eastAsia"/>
          <w:sz w:val="32"/>
          <w:szCs w:val="32"/>
        </w:rPr>
        <w:t>成立县林业局自然保护地“两违”综合治理专项行动领导小组，加强对全县自然保护地“两违”综合治理工作的组织领导。领导小组由党委书记、局长任组长，分管领导</w:t>
      </w:r>
      <w:r w:rsidR="00F91A47"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sz w:val="32"/>
          <w:szCs w:val="32"/>
        </w:rPr>
        <w:t>副组长，</w:t>
      </w:r>
      <w:r w:rsidR="00F91A47">
        <w:rPr>
          <w:rFonts w:ascii="仿宋_GB2312" w:eastAsia="仿宋_GB2312" w:hint="eastAsia"/>
          <w:sz w:val="32"/>
          <w:szCs w:val="32"/>
        </w:rPr>
        <w:t>闽江源国家级自然保护区，闽江源国家森林公园、福建省建宁国有林</w:t>
      </w:r>
      <w:r w:rsidR="00F91A47">
        <w:rPr>
          <w:rFonts w:ascii="仿宋_GB2312" w:eastAsia="仿宋_GB2312" w:hint="eastAsia"/>
          <w:sz w:val="32"/>
          <w:szCs w:val="32"/>
        </w:rPr>
        <w:lastRenderedPageBreak/>
        <w:t>场、闽江源国家湿地公园、</w:t>
      </w:r>
      <w:r>
        <w:rPr>
          <w:rFonts w:ascii="仿宋_GB2312" w:eastAsia="仿宋_GB2312" w:hint="eastAsia"/>
          <w:sz w:val="32"/>
          <w:szCs w:val="32"/>
        </w:rPr>
        <w:t>局办公室、森林资源管理股、林业改革与产业发展股，县执法大队、规划队、旅游站、各乡（镇）林业站为成员单位。领导小组下设办公室，挂靠县林业执法大队，由县林业执法大队大队长任办公室主任。</w:t>
      </w:r>
    </w:p>
    <w:p w:rsidR="00AA2DDF" w:rsidRPr="007E1DBA" w:rsidRDefault="00AA2DDF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4470D4">
        <w:rPr>
          <w:rFonts w:ascii="楷体_GB2312" w:eastAsia="楷体_GB2312" w:hint="eastAsia"/>
          <w:b/>
          <w:sz w:val="32"/>
          <w:szCs w:val="32"/>
        </w:rPr>
        <w:t>（二）明确属地和部门责任。</w:t>
      </w:r>
      <w:r>
        <w:rPr>
          <w:rFonts w:ascii="仿宋_GB2312" w:eastAsia="仿宋_GB2312" w:hint="eastAsia"/>
          <w:sz w:val="32"/>
          <w:szCs w:val="32"/>
        </w:rPr>
        <w:t>各乡</w:t>
      </w:r>
      <w:r w:rsidR="00F91A47">
        <w:rPr>
          <w:rFonts w:ascii="仿宋_GB2312" w:eastAsia="仿宋_GB2312" w:hint="eastAsia"/>
          <w:sz w:val="32"/>
          <w:szCs w:val="32"/>
        </w:rPr>
        <w:t>（镇）</w:t>
      </w:r>
      <w:r>
        <w:rPr>
          <w:rFonts w:ascii="仿宋_GB2312" w:eastAsia="仿宋_GB2312" w:hint="eastAsia"/>
          <w:sz w:val="32"/>
          <w:szCs w:val="32"/>
        </w:rPr>
        <w:t>林业站</w:t>
      </w:r>
      <w:r w:rsidR="00F91A47">
        <w:rPr>
          <w:rFonts w:ascii="仿宋_GB2312" w:eastAsia="仿宋_GB2312" w:hint="eastAsia"/>
          <w:sz w:val="32"/>
          <w:szCs w:val="32"/>
        </w:rPr>
        <w:t>和自然保护地</w:t>
      </w:r>
      <w:r>
        <w:rPr>
          <w:rFonts w:ascii="仿宋_GB2312" w:eastAsia="仿宋_GB2312" w:hint="eastAsia"/>
          <w:sz w:val="32"/>
          <w:szCs w:val="32"/>
        </w:rPr>
        <w:t>要强化巡查巡护，做好巡查、劝阻、上报工作，以及配合各乡（镇）政府做好</w:t>
      </w:r>
      <w:r w:rsidR="004470D4">
        <w:rPr>
          <w:rFonts w:ascii="仿宋_GB2312" w:eastAsia="仿宋_GB2312" w:hint="eastAsia"/>
          <w:sz w:val="32"/>
          <w:szCs w:val="32"/>
        </w:rPr>
        <w:t>违法建筑拆除工作，并做好拆除善后等工作，认真落实自然保护地“两违”整治攻坚战工作要求。</w:t>
      </w:r>
    </w:p>
    <w:p w:rsidR="00AA2DDF" w:rsidRDefault="004470D4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4470D4">
        <w:rPr>
          <w:rFonts w:ascii="楷体_GB2312" w:eastAsia="楷体_GB2312" w:hint="eastAsia"/>
          <w:b/>
          <w:sz w:val="32"/>
          <w:szCs w:val="32"/>
        </w:rPr>
        <w:t>（三）加强部门协作。</w:t>
      </w:r>
      <w:r w:rsidR="00F91A47" w:rsidRPr="00F91A47">
        <w:rPr>
          <w:rFonts w:ascii="仿宋_GB2312" w:eastAsia="仿宋_GB2312" w:hint="eastAsia"/>
          <w:sz w:val="32"/>
          <w:szCs w:val="32"/>
        </w:rPr>
        <w:t>各单位要</w:t>
      </w:r>
      <w:r>
        <w:rPr>
          <w:rFonts w:ascii="仿宋_GB2312" w:eastAsia="仿宋_GB2312" w:hint="eastAsia"/>
          <w:sz w:val="32"/>
          <w:szCs w:val="32"/>
        </w:rPr>
        <w:t>加强与自然资源、生态环境、住房和城乡建设、水利、农业农村和城市管理等“两违”综合治理相关部门和乡（镇）的沟通协作，探索建立与“两违”综合治理专项行动领导小组成员单位相关审批业务互联互通、信息共享机制，并按照治违办的工作要求，全力推进自然保护地“两违”综合整治工作。</w:t>
      </w:r>
    </w:p>
    <w:p w:rsidR="004470D4" w:rsidRDefault="004470D4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1B22EB">
        <w:rPr>
          <w:rFonts w:ascii="楷体_GB2312" w:eastAsia="楷体_GB2312" w:hint="eastAsia"/>
          <w:b/>
          <w:sz w:val="32"/>
          <w:szCs w:val="32"/>
        </w:rPr>
        <w:t>（四）完善整治政策。</w:t>
      </w:r>
      <w:r>
        <w:rPr>
          <w:rFonts w:ascii="仿宋_GB2312" w:eastAsia="仿宋_GB2312" w:hint="eastAsia"/>
          <w:sz w:val="32"/>
          <w:szCs w:val="32"/>
        </w:rPr>
        <w:t>按照市、县“两违”综合治理专项行动领导小组的统一指导，结合我县实际情况，进一步完善存量“两违”分类处置办法，分类分步、分期分片加快消化存量“两违”。严格执行《福建省违法建设处置若干规定》，对涉及违法建设的房屋，在违法建设处置决定执行完毕前，不予办理不动产权登记、转移、抵押等手续，不予办理供水、供电、供气等手续，</w:t>
      </w:r>
      <w:r>
        <w:rPr>
          <w:rFonts w:ascii="仿宋_GB2312" w:eastAsia="仿宋_GB2312" w:hint="eastAsia"/>
          <w:sz w:val="32"/>
          <w:szCs w:val="32"/>
        </w:rPr>
        <w:lastRenderedPageBreak/>
        <w:t>市场监督、卫生、文化体育、公安、消防等部门不予办理作为生产、经营场所的相关证照、登记或备案手续。严格执行国务院办公厅《关于进一步完善失信约束制度构建诚信建设长效机制的指导意见》（国办发[2020]49号）等规定，对“两违”的相关行为人，依法依规开展失信承接，坚持堵疏结合，完善农村宅基地和村民住宅建设等管理制度，保障农村村民合理居住需求，防治“</w:t>
      </w:r>
      <w:r w:rsidR="001B22EB">
        <w:rPr>
          <w:rFonts w:ascii="仿宋_GB2312" w:eastAsia="仿宋_GB2312" w:hint="eastAsia"/>
          <w:sz w:val="32"/>
          <w:szCs w:val="32"/>
        </w:rPr>
        <w:t>一刀切</w:t>
      </w:r>
      <w:r>
        <w:rPr>
          <w:rFonts w:ascii="仿宋_GB2312" w:eastAsia="仿宋_GB2312" w:hint="eastAsia"/>
          <w:sz w:val="32"/>
          <w:szCs w:val="32"/>
        </w:rPr>
        <w:t>”</w:t>
      </w:r>
      <w:r w:rsidR="001B22EB">
        <w:rPr>
          <w:rFonts w:ascii="仿宋_GB2312" w:eastAsia="仿宋_GB2312" w:hint="eastAsia"/>
          <w:sz w:val="32"/>
          <w:szCs w:val="32"/>
        </w:rPr>
        <w:t>、简单化处置，进一步从源头遏制“两违”问题，确保安定稳定。</w:t>
      </w:r>
    </w:p>
    <w:p w:rsidR="001B22EB" w:rsidRDefault="001B22EB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1B22EB">
        <w:rPr>
          <w:rFonts w:ascii="楷体_GB2312" w:eastAsia="楷体_GB2312" w:hint="eastAsia"/>
          <w:b/>
          <w:sz w:val="32"/>
          <w:szCs w:val="32"/>
        </w:rPr>
        <w:t>（五）强化信息公开。</w:t>
      </w:r>
      <w:r>
        <w:rPr>
          <w:rFonts w:ascii="仿宋_GB2312" w:eastAsia="仿宋_GB2312" w:hint="eastAsia"/>
          <w:sz w:val="32"/>
          <w:szCs w:val="32"/>
        </w:rPr>
        <w:t>充分利用门户网站</w:t>
      </w:r>
      <w:r w:rsidR="0043000F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微信公众号等渠道，依法依规向社会公开各类自然保护地管理工作的相关信息，公布举报电话、邮箱等信息，发动全社会力量共同参与自然保护地“两违”整治工作。</w:t>
      </w:r>
    </w:p>
    <w:p w:rsidR="001B22EB" w:rsidRDefault="001B22EB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 w:rsidRPr="001B22EB">
        <w:rPr>
          <w:rFonts w:ascii="楷体_GB2312" w:eastAsia="楷体_GB2312" w:hint="eastAsia"/>
          <w:b/>
          <w:sz w:val="32"/>
          <w:szCs w:val="32"/>
        </w:rPr>
        <w:t>（六）</w:t>
      </w:r>
      <w:r w:rsidR="0043000F">
        <w:rPr>
          <w:rFonts w:ascii="楷体_GB2312" w:eastAsia="楷体_GB2312" w:hint="eastAsia"/>
          <w:b/>
          <w:sz w:val="32"/>
          <w:szCs w:val="32"/>
        </w:rPr>
        <w:t>加强宣传引导。</w:t>
      </w:r>
      <w:r w:rsidR="0043000F" w:rsidRPr="0043000F">
        <w:rPr>
          <w:rFonts w:ascii="仿宋_GB2312" w:eastAsia="仿宋_GB2312" w:hint="eastAsia"/>
          <w:sz w:val="32"/>
          <w:szCs w:val="32"/>
        </w:rPr>
        <w:t>多形式、多渠道、全方位宣传自然保护地“两违”综合治理相关法律法规和政策，宣传自然保护地对保护自然生态、维护生物多样性、维护国家生态安全、提供高质量生态产品的积极作用，加大对于群众反映强烈、违法性质恶劣的自然保护地“两违”案件查处的曝光力度，推动形成未见可耻、违法必究、公开公平公正执法的社会舆论氛围。</w:t>
      </w:r>
    </w:p>
    <w:p w:rsidR="0043000F" w:rsidRDefault="0043000F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</w:p>
    <w:p w:rsidR="0043000F" w:rsidRDefault="0043000F" w:rsidP="000B7886">
      <w:pPr>
        <w:spacing w:line="580" w:lineRule="exact"/>
        <w:ind w:right="640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附件：建宁县林业局自然保护地“两违”综合治理专项行动领导小组及办公室成员名单</w:t>
      </w:r>
    </w:p>
    <w:p w:rsidR="00F91A47" w:rsidRDefault="00F91A47" w:rsidP="0006697B">
      <w:pPr>
        <w:spacing w:line="580" w:lineRule="exact"/>
        <w:ind w:right="640"/>
        <w:rPr>
          <w:rFonts w:ascii="楷体_GB2312" w:eastAsia="楷体_GB2312"/>
          <w:b/>
          <w:sz w:val="36"/>
          <w:szCs w:val="36"/>
        </w:rPr>
      </w:pPr>
    </w:p>
    <w:p w:rsidR="0043000F" w:rsidRPr="0043000F" w:rsidRDefault="0043000F" w:rsidP="0006697B">
      <w:pPr>
        <w:spacing w:line="580" w:lineRule="exact"/>
        <w:ind w:right="640"/>
        <w:rPr>
          <w:rFonts w:ascii="楷体_GB2312" w:eastAsia="楷体_GB2312"/>
          <w:b/>
          <w:sz w:val="36"/>
          <w:szCs w:val="36"/>
        </w:rPr>
      </w:pPr>
      <w:r w:rsidRPr="0043000F">
        <w:rPr>
          <w:rFonts w:ascii="楷体_GB2312" w:eastAsia="楷体_GB2312" w:hint="eastAsia"/>
          <w:b/>
          <w:sz w:val="36"/>
          <w:szCs w:val="36"/>
        </w:rPr>
        <w:lastRenderedPageBreak/>
        <w:t>附件</w:t>
      </w:r>
    </w:p>
    <w:p w:rsidR="00552CF2" w:rsidRDefault="00552CF2" w:rsidP="0006697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3000F" w:rsidRPr="0043000F" w:rsidRDefault="0043000F" w:rsidP="0006697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43000F">
        <w:rPr>
          <w:rFonts w:ascii="方正小标宋简体" w:eastAsia="方正小标宋简体" w:hint="eastAsia"/>
          <w:sz w:val="44"/>
          <w:szCs w:val="44"/>
        </w:rPr>
        <w:t>建宁县林业局自然保护地“两违”综合治理</w:t>
      </w:r>
    </w:p>
    <w:p w:rsidR="0043000F" w:rsidRDefault="0043000F" w:rsidP="0006697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43000F">
        <w:rPr>
          <w:rFonts w:ascii="方正小标宋简体" w:eastAsia="方正小标宋简体" w:hint="eastAsia"/>
          <w:sz w:val="44"/>
          <w:szCs w:val="44"/>
        </w:rPr>
        <w:t>专项行动领导小组及办公室成员名单</w:t>
      </w:r>
    </w:p>
    <w:p w:rsidR="0043000F" w:rsidRDefault="0043000F" w:rsidP="0006697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3000F" w:rsidRDefault="0043000F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 w:rsidRPr="0043000F">
        <w:rPr>
          <w:rFonts w:ascii="仿宋_GB2312" w:eastAsia="仿宋_GB2312" w:hint="eastAsia"/>
          <w:b/>
          <w:sz w:val="32"/>
          <w:szCs w:val="32"/>
        </w:rPr>
        <w:t>组  长</w:t>
      </w:r>
      <w:r w:rsidR="0006697B">
        <w:rPr>
          <w:rFonts w:ascii="仿宋_GB2312" w:eastAsia="仿宋_GB2312" w:hint="eastAsia"/>
          <w:b/>
          <w:sz w:val="32"/>
          <w:szCs w:val="32"/>
        </w:rPr>
        <w:t xml:space="preserve">: </w:t>
      </w:r>
      <w:r w:rsidRPr="0043000F">
        <w:rPr>
          <w:rFonts w:ascii="仿宋_GB2312" w:eastAsia="仿宋_GB2312" w:hint="eastAsia"/>
          <w:sz w:val="32"/>
          <w:szCs w:val="32"/>
        </w:rPr>
        <w:t>张宇东  局党委书记、局长</w:t>
      </w:r>
    </w:p>
    <w:p w:rsidR="00F91A47" w:rsidRDefault="0043000F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 w:rsidRPr="0043000F">
        <w:rPr>
          <w:rFonts w:ascii="仿宋_GB2312" w:eastAsia="仿宋_GB2312" w:hint="eastAsia"/>
          <w:b/>
          <w:sz w:val="32"/>
          <w:szCs w:val="32"/>
        </w:rPr>
        <w:t>副组长</w:t>
      </w:r>
      <w:r w:rsidR="0006697B">
        <w:rPr>
          <w:rFonts w:ascii="仿宋_GB2312" w:eastAsia="仿宋_GB2312" w:hint="eastAsia"/>
          <w:b/>
          <w:sz w:val="32"/>
          <w:szCs w:val="32"/>
        </w:rPr>
        <w:t xml:space="preserve">: </w:t>
      </w:r>
      <w:r w:rsidR="00F91A47">
        <w:rPr>
          <w:rFonts w:ascii="仿宋_GB2312" w:eastAsia="仿宋_GB2312" w:hint="eastAsia"/>
          <w:sz w:val="32"/>
          <w:szCs w:val="32"/>
        </w:rPr>
        <w:t>宁克功</w:t>
      </w:r>
      <w:r w:rsidR="00F91A47" w:rsidRPr="0006697B">
        <w:rPr>
          <w:rFonts w:ascii="仿宋_GB2312" w:eastAsia="仿宋_GB2312" w:hint="eastAsia"/>
          <w:sz w:val="32"/>
          <w:szCs w:val="32"/>
        </w:rPr>
        <w:t xml:space="preserve">  </w:t>
      </w:r>
      <w:r w:rsidR="00F91A47" w:rsidRPr="0043000F">
        <w:rPr>
          <w:rFonts w:ascii="仿宋_GB2312" w:eastAsia="仿宋_GB2312" w:hint="eastAsia"/>
          <w:sz w:val="32"/>
          <w:szCs w:val="32"/>
        </w:rPr>
        <w:t>副局长</w:t>
      </w:r>
    </w:p>
    <w:p w:rsidR="00F91A47" w:rsidRDefault="0043000F" w:rsidP="00F91A47">
      <w:pPr>
        <w:spacing w:line="580" w:lineRule="exact"/>
        <w:ind w:leftChars="400" w:left="840" w:firstLineChars="395" w:firstLine="1264"/>
        <w:jc w:val="left"/>
        <w:rPr>
          <w:rFonts w:ascii="仿宋_GB2312" w:eastAsia="仿宋_GB2312"/>
          <w:sz w:val="32"/>
          <w:szCs w:val="32"/>
        </w:rPr>
      </w:pPr>
      <w:r w:rsidRPr="0043000F">
        <w:rPr>
          <w:rFonts w:ascii="仿宋_GB2312" w:eastAsia="仿宋_GB2312" w:hint="eastAsia"/>
          <w:sz w:val="32"/>
          <w:szCs w:val="32"/>
        </w:rPr>
        <w:t>董德兴  副局长</w:t>
      </w:r>
    </w:p>
    <w:p w:rsidR="000B7886" w:rsidRPr="0006697B" w:rsidRDefault="00F91A47" w:rsidP="00F91A47">
      <w:pPr>
        <w:spacing w:line="580" w:lineRule="exact"/>
        <w:ind w:firstLineChars="246" w:firstLine="79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成  员: </w:t>
      </w:r>
      <w:r>
        <w:rPr>
          <w:rFonts w:ascii="仿宋_GB2312" w:eastAsia="仿宋_GB2312" w:hint="eastAsia"/>
          <w:sz w:val="32"/>
          <w:szCs w:val="32"/>
        </w:rPr>
        <w:t xml:space="preserve">陈雪华 </w:t>
      </w:r>
      <w:r w:rsidR="000B7886" w:rsidRPr="0006697B">
        <w:rPr>
          <w:rFonts w:ascii="仿宋_GB2312" w:eastAsia="仿宋_GB2312" w:hint="eastAsia"/>
          <w:sz w:val="32"/>
          <w:szCs w:val="32"/>
        </w:rPr>
        <w:t xml:space="preserve"> 闽江源自然保护区</w:t>
      </w:r>
      <w:r>
        <w:rPr>
          <w:rFonts w:ascii="仿宋_GB2312" w:eastAsia="仿宋_GB2312" w:hint="eastAsia"/>
          <w:sz w:val="32"/>
          <w:szCs w:val="32"/>
        </w:rPr>
        <w:t>管理局副局长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 w:rsidRPr="0006697B">
        <w:rPr>
          <w:rFonts w:ascii="仿宋_GB2312" w:eastAsia="仿宋_GB2312" w:hint="eastAsia"/>
          <w:sz w:val="32"/>
          <w:szCs w:val="32"/>
        </w:rPr>
        <w:t xml:space="preserve">        王福根  局党委副书记、湿地公园主任</w:t>
      </w:r>
    </w:p>
    <w:p w:rsidR="00F91A47" w:rsidRPr="0043000F" w:rsidRDefault="00F91A47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刘英茂  福建建宁国有林场场长</w:t>
      </w:r>
    </w:p>
    <w:p w:rsidR="0043000F" w:rsidRPr="0043000F" w:rsidRDefault="0043000F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 w:rsidRPr="0043000F">
        <w:rPr>
          <w:rFonts w:ascii="仿宋_GB2312" w:eastAsia="仿宋_GB2312" w:hint="eastAsia"/>
          <w:sz w:val="32"/>
          <w:szCs w:val="32"/>
        </w:rPr>
        <w:t xml:space="preserve">        郑振岳  县林业科技推广中心主任</w:t>
      </w:r>
    </w:p>
    <w:p w:rsidR="0043000F" w:rsidRPr="00552CF2" w:rsidRDefault="00552CF2" w:rsidP="00F91A47">
      <w:pPr>
        <w:spacing w:line="580" w:lineRule="exact"/>
        <w:ind w:leftChars="400" w:left="840" w:firstLineChars="400" w:firstLine="1280"/>
        <w:jc w:val="left"/>
        <w:rPr>
          <w:rFonts w:ascii="仿宋_GB2312" w:eastAsia="仿宋_GB2312"/>
          <w:sz w:val="32"/>
          <w:szCs w:val="32"/>
        </w:rPr>
      </w:pPr>
      <w:r w:rsidRPr="00552CF2">
        <w:rPr>
          <w:rFonts w:ascii="仿宋_GB2312" w:eastAsia="仿宋_GB2312" w:hint="eastAsia"/>
          <w:sz w:val="32"/>
          <w:szCs w:val="32"/>
        </w:rPr>
        <w:t>李秋发  局森林资源管理股股长</w:t>
      </w:r>
    </w:p>
    <w:p w:rsidR="00552CF2" w:rsidRPr="00552CF2" w:rsidRDefault="00552CF2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 w:rsidRPr="00552CF2">
        <w:rPr>
          <w:rFonts w:ascii="仿宋_GB2312" w:eastAsia="仿宋_GB2312" w:hint="eastAsia"/>
          <w:sz w:val="32"/>
          <w:szCs w:val="32"/>
        </w:rPr>
        <w:t xml:space="preserve">        高  迅  局林业改革与产业发展股股长</w:t>
      </w:r>
    </w:p>
    <w:p w:rsidR="000B7886" w:rsidRDefault="00552CF2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 w:rsidRPr="00552CF2">
        <w:rPr>
          <w:rFonts w:ascii="仿宋_GB2312" w:eastAsia="仿宋_GB2312" w:hint="eastAsia"/>
          <w:sz w:val="32"/>
          <w:szCs w:val="32"/>
        </w:rPr>
        <w:t xml:space="preserve">       </w:t>
      </w:r>
      <w:r w:rsidR="000B7886">
        <w:rPr>
          <w:rFonts w:ascii="仿宋_GB2312" w:eastAsia="仿宋_GB2312" w:hint="eastAsia"/>
          <w:sz w:val="32"/>
          <w:szCs w:val="32"/>
        </w:rPr>
        <w:t xml:space="preserve"> 袁明昱  局办公室主任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卢  强  闽江源湿地公园</w:t>
      </w:r>
      <w:r w:rsidR="0006697B">
        <w:rPr>
          <w:rFonts w:ascii="仿宋_GB2312" w:eastAsia="仿宋_GB2312" w:hint="eastAsia"/>
          <w:sz w:val="32"/>
          <w:szCs w:val="32"/>
        </w:rPr>
        <w:t>办公室主任</w:t>
      </w:r>
    </w:p>
    <w:p w:rsidR="00552CF2" w:rsidRPr="00552CF2" w:rsidRDefault="00552CF2" w:rsidP="0006697B">
      <w:pPr>
        <w:spacing w:line="580" w:lineRule="exact"/>
        <w:ind w:leftChars="400" w:left="840" w:firstLineChars="350" w:firstLine="1120"/>
        <w:jc w:val="left"/>
        <w:rPr>
          <w:rFonts w:ascii="仿宋_GB2312" w:eastAsia="仿宋_GB2312"/>
          <w:sz w:val="32"/>
          <w:szCs w:val="32"/>
        </w:rPr>
      </w:pPr>
      <w:r w:rsidRPr="00552CF2">
        <w:rPr>
          <w:rFonts w:ascii="仿宋_GB2312" w:eastAsia="仿宋_GB2312" w:hint="eastAsia"/>
          <w:sz w:val="32"/>
          <w:szCs w:val="32"/>
        </w:rPr>
        <w:t xml:space="preserve"> 张骏毅  县林业执法大队队长</w:t>
      </w:r>
    </w:p>
    <w:p w:rsidR="00552CF2" w:rsidRDefault="00552CF2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</w:t>
      </w:r>
      <w:r w:rsidRPr="00552CF2">
        <w:rPr>
          <w:rFonts w:ascii="仿宋_GB2312" w:eastAsia="仿宋_GB2312" w:hint="eastAsia"/>
          <w:sz w:val="32"/>
          <w:szCs w:val="32"/>
        </w:rPr>
        <w:t xml:space="preserve">  代</w:t>
      </w:r>
      <w:r>
        <w:rPr>
          <w:rFonts w:ascii="仿宋_GB2312" w:eastAsia="仿宋_GB2312" w:hint="eastAsia"/>
          <w:sz w:val="32"/>
          <w:szCs w:val="32"/>
        </w:rPr>
        <w:t>水祥</w:t>
      </w:r>
      <w:r w:rsidRPr="00552CF2">
        <w:rPr>
          <w:rFonts w:ascii="仿宋_GB2312" w:eastAsia="仿宋_GB2312" w:hint="eastAsia"/>
          <w:sz w:val="32"/>
          <w:szCs w:val="32"/>
        </w:rPr>
        <w:t xml:space="preserve">  县林业规划队队长</w:t>
      </w:r>
    </w:p>
    <w:p w:rsidR="00552CF2" w:rsidRDefault="00552CF2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 w:rsidR="000B7886">
        <w:rPr>
          <w:rFonts w:ascii="仿宋_GB2312" w:eastAsia="仿宋_GB2312" w:hint="eastAsia"/>
          <w:sz w:val="32"/>
          <w:szCs w:val="32"/>
        </w:rPr>
        <w:t>杨建明  县森林旅游站站长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杨富贵  县濉溪镇林业站站长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徐水根  县溪口镇林业站站长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刘世海  县里心镇林业站站长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张正根  县黄埠乡林业站站长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王子威  县客坊乡林业站副站长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高应龙  县均口镇林业站站长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曾辉远  县伊家乡林业站副站长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吴有权  县溪源乡林业站站长</w:t>
      </w:r>
    </w:p>
    <w:p w:rsid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廖春雷  县黄坊乡林业站站长</w:t>
      </w:r>
    </w:p>
    <w:p w:rsidR="000B7886" w:rsidRPr="000B7886" w:rsidRDefault="000B7886" w:rsidP="0006697B">
      <w:pPr>
        <w:spacing w:line="580" w:lineRule="exact"/>
        <w:ind w:leftChars="400" w:left="840"/>
        <w:jc w:val="left"/>
        <w:rPr>
          <w:rFonts w:ascii="仿宋_GB2312" w:eastAsia="仿宋_GB2312"/>
          <w:b/>
          <w:sz w:val="32"/>
          <w:szCs w:val="32"/>
        </w:rPr>
      </w:pPr>
      <w:r w:rsidRPr="000B7886">
        <w:rPr>
          <w:rFonts w:ascii="仿宋_GB2312" w:eastAsia="仿宋_GB2312" w:hint="eastAsia"/>
          <w:b/>
          <w:sz w:val="32"/>
          <w:szCs w:val="32"/>
        </w:rPr>
        <w:t>领导小组办公室挂靠</w:t>
      </w:r>
      <w:r w:rsidR="00F91A47">
        <w:rPr>
          <w:rFonts w:ascii="仿宋_GB2312" w:eastAsia="仿宋_GB2312" w:hint="eastAsia"/>
          <w:b/>
          <w:sz w:val="32"/>
          <w:szCs w:val="32"/>
        </w:rPr>
        <w:t>县林业执法大队</w:t>
      </w:r>
    </w:p>
    <w:p w:rsidR="000B7886" w:rsidRDefault="000B7886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  <w:r w:rsidRPr="000B7886">
        <w:rPr>
          <w:rFonts w:ascii="仿宋_GB2312" w:eastAsia="仿宋_GB2312" w:hint="eastAsia"/>
          <w:b/>
          <w:sz w:val="32"/>
          <w:szCs w:val="32"/>
        </w:rPr>
        <w:t>办公室主任：</w:t>
      </w:r>
      <w:r w:rsidR="00F91A47">
        <w:rPr>
          <w:rFonts w:ascii="仿宋_GB2312" w:eastAsia="仿宋_GB2312" w:hint="eastAsia"/>
          <w:sz w:val="32"/>
          <w:szCs w:val="32"/>
        </w:rPr>
        <w:t>张骏毅</w:t>
      </w:r>
    </w:p>
    <w:p w:rsidR="000B7886" w:rsidRDefault="000B7886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办公室成员：</w:t>
      </w:r>
      <w:r w:rsidRPr="000B7886">
        <w:rPr>
          <w:rFonts w:ascii="仿宋_GB2312" w:eastAsia="仿宋_GB2312" w:hint="eastAsia"/>
          <w:sz w:val="32"/>
          <w:szCs w:val="32"/>
        </w:rPr>
        <w:t>张海明、兰静、宁辛、</w:t>
      </w:r>
      <w:r w:rsidR="0006697B">
        <w:rPr>
          <w:rFonts w:ascii="仿宋_GB2312" w:eastAsia="仿宋_GB2312" w:hint="eastAsia"/>
          <w:sz w:val="32"/>
          <w:szCs w:val="32"/>
        </w:rPr>
        <w:t>聂莉萌</w:t>
      </w: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D31418" w:rsidRDefault="00D31418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9505F4" w:rsidRDefault="009505F4" w:rsidP="0006697B">
      <w:pPr>
        <w:spacing w:line="580" w:lineRule="exact"/>
        <w:ind w:leftChars="400" w:left="840" w:firstLine="630"/>
        <w:jc w:val="left"/>
        <w:rPr>
          <w:rFonts w:ascii="仿宋_GB2312" w:eastAsia="仿宋_GB2312"/>
          <w:sz w:val="32"/>
          <w:szCs w:val="32"/>
        </w:rPr>
      </w:pPr>
    </w:p>
    <w:p w:rsidR="00EE0684" w:rsidRPr="00EE0684" w:rsidRDefault="00EE0684" w:rsidP="00EE068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E0684" w:rsidRPr="00EE0684" w:rsidRDefault="00154A5A" w:rsidP="00EE068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2053" style="position:absolute;left:0;text-align:left;z-index:251663360" from="-3.75pt,3.95pt" to="434.75pt,3.95pt"/>
        </w:pict>
      </w:r>
      <w:r w:rsidR="00EE0684" w:rsidRPr="00EE0684">
        <w:rPr>
          <w:rFonts w:ascii="仿宋_GB2312" w:eastAsia="仿宋_GB2312" w:hint="eastAsia"/>
          <w:sz w:val="32"/>
          <w:szCs w:val="32"/>
        </w:rPr>
        <w:t>抄送：</w:t>
      </w:r>
      <w:r w:rsidR="00EE0684">
        <w:rPr>
          <w:rFonts w:ascii="仿宋_GB2312" w:eastAsia="仿宋_GB2312" w:hint="eastAsia"/>
          <w:sz w:val="32"/>
          <w:szCs w:val="32"/>
        </w:rPr>
        <w:t>市林业局，</w:t>
      </w:r>
      <w:r w:rsidR="00CA5A97">
        <w:rPr>
          <w:rFonts w:ascii="仿宋_GB2312" w:eastAsia="仿宋_GB2312" w:hint="eastAsia"/>
          <w:sz w:val="32"/>
          <w:szCs w:val="32"/>
        </w:rPr>
        <w:t>福建闽江源国家级自然保护区管理局，福建省建宁国有林场</w:t>
      </w:r>
      <w:r w:rsidR="00D31418">
        <w:rPr>
          <w:rFonts w:ascii="仿宋_GB2312" w:eastAsia="仿宋_GB2312" w:hint="eastAsia"/>
          <w:sz w:val="32"/>
          <w:szCs w:val="32"/>
        </w:rPr>
        <w:t>，</w:t>
      </w:r>
      <w:r w:rsidR="00EE0684">
        <w:rPr>
          <w:rFonts w:ascii="仿宋_GB2312" w:eastAsia="仿宋_GB2312" w:hint="eastAsia"/>
          <w:sz w:val="32"/>
          <w:szCs w:val="32"/>
        </w:rPr>
        <w:t>县自然资源局</w:t>
      </w:r>
      <w:r w:rsidR="00894427">
        <w:rPr>
          <w:rFonts w:ascii="仿宋_GB2312" w:eastAsia="仿宋_GB2312" w:hint="eastAsia"/>
          <w:sz w:val="32"/>
          <w:szCs w:val="32"/>
        </w:rPr>
        <w:t>，</w:t>
      </w:r>
      <w:r w:rsidR="00EE0684">
        <w:rPr>
          <w:rFonts w:ascii="仿宋_GB2312" w:eastAsia="仿宋_GB2312" w:hint="eastAsia"/>
          <w:sz w:val="32"/>
          <w:szCs w:val="32"/>
        </w:rPr>
        <w:t>三明市建宁生态环境局，县住房和城乡建设局，县城市管理局，县水利局，县农业农村局，</w:t>
      </w:r>
      <w:r w:rsidR="00CA5A97">
        <w:rPr>
          <w:rFonts w:ascii="仿宋_GB2312" w:eastAsia="仿宋_GB2312" w:hint="eastAsia"/>
          <w:sz w:val="32"/>
          <w:szCs w:val="32"/>
        </w:rPr>
        <w:t>县文旅局，</w:t>
      </w:r>
      <w:r w:rsidR="00EE0684">
        <w:rPr>
          <w:rFonts w:ascii="仿宋_GB2312" w:eastAsia="仿宋_GB2312" w:hint="eastAsia"/>
          <w:sz w:val="32"/>
          <w:szCs w:val="32"/>
        </w:rPr>
        <w:t>县</w:t>
      </w:r>
      <w:r w:rsidR="00CA5A97">
        <w:rPr>
          <w:rFonts w:ascii="仿宋_GB2312" w:eastAsia="仿宋_GB2312" w:hint="eastAsia"/>
          <w:sz w:val="32"/>
          <w:szCs w:val="32"/>
        </w:rPr>
        <w:t>“两违”办</w:t>
      </w:r>
      <w:r w:rsidR="00EE0684" w:rsidRPr="00EE0684">
        <w:rPr>
          <w:rFonts w:ascii="仿宋_GB2312" w:eastAsia="仿宋_GB2312" w:hint="eastAsia"/>
          <w:sz w:val="32"/>
          <w:szCs w:val="32"/>
        </w:rPr>
        <w:t xml:space="preserve">。 </w:t>
      </w:r>
    </w:p>
    <w:p w:rsidR="009505F4" w:rsidRPr="00EE0684" w:rsidRDefault="00154A5A" w:rsidP="00EE0684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2051" style="position:absolute;z-index:251661312" from="-3.75pt,29.85pt" to="436.25pt,29.85pt"/>
        </w:pict>
      </w:r>
      <w:r>
        <w:rPr>
          <w:rFonts w:ascii="仿宋_GB2312" w:eastAsia="仿宋_GB2312"/>
          <w:sz w:val="32"/>
          <w:szCs w:val="32"/>
        </w:rPr>
        <w:pict>
          <v:line id="_x0000_s2052" style="position:absolute;z-index:251662336" from="-3.75pt,2.3pt" to="436.25pt,2.3pt"/>
        </w:pict>
      </w:r>
      <w:r>
        <w:rPr>
          <w:rFonts w:ascii="仿宋_GB2312" w:eastAsia="仿宋_GB231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89pt;margin-top:17.95pt;width:41.2pt;height:28.95pt;z-index:251660288" stroked="f">
            <v:textbox style="mso-next-textbox:#_x0000_s2050">
              <w:txbxContent>
                <w:p w:rsidR="00EE0684" w:rsidRPr="004501C1" w:rsidRDefault="00EE0684" w:rsidP="00EE0684"/>
              </w:txbxContent>
            </v:textbox>
          </v:shape>
        </w:pict>
      </w:r>
      <w:r w:rsidR="00EE0684" w:rsidRPr="00EE0684">
        <w:rPr>
          <w:rFonts w:ascii="仿宋_GB2312" w:eastAsia="仿宋_GB2312" w:hint="eastAsia"/>
          <w:sz w:val="32"/>
          <w:szCs w:val="32"/>
        </w:rPr>
        <w:t>建宁县林业局办公室             2021年</w:t>
      </w:r>
      <w:r w:rsidR="00EE0684">
        <w:rPr>
          <w:rFonts w:ascii="仿宋_GB2312" w:eastAsia="仿宋_GB2312" w:hint="eastAsia"/>
          <w:sz w:val="32"/>
          <w:szCs w:val="32"/>
        </w:rPr>
        <w:t>6</w:t>
      </w:r>
      <w:r w:rsidR="00EE0684" w:rsidRPr="00EE0684">
        <w:rPr>
          <w:rFonts w:ascii="仿宋_GB2312" w:eastAsia="仿宋_GB2312" w:hint="eastAsia"/>
          <w:sz w:val="32"/>
          <w:szCs w:val="32"/>
        </w:rPr>
        <w:t>月</w:t>
      </w:r>
      <w:r w:rsidR="00EE0684">
        <w:rPr>
          <w:rFonts w:ascii="仿宋_GB2312" w:eastAsia="仿宋_GB2312" w:hint="eastAsia"/>
          <w:sz w:val="32"/>
          <w:szCs w:val="32"/>
        </w:rPr>
        <w:t>10</w:t>
      </w:r>
      <w:r w:rsidR="00EE0684" w:rsidRPr="00EE0684">
        <w:rPr>
          <w:rFonts w:ascii="仿宋_GB2312" w:eastAsia="仿宋_GB2312" w:hint="eastAsia"/>
          <w:sz w:val="32"/>
          <w:szCs w:val="32"/>
        </w:rPr>
        <w:t xml:space="preserve">日印发     </w:t>
      </w:r>
    </w:p>
    <w:sectPr w:rsidR="009505F4" w:rsidRPr="00EE0684" w:rsidSect="0030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9A1" w:rsidRDefault="00F309A1" w:rsidP="00606A92">
      <w:r>
        <w:separator/>
      </w:r>
    </w:p>
  </w:endnote>
  <w:endnote w:type="continuationSeparator" w:id="1">
    <w:p w:rsidR="00F309A1" w:rsidRDefault="00F309A1" w:rsidP="0060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9A1" w:rsidRDefault="00F309A1" w:rsidP="00606A92">
      <w:r>
        <w:separator/>
      </w:r>
    </w:p>
  </w:footnote>
  <w:footnote w:type="continuationSeparator" w:id="1">
    <w:p w:rsidR="00F309A1" w:rsidRDefault="00F309A1" w:rsidP="00606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509"/>
    <w:multiLevelType w:val="hybridMultilevel"/>
    <w:tmpl w:val="EC38D244"/>
    <w:lvl w:ilvl="0" w:tplc="EB941272">
      <w:start w:val="1"/>
      <w:numFmt w:val="japaneseCounting"/>
      <w:lvlText w:val="（%1）"/>
      <w:lvlJc w:val="left"/>
      <w:pPr>
        <w:ind w:left="2220" w:hanging="1575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2923A03"/>
    <w:multiLevelType w:val="hybridMultilevel"/>
    <w:tmpl w:val="B12A0712"/>
    <w:lvl w:ilvl="0" w:tplc="E3AA8A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7476C64"/>
    <w:multiLevelType w:val="hybridMultilevel"/>
    <w:tmpl w:val="C20CD6A6"/>
    <w:lvl w:ilvl="0" w:tplc="8BB88F94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A92"/>
    <w:rsid w:val="000035D4"/>
    <w:rsid w:val="0006697B"/>
    <w:rsid w:val="000B7886"/>
    <w:rsid w:val="00140443"/>
    <w:rsid w:val="00154A5A"/>
    <w:rsid w:val="0016743E"/>
    <w:rsid w:val="001B22EB"/>
    <w:rsid w:val="00235DEC"/>
    <w:rsid w:val="00300A89"/>
    <w:rsid w:val="0038018A"/>
    <w:rsid w:val="00395F0B"/>
    <w:rsid w:val="00405B7D"/>
    <w:rsid w:val="0043000F"/>
    <w:rsid w:val="004470D4"/>
    <w:rsid w:val="00493603"/>
    <w:rsid w:val="00552CF2"/>
    <w:rsid w:val="00586BCA"/>
    <w:rsid w:val="00606A92"/>
    <w:rsid w:val="006F3983"/>
    <w:rsid w:val="00757E37"/>
    <w:rsid w:val="007E1DBA"/>
    <w:rsid w:val="00894427"/>
    <w:rsid w:val="008E685B"/>
    <w:rsid w:val="0092634D"/>
    <w:rsid w:val="009505F4"/>
    <w:rsid w:val="00A275A4"/>
    <w:rsid w:val="00A4362A"/>
    <w:rsid w:val="00AA2DDF"/>
    <w:rsid w:val="00B87CD0"/>
    <w:rsid w:val="00C509D3"/>
    <w:rsid w:val="00C63BA7"/>
    <w:rsid w:val="00CA5A97"/>
    <w:rsid w:val="00D31418"/>
    <w:rsid w:val="00DB430D"/>
    <w:rsid w:val="00DD69CD"/>
    <w:rsid w:val="00E4667D"/>
    <w:rsid w:val="00EE0684"/>
    <w:rsid w:val="00F309A1"/>
    <w:rsid w:val="00F9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A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A92"/>
    <w:rPr>
      <w:sz w:val="18"/>
      <w:szCs w:val="18"/>
    </w:rPr>
  </w:style>
  <w:style w:type="paragraph" w:styleId="a5">
    <w:name w:val="List Paragraph"/>
    <w:basedOn w:val="a"/>
    <w:uiPriority w:val="34"/>
    <w:qFormat/>
    <w:rsid w:val="00235D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10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2021-06-30T02:38:00Z</cp:lastPrinted>
  <dcterms:created xsi:type="dcterms:W3CDTF">2021-06-16T11:32:00Z</dcterms:created>
  <dcterms:modified xsi:type="dcterms:W3CDTF">2021-06-30T02:39:00Z</dcterms:modified>
</cp:coreProperties>
</file>