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19" w:rsidRDefault="00321EF6" w:rsidP="001F0ACA">
      <w:pPr>
        <w:pStyle w:val="ae"/>
        <w:spacing w:afterLines="50"/>
        <w:rPr>
          <w:rStyle w:val="ab"/>
          <w:b w:val="0"/>
          <w:color w:val="000000"/>
        </w:rPr>
      </w:pPr>
      <w:bookmarkStart w:id="0" w:name="_Toc17040414"/>
      <w:r>
        <w:rPr>
          <w:rStyle w:val="ab"/>
          <w:rFonts w:hint="eastAsia"/>
          <w:b w:val="0"/>
          <w:color w:val="000000"/>
        </w:rPr>
        <w:t>建宁县创建国家生态文明建设示范县建设指标</w:t>
      </w:r>
      <w:bookmarkEnd w:id="0"/>
      <w:r>
        <w:rPr>
          <w:rStyle w:val="ab"/>
          <w:rFonts w:hint="eastAsia"/>
          <w:b w:val="0"/>
          <w:color w:val="000000"/>
        </w:rPr>
        <w:t>完成情况一览表</w:t>
      </w: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3"/>
        <w:gridCol w:w="891"/>
        <w:gridCol w:w="427"/>
        <w:gridCol w:w="3655"/>
        <w:gridCol w:w="710"/>
        <w:gridCol w:w="1602"/>
        <w:gridCol w:w="1015"/>
        <w:gridCol w:w="1561"/>
        <w:gridCol w:w="1703"/>
        <w:gridCol w:w="1610"/>
      </w:tblGrid>
      <w:tr w:rsidR="00A540C4" w:rsidTr="00226EAF">
        <w:trPr>
          <w:cantSplit/>
          <w:trHeight w:val="425"/>
          <w:tblHeader/>
          <w:jc w:val="center"/>
        </w:trPr>
        <w:tc>
          <w:tcPr>
            <w:tcW w:w="173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jc w:val="center"/>
              <w:rPr>
                <w:rFonts w:ascii="黑体" w:eastAsia="黑体" w:hAnsi="黑体" w:cs="Arial Unicode MS"/>
                <w:sz w:val="24"/>
                <w:szCs w:val="24"/>
              </w:rPr>
            </w:pPr>
            <w:bookmarkStart w:id="1" w:name="_Hlk14251637"/>
            <w:r>
              <w:rPr>
                <w:rFonts w:ascii="黑体" w:eastAsia="黑体" w:hAnsi="黑体" w:cs="Arial Unicode MS" w:hint="eastAsia"/>
                <w:sz w:val="24"/>
                <w:szCs w:val="24"/>
              </w:rPr>
              <w:t>领域</w:t>
            </w:r>
          </w:p>
        </w:tc>
        <w:tc>
          <w:tcPr>
            <w:tcW w:w="326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jc w:val="center"/>
              <w:rPr>
                <w:rFonts w:ascii="黑体" w:eastAsia="黑体" w:hAnsi="黑体" w:cs="Arial Unicode MS"/>
                <w:sz w:val="24"/>
                <w:szCs w:val="24"/>
              </w:rPr>
            </w:pPr>
            <w:r>
              <w:rPr>
                <w:rFonts w:ascii="黑体" w:eastAsia="黑体" w:hAnsi="黑体" w:cs="Arial Unicode MS" w:hint="eastAsia"/>
                <w:sz w:val="24"/>
                <w:szCs w:val="24"/>
              </w:rPr>
              <w:t>任务</w:t>
            </w:r>
          </w:p>
        </w:tc>
        <w:tc>
          <w:tcPr>
            <w:tcW w:w="156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jc w:val="center"/>
              <w:rPr>
                <w:rFonts w:ascii="黑体" w:eastAsia="黑体" w:hAnsi="黑体" w:cs="Arial Unicode MS"/>
                <w:sz w:val="24"/>
                <w:szCs w:val="24"/>
              </w:rPr>
            </w:pPr>
            <w:r>
              <w:rPr>
                <w:rFonts w:ascii="黑体" w:eastAsia="黑体" w:hAnsi="黑体" w:cs="Arial Unicode MS" w:hint="eastAsia"/>
                <w:sz w:val="24"/>
                <w:szCs w:val="24"/>
              </w:rPr>
              <w:t>序号</w:t>
            </w:r>
          </w:p>
        </w:tc>
        <w:tc>
          <w:tcPr>
            <w:tcW w:w="1339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jc w:val="center"/>
              <w:rPr>
                <w:rFonts w:ascii="黑体" w:eastAsia="黑体" w:hAnsi="黑体" w:cs="Arial Unicode MS"/>
                <w:sz w:val="24"/>
                <w:szCs w:val="24"/>
              </w:rPr>
            </w:pPr>
            <w:r>
              <w:rPr>
                <w:rFonts w:ascii="黑体" w:eastAsia="黑体" w:hAnsi="黑体" w:cs="Arial Unicode MS" w:hint="eastAsia"/>
                <w:sz w:val="24"/>
                <w:szCs w:val="24"/>
              </w:rPr>
              <w:t>指标名称</w:t>
            </w:r>
          </w:p>
        </w:tc>
        <w:tc>
          <w:tcPr>
            <w:tcW w:w="260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jc w:val="center"/>
              <w:rPr>
                <w:rFonts w:ascii="黑体" w:eastAsia="黑体" w:hAnsi="黑体" w:cs="Arial Unicode MS"/>
                <w:sz w:val="24"/>
                <w:szCs w:val="24"/>
              </w:rPr>
            </w:pPr>
            <w:r>
              <w:rPr>
                <w:rFonts w:ascii="黑体" w:eastAsia="黑体" w:hAnsi="黑体" w:cs="Arial Unicode MS" w:hint="eastAsia"/>
                <w:sz w:val="24"/>
                <w:szCs w:val="24"/>
              </w:rPr>
              <w:t>单位</w:t>
            </w:r>
          </w:p>
        </w:tc>
        <w:tc>
          <w:tcPr>
            <w:tcW w:w="587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jc w:val="center"/>
              <w:rPr>
                <w:rFonts w:ascii="黑体" w:eastAsia="黑体" w:hAnsi="黑体" w:cs="Arial Unicode MS"/>
                <w:sz w:val="24"/>
                <w:szCs w:val="24"/>
              </w:rPr>
            </w:pPr>
            <w:r>
              <w:rPr>
                <w:rFonts w:ascii="黑体" w:eastAsia="黑体" w:hAnsi="黑体" w:cs="Arial Unicode MS" w:hint="eastAsia"/>
                <w:sz w:val="24"/>
                <w:szCs w:val="24"/>
              </w:rPr>
              <w:t>指标值</w:t>
            </w:r>
          </w:p>
        </w:tc>
        <w:tc>
          <w:tcPr>
            <w:tcW w:w="372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jc w:val="center"/>
              <w:rPr>
                <w:rFonts w:ascii="黑体" w:eastAsia="黑体" w:hAnsi="黑体" w:cs="Arial Unicode MS"/>
                <w:sz w:val="24"/>
                <w:szCs w:val="24"/>
              </w:rPr>
            </w:pPr>
            <w:r>
              <w:rPr>
                <w:rFonts w:ascii="黑体" w:eastAsia="黑体" w:hAnsi="黑体" w:cs="Arial Unicode MS" w:hint="eastAsia"/>
                <w:sz w:val="24"/>
                <w:szCs w:val="24"/>
              </w:rPr>
              <w:t>指标属性</w:t>
            </w:r>
          </w:p>
        </w:tc>
        <w:tc>
          <w:tcPr>
            <w:tcW w:w="1786" w:type="pct"/>
            <w:gridSpan w:val="3"/>
            <w:vAlign w:val="center"/>
          </w:tcPr>
          <w:p w:rsidR="00A540C4" w:rsidRDefault="00A540C4" w:rsidP="00226EAF">
            <w:pPr>
              <w:adjustRightInd w:val="0"/>
              <w:snapToGrid w:val="0"/>
              <w:jc w:val="center"/>
              <w:rPr>
                <w:rFonts w:ascii="黑体" w:eastAsia="黑体" w:hAnsi="黑体" w:cs="Arial Unicode MS"/>
                <w:sz w:val="24"/>
                <w:szCs w:val="24"/>
              </w:rPr>
            </w:pPr>
            <w:r>
              <w:rPr>
                <w:rFonts w:ascii="黑体" w:eastAsia="黑体" w:hAnsi="黑体" w:cs="Arial Unicode MS" w:hint="eastAsia"/>
                <w:sz w:val="24"/>
                <w:szCs w:val="24"/>
              </w:rPr>
              <w:t>完成情况</w:t>
            </w:r>
          </w:p>
        </w:tc>
      </w:tr>
      <w:tr w:rsidR="00A540C4" w:rsidTr="002419C8">
        <w:trPr>
          <w:cantSplit/>
          <w:trHeight w:val="425"/>
          <w:tblHeader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jc w:val="center"/>
              <w:rPr>
                <w:rFonts w:ascii="黑体" w:eastAsia="黑体" w:hAnsi="黑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jc w:val="center"/>
              <w:rPr>
                <w:rFonts w:ascii="黑体" w:eastAsia="黑体" w:hAnsi="黑体" w:cs="Arial Unicode MS"/>
                <w:sz w:val="24"/>
                <w:szCs w:val="24"/>
              </w:rPr>
            </w:pPr>
          </w:p>
        </w:tc>
        <w:tc>
          <w:tcPr>
            <w:tcW w:w="15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jc w:val="center"/>
              <w:rPr>
                <w:rFonts w:ascii="黑体" w:eastAsia="黑体" w:hAnsi="黑体" w:cs="Arial Unicode MS"/>
                <w:sz w:val="24"/>
                <w:szCs w:val="24"/>
              </w:rPr>
            </w:pPr>
          </w:p>
        </w:tc>
        <w:tc>
          <w:tcPr>
            <w:tcW w:w="1339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jc w:val="center"/>
              <w:rPr>
                <w:rFonts w:ascii="黑体" w:eastAsia="黑体" w:hAnsi="黑体" w:cs="Arial Unicode MS"/>
                <w:sz w:val="24"/>
                <w:szCs w:val="24"/>
              </w:rPr>
            </w:pPr>
          </w:p>
        </w:tc>
        <w:tc>
          <w:tcPr>
            <w:tcW w:w="260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jc w:val="center"/>
              <w:rPr>
                <w:rFonts w:ascii="黑体" w:eastAsia="黑体" w:hAnsi="黑体" w:cs="Arial Unicode MS"/>
                <w:sz w:val="24"/>
                <w:szCs w:val="24"/>
              </w:rPr>
            </w:pPr>
          </w:p>
        </w:tc>
        <w:tc>
          <w:tcPr>
            <w:tcW w:w="587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jc w:val="center"/>
              <w:rPr>
                <w:rFonts w:ascii="黑体" w:eastAsia="黑体" w:hAnsi="黑体" w:cs="Arial Unicode MS"/>
                <w:sz w:val="24"/>
                <w:szCs w:val="24"/>
              </w:rPr>
            </w:pPr>
          </w:p>
        </w:tc>
        <w:tc>
          <w:tcPr>
            <w:tcW w:w="372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jc w:val="center"/>
              <w:rPr>
                <w:rFonts w:ascii="黑体" w:eastAsia="黑体" w:hAnsi="黑体" w:cs="Arial Unicode MS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A540C4" w:rsidRDefault="00A540C4">
            <w:pPr>
              <w:adjustRightInd w:val="0"/>
              <w:snapToGrid w:val="0"/>
              <w:jc w:val="center"/>
              <w:rPr>
                <w:rFonts w:ascii="黑体" w:eastAsia="黑体" w:hAnsi="黑体" w:cs="Arial Unicode MS"/>
                <w:sz w:val="24"/>
                <w:szCs w:val="24"/>
              </w:rPr>
            </w:pPr>
            <w:r>
              <w:rPr>
                <w:rFonts w:ascii="黑体" w:eastAsia="黑体" w:hAnsi="黑体" w:cs="Arial Unicode MS" w:hint="eastAsia"/>
                <w:sz w:val="24"/>
                <w:szCs w:val="24"/>
              </w:rPr>
              <w:t>2017年</w:t>
            </w:r>
          </w:p>
        </w:tc>
        <w:tc>
          <w:tcPr>
            <w:tcW w:w="624" w:type="pct"/>
            <w:vAlign w:val="center"/>
          </w:tcPr>
          <w:p w:rsidR="00A540C4" w:rsidRDefault="00A540C4">
            <w:pPr>
              <w:adjustRightInd w:val="0"/>
              <w:snapToGrid w:val="0"/>
              <w:jc w:val="center"/>
              <w:rPr>
                <w:rFonts w:ascii="黑体" w:eastAsia="黑体" w:hAnsi="黑体" w:cs="Arial Unicode MS"/>
                <w:sz w:val="24"/>
                <w:szCs w:val="24"/>
              </w:rPr>
            </w:pPr>
            <w:r>
              <w:rPr>
                <w:rFonts w:ascii="黑体" w:eastAsia="黑体" w:hAnsi="黑体" w:cs="Arial Unicode MS" w:hint="eastAsia"/>
                <w:sz w:val="24"/>
                <w:szCs w:val="24"/>
              </w:rPr>
              <w:t>2018年</w:t>
            </w:r>
          </w:p>
        </w:tc>
        <w:tc>
          <w:tcPr>
            <w:tcW w:w="590" w:type="pct"/>
            <w:vAlign w:val="center"/>
          </w:tcPr>
          <w:p w:rsidR="00A540C4" w:rsidRDefault="00A540C4">
            <w:pPr>
              <w:adjustRightInd w:val="0"/>
              <w:snapToGrid w:val="0"/>
              <w:jc w:val="center"/>
              <w:rPr>
                <w:rFonts w:ascii="黑体" w:eastAsia="黑体" w:hAnsi="黑体" w:cs="Arial Unicode MS"/>
                <w:sz w:val="24"/>
                <w:szCs w:val="24"/>
              </w:rPr>
            </w:pPr>
            <w:r>
              <w:rPr>
                <w:rFonts w:ascii="黑体" w:eastAsia="黑体" w:hAnsi="黑体" w:cs="Arial Unicode MS" w:hint="eastAsia"/>
                <w:sz w:val="24"/>
                <w:szCs w:val="24"/>
              </w:rPr>
              <w:t>2019年</w:t>
            </w:r>
          </w:p>
        </w:tc>
      </w:tr>
      <w:tr w:rsidR="00A540C4" w:rsidTr="002419C8">
        <w:trPr>
          <w:cantSplit/>
          <w:trHeight w:val="454"/>
          <w:jc w:val="center"/>
        </w:trPr>
        <w:tc>
          <w:tcPr>
            <w:tcW w:w="173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生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态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制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度</w:t>
            </w:r>
          </w:p>
        </w:tc>
        <w:tc>
          <w:tcPr>
            <w:tcW w:w="326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（一）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目标责任体系与制度建设</w:t>
            </w: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生态文明建设规划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-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制定实施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约束性</w:t>
            </w:r>
          </w:p>
        </w:tc>
        <w:tc>
          <w:tcPr>
            <w:tcW w:w="572" w:type="pct"/>
            <w:vAlign w:val="center"/>
          </w:tcPr>
          <w:p w:rsidR="00A540C4" w:rsidRDefault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--</w:t>
            </w:r>
          </w:p>
        </w:tc>
        <w:tc>
          <w:tcPr>
            <w:tcW w:w="624" w:type="pct"/>
            <w:vAlign w:val="center"/>
          </w:tcPr>
          <w:p w:rsidR="00A540C4" w:rsidRDefault="00FC1430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启动编制</w:t>
            </w:r>
          </w:p>
        </w:tc>
        <w:tc>
          <w:tcPr>
            <w:tcW w:w="59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制定实施</w:t>
            </w:r>
          </w:p>
        </w:tc>
      </w:tr>
      <w:tr w:rsidR="00A540C4" w:rsidTr="002419C8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2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党委政府对生态文明建设重大目标任务部署情况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-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有效开展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约束性</w:t>
            </w:r>
          </w:p>
        </w:tc>
        <w:tc>
          <w:tcPr>
            <w:tcW w:w="5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有效开展</w:t>
            </w:r>
          </w:p>
        </w:tc>
        <w:tc>
          <w:tcPr>
            <w:tcW w:w="624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有效开展</w:t>
            </w:r>
          </w:p>
        </w:tc>
        <w:tc>
          <w:tcPr>
            <w:tcW w:w="59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有效开展</w:t>
            </w:r>
          </w:p>
        </w:tc>
      </w:tr>
      <w:tr w:rsidR="00A540C4" w:rsidTr="002419C8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3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生态文明建设工作占党政实绩考核的比例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≥20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约束性</w:t>
            </w:r>
          </w:p>
        </w:tc>
        <w:tc>
          <w:tcPr>
            <w:tcW w:w="5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624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</w:rPr>
              <w:t>24.60</w:t>
            </w:r>
          </w:p>
        </w:tc>
        <w:tc>
          <w:tcPr>
            <w:tcW w:w="590" w:type="pct"/>
            <w:vAlign w:val="center"/>
          </w:tcPr>
          <w:p w:rsidR="00A540C4" w:rsidRDefault="00A540C4" w:rsidP="00337DF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</w:rPr>
              <w:t>20.77</w:t>
            </w:r>
          </w:p>
        </w:tc>
      </w:tr>
      <w:tr w:rsidR="00A540C4" w:rsidTr="002419C8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4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河长制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-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全面实施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约束性</w:t>
            </w:r>
          </w:p>
        </w:tc>
        <w:tc>
          <w:tcPr>
            <w:tcW w:w="5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全面实施</w:t>
            </w:r>
          </w:p>
        </w:tc>
        <w:tc>
          <w:tcPr>
            <w:tcW w:w="624" w:type="pct"/>
            <w:vAlign w:val="center"/>
          </w:tcPr>
          <w:p w:rsidR="00A540C4" w:rsidRDefault="00A540C4">
            <w:pPr>
              <w:adjustRightInd w:val="0"/>
              <w:snapToGrid w:val="0"/>
              <w:ind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全面实施</w:t>
            </w:r>
          </w:p>
        </w:tc>
        <w:tc>
          <w:tcPr>
            <w:tcW w:w="59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全面实施</w:t>
            </w:r>
          </w:p>
        </w:tc>
      </w:tr>
      <w:tr w:rsidR="00A540C4" w:rsidTr="002419C8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5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bookmarkStart w:id="2" w:name="_Hlk6664189"/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生态环境信息公开率</w:t>
            </w:r>
            <w:bookmarkEnd w:id="2"/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约束性</w:t>
            </w:r>
          </w:p>
        </w:tc>
        <w:tc>
          <w:tcPr>
            <w:tcW w:w="5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  <w:tc>
          <w:tcPr>
            <w:tcW w:w="624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  <w:tc>
          <w:tcPr>
            <w:tcW w:w="59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</w:tr>
      <w:tr w:rsidR="00A540C4" w:rsidTr="002419C8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6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依法开展规划环境影响评价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/>
                <w:sz w:val="24"/>
                <w:szCs w:val="24"/>
              </w:rPr>
              <w:t>-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开展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参考性</w:t>
            </w:r>
          </w:p>
        </w:tc>
        <w:tc>
          <w:tcPr>
            <w:tcW w:w="5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开展</w:t>
            </w:r>
          </w:p>
        </w:tc>
        <w:tc>
          <w:tcPr>
            <w:tcW w:w="624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开展</w:t>
            </w:r>
          </w:p>
        </w:tc>
        <w:tc>
          <w:tcPr>
            <w:tcW w:w="59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开展</w:t>
            </w:r>
          </w:p>
        </w:tc>
      </w:tr>
      <w:tr w:rsidR="00A540C4" w:rsidTr="002419C8">
        <w:trPr>
          <w:cantSplit/>
          <w:trHeight w:val="454"/>
          <w:jc w:val="center"/>
        </w:trPr>
        <w:tc>
          <w:tcPr>
            <w:tcW w:w="173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生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态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安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全</w:t>
            </w:r>
          </w:p>
        </w:tc>
        <w:tc>
          <w:tcPr>
            <w:tcW w:w="326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（二）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生态环境质量改善</w:t>
            </w:r>
          </w:p>
        </w:tc>
        <w:tc>
          <w:tcPr>
            <w:tcW w:w="156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7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环境空气质量</w:t>
            </w:r>
          </w:p>
        </w:tc>
        <w:tc>
          <w:tcPr>
            <w:tcW w:w="260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4"/>
                <w:sz w:val="24"/>
                <w:szCs w:val="24"/>
              </w:rPr>
            </w:pPr>
            <w:bookmarkStart w:id="3" w:name="_Hlk6234793"/>
            <w:bookmarkStart w:id="4" w:name="_Hlk12201246"/>
            <w:r>
              <w:rPr>
                <w:rFonts w:ascii="宋体" w:eastAsia="宋体" w:hAnsi="宋体" w:cs="Arial Unicode MS" w:hint="eastAsia"/>
                <w:spacing w:val="-4"/>
                <w:sz w:val="24"/>
                <w:szCs w:val="24"/>
              </w:rPr>
              <w:t>完成上级规定的考核任务；保持稳定或持续改善</w:t>
            </w:r>
            <w:bookmarkEnd w:id="3"/>
            <w:bookmarkEnd w:id="4"/>
          </w:p>
        </w:tc>
        <w:tc>
          <w:tcPr>
            <w:tcW w:w="372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约束性</w:t>
            </w:r>
          </w:p>
        </w:tc>
        <w:tc>
          <w:tcPr>
            <w:tcW w:w="572" w:type="pct"/>
            <w:vMerge w:val="restart"/>
            <w:vAlign w:val="bottom"/>
          </w:tcPr>
          <w:p w:rsidR="004F684A" w:rsidRDefault="004F684A" w:rsidP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100%</w:t>
            </w:r>
          </w:p>
          <w:p w:rsidR="00A540C4" w:rsidRDefault="00A540C4" w:rsidP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4"/>
                <w:sz w:val="24"/>
                <w:szCs w:val="24"/>
              </w:rPr>
              <w:t>完成上级目标</w:t>
            </w:r>
          </w:p>
        </w:tc>
        <w:tc>
          <w:tcPr>
            <w:tcW w:w="624" w:type="pct"/>
            <w:vMerge w:val="restart"/>
            <w:vAlign w:val="bottom"/>
          </w:tcPr>
          <w:p w:rsidR="004F684A" w:rsidRDefault="004F684A" w:rsidP="00643B59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100%</w:t>
            </w:r>
          </w:p>
          <w:p w:rsidR="00A540C4" w:rsidRDefault="00A540C4" w:rsidP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4"/>
                <w:sz w:val="24"/>
                <w:szCs w:val="24"/>
              </w:rPr>
              <w:t>完成上级目标</w:t>
            </w:r>
          </w:p>
        </w:tc>
        <w:tc>
          <w:tcPr>
            <w:tcW w:w="590" w:type="pct"/>
            <w:vMerge w:val="restart"/>
            <w:vAlign w:val="bottom"/>
          </w:tcPr>
          <w:p w:rsidR="004F684A" w:rsidRDefault="004F684A" w:rsidP="00643B59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99.2%</w:t>
            </w:r>
          </w:p>
          <w:p w:rsidR="00A540C4" w:rsidRDefault="00A540C4" w:rsidP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4"/>
                <w:sz w:val="24"/>
                <w:szCs w:val="24"/>
              </w:rPr>
              <w:t>完成上级目标</w:t>
            </w:r>
          </w:p>
        </w:tc>
      </w:tr>
      <w:tr w:rsidR="00A540C4" w:rsidTr="002419C8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339" w:type="pct"/>
            <w:vAlign w:val="center"/>
          </w:tcPr>
          <w:p w:rsidR="00A540C4" w:rsidRDefault="00A540C4" w:rsidP="00321EF6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优良天数比例</w:t>
            </w:r>
          </w:p>
        </w:tc>
        <w:tc>
          <w:tcPr>
            <w:tcW w:w="260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87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4"/>
                <w:sz w:val="24"/>
                <w:szCs w:val="24"/>
              </w:rPr>
            </w:pPr>
          </w:p>
        </w:tc>
        <w:tc>
          <w:tcPr>
            <w:tcW w:w="372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624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A540C4" w:rsidTr="002419C8">
        <w:trPr>
          <w:cantSplit/>
          <w:trHeight w:val="502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339" w:type="pct"/>
            <w:vAlign w:val="center"/>
          </w:tcPr>
          <w:p w:rsidR="00A540C4" w:rsidRDefault="00A540C4" w:rsidP="00321EF6">
            <w:pPr>
              <w:adjustRightInd w:val="0"/>
              <w:snapToGrid w:val="0"/>
              <w:ind w:left="41" w:rightChars="20" w:right="42" w:hangingChars="17" w:hanging="41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PM</w:t>
            </w:r>
            <w:r>
              <w:rPr>
                <w:rFonts w:ascii="宋体" w:eastAsia="宋体" w:hAnsi="宋体" w:cs="Arial Unicode MS" w:hint="eastAsia"/>
                <w:sz w:val="24"/>
                <w:szCs w:val="24"/>
                <w:vertAlign w:val="subscript"/>
              </w:rPr>
              <w:t>2.5</w:t>
            </w: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浓度下降幅度</w:t>
            </w:r>
          </w:p>
        </w:tc>
        <w:tc>
          <w:tcPr>
            <w:tcW w:w="260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87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4"/>
                <w:sz w:val="24"/>
                <w:szCs w:val="24"/>
              </w:rPr>
            </w:pPr>
          </w:p>
        </w:tc>
        <w:tc>
          <w:tcPr>
            <w:tcW w:w="372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A540C4" w:rsidRPr="003D0F67" w:rsidRDefault="00A540C4" w:rsidP="00643B59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4"/>
                <w:sz w:val="24"/>
                <w:szCs w:val="24"/>
              </w:rPr>
            </w:pPr>
            <w:r w:rsidRPr="003D0F67">
              <w:rPr>
                <w:rFonts w:ascii="宋体" w:eastAsia="宋体" w:hAnsi="宋体" w:cs="Arial Unicode MS" w:hint="eastAsia"/>
                <w:spacing w:val="-4"/>
                <w:sz w:val="24"/>
                <w:szCs w:val="24"/>
              </w:rPr>
              <w:t>完成上级目标</w:t>
            </w:r>
          </w:p>
          <w:p w:rsidR="00A540C4" w:rsidRPr="003D0F67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4"/>
                <w:sz w:val="24"/>
                <w:szCs w:val="24"/>
              </w:rPr>
            </w:pPr>
            <w:r w:rsidRPr="003D0F67">
              <w:rPr>
                <w:rFonts w:ascii="宋体" w:eastAsia="宋体" w:hAnsi="宋体" w:cs="Arial Unicode MS" w:hint="eastAsia"/>
                <w:spacing w:val="-4"/>
                <w:sz w:val="24"/>
                <w:szCs w:val="24"/>
              </w:rPr>
              <w:t>达标且保持稳定</w:t>
            </w:r>
          </w:p>
        </w:tc>
        <w:tc>
          <w:tcPr>
            <w:tcW w:w="624" w:type="pct"/>
            <w:vAlign w:val="center"/>
          </w:tcPr>
          <w:p w:rsidR="00A540C4" w:rsidRPr="003D0F67" w:rsidRDefault="00A540C4" w:rsidP="00643B59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4"/>
                <w:sz w:val="24"/>
                <w:szCs w:val="24"/>
              </w:rPr>
            </w:pPr>
            <w:r w:rsidRPr="003D0F67">
              <w:rPr>
                <w:rFonts w:ascii="宋体" w:eastAsia="宋体" w:hAnsi="宋体" w:cs="Arial Unicode MS" w:hint="eastAsia"/>
                <w:spacing w:val="-4"/>
                <w:sz w:val="24"/>
                <w:szCs w:val="24"/>
              </w:rPr>
              <w:t>完成上级目标</w:t>
            </w:r>
          </w:p>
          <w:p w:rsidR="00A540C4" w:rsidRPr="003D0F67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4"/>
                <w:sz w:val="24"/>
                <w:szCs w:val="24"/>
              </w:rPr>
            </w:pPr>
            <w:r w:rsidRPr="003D0F67">
              <w:rPr>
                <w:rFonts w:ascii="宋体" w:eastAsia="宋体" w:hAnsi="宋体" w:cs="Arial Unicode MS" w:hint="eastAsia"/>
                <w:spacing w:val="-4"/>
                <w:sz w:val="24"/>
                <w:szCs w:val="24"/>
              </w:rPr>
              <w:t>达标且保持稳定</w:t>
            </w:r>
          </w:p>
        </w:tc>
        <w:tc>
          <w:tcPr>
            <w:tcW w:w="590" w:type="pct"/>
            <w:vAlign w:val="center"/>
          </w:tcPr>
          <w:p w:rsidR="00A540C4" w:rsidRPr="003D0F67" w:rsidRDefault="00A540C4" w:rsidP="00643B59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4"/>
                <w:sz w:val="24"/>
                <w:szCs w:val="24"/>
              </w:rPr>
            </w:pPr>
            <w:r w:rsidRPr="003D0F67">
              <w:rPr>
                <w:rFonts w:ascii="宋体" w:eastAsia="宋体" w:hAnsi="宋体" w:cs="Arial Unicode MS" w:hint="eastAsia"/>
                <w:spacing w:val="-4"/>
                <w:sz w:val="24"/>
                <w:szCs w:val="24"/>
              </w:rPr>
              <w:t>完成上级目标</w:t>
            </w:r>
          </w:p>
          <w:p w:rsidR="00A540C4" w:rsidRPr="003D0F67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4"/>
                <w:sz w:val="24"/>
                <w:szCs w:val="24"/>
              </w:rPr>
            </w:pPr>
            <w:r w:rsidRPr="003D0F67">
              <w:rPr>
                <w:rFonts w:ascii="宋体" w:eastAsia="宋体" w:hAnsi="宋体" w:cs="Arial Unicode MS" w:hint="eastAsia"/>
                <w:spacing w:val="-4"/>
                <w:sz w:val="24"/>
                <w:szCs w:val="24"/>
              </w:rPr>
              <w:t>达标且保持稳定</w:t>
            </w:r>
          </w:p>
        </w:tc>
      </w:tr>
      <w:tr w:rsidR="00A540C4" w:rsidTr="002419C8">
        <w:trPr>
          <w:cantSplit/>
          <w:trHeight w:val="390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8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水环境质量</w:t>
            </w:r>
          </w:p>
        </w:tc>
        <w:tc>
          <w:tcPr>
            <w:tcW w:w="260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4"/>
                <w:sz w:val="24"/>
                <w:szCs w:val="24"/>
              </w:rPr>
            </w:pPr>
            <w:bookmarkStart w:id="5" w:name="_Hlk6575930"/>
            <w:r>
              <w:rPr>
                <w:rFonts w:ascii="宋体" w:eastAsia="宋体" w:hAnsi="宋体" w:cs="Arial Unicode MS" w:hint="eastAsia"/>
                <w:spacing w:val="-4"/>
                <w:sz w:val="24"/>
                <w:szCs w:val="24"/>
              </w:rPr>
              <w:t>完成上级规定的考核任务；保持稳定或持续改善</w:t>
            </w:r>
            <w:bookmarkEnd w:id="5"/>
          </w:p>
        </w:tc>
        <w:tc>
          <w:tcPr>
            <w:tcW w:w="372" w:type="pct"/>
            <w:vMerge w:val="restart"/>
            <w:shd w:val="clear" w:color="auto" w:fill="FFFFFF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约束性</w:t>
            </w:r>
          </w:p>
        </w:tc>
        <w:tc>
          <w:tcPr>
            <w:tcW w:w="572" w:type="pct"/>
            <w:vMerge w:val="restart"/>
            <w:shd w:val="clear" w:color="auto" w:fill="FFFFFF"/>
            <w:vAlign w:val="bottom"/>
          </w:tcPr>
          <w:p w:rsidR="004F684A" w:rsidRDefault="004F684A" w:rsidP="00643B59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  <w:p w:rsidR="00A540C4" w:rsidRDefault="00A540C4" w:rsidP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4"/>
                <w:sz w:val="24"/>
                <w:szCs w:val="24"/>
              </w:rPr>
              <w:t>完成上级目标</w:t>
            </w:r>
          </w:p>
        </w:tc>
        <w:tc>
          <w:tcPr>
            <w:tcW w:w="624" w:type="pct"/>
            <w:vMerge w:val="restart"/>
            <w:shd w:val="clear" w:color="auto" w:fill="FFFFFF"/>
            <w:vAlign w:val="bottom"/>
          </w:tcPr>
          <w:p w:rsidR="004F684A" w:rsidRDefault="004F684A" w:rsidP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  <w:p w:rsidR="00A540C4" w:rsidRDefault="004F684A" w:rsidP="004F684A">
            <w:pPr>
              <w:widowControl/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4"/>
                <w:sz w:val="24"/>
                <w:szCs w:val="24"/>
              </w:rPr>
              <w:t>完成上级目标</w:t>
            </w:r>
          </w:p>
        </w:tc>
        <w:tc>
          <w:tcPr>
            <w:tcW w:w="590" w:type="pct"/>
            <w:vMerge w:val="restart"/>
            <w:shd w:val="clear" w:color="auto" w:fill="FFFFFF"/>
            <w:vAlign w:val="bottom"/>
          </w:tcPr>
          <w:p w:rsidR="004F684A" w:rsidRDefault="004F684A" w:rsidP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  <w:p w:rsidR="00A540C4" w:rsidRDefault="004F684A" w:rsidP="004F684A">
            <w:pPr>
              <w:widowControl/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4"/>
                <w:sz w:val="24"/>
                <w:szCs w:val="24"/>
              </w:rPr>
              <w:t>完成上级目标</w:t>
            </w:r>
          </w:p>
        </w:tc>
      </w:tr>
      <w:tr w:rsidR="00A540C4" w:rsidTr="002419C8">
        <w:trPr>
          <w:cantSplit/>
          <w:trHeight w:val="390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4"/>
                <w:sz w:val="24"/>
                <w:szCs w:val="24"/>
              </w:rPr>
              <w:t>水质达到或优于Ⅲ类比例提高幅度</w:t>
            </w:r>
          </w:p>
        </w:tc>
        <w:tc>
          <w:tcPr>
            <w:tcW w:w="260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87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4"/>
                <w:sz w:val="24"/>
                <w:szCs w:val="24"/>
              </w:rPr>
            </w:pPr>
          </w:p>
        </w:tc>
        <w:tc>
          <w:tcPr>
            <w:tcW w:w="372" w:type="pct"/>
            <w:vMerge/>
            <w:shd w:val="clear" w:color="auto" w:fill="FFFFFF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72" w:type="pct"/>
            <w:vMerge/>
            <w:shd w:val="clear" w:color="auto" w:fill="FFFFFF"/>
            <w:vAlign w:val="center"/>
          </w:tcPr>
          <w:p w:rsidR="00A540C4" w:rsidRDefault="00A540C4">
            <w:pPr>
              <w:widowControl/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624" w:type="pct"/>
            <w:vMerge/>
            <w:shd w:val="clear" w:color="auto" w:fill="FFFFFF"/>
            <w:vAlign w:val="center"/>
          </w:tcPr>
          <w:p w:rsidR="00A540C4" w:rsidRDefault="00A540C4">
            <w:pPr>
              <w:widowControl/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FFFFFF"/>
            <w:vAlign w:val="center"/>
          </w:tcPr>
          <w:p w:rsidR="00A540C4" w:rsidRDefault="00A540C4">
            <w:pPr>
              <w:widowControl/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A540C4" w:rsidTr="00A540C4">
        <w:trPr>
          <w:cantSplit/>
          <w:trHeight w:val="390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339" w:type="pct"/>
            <w:vAlign w:val="center"/>
          </w:tcPr>
          <w:p w:rsidR="00A540C4" w:rsidRDefault="00A540C4" w:rsidP="00321EF6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劣V类水体比例下降幅度</w:t>
            </w:r>
          </w:p>
        </w:tc>
        <w:tc>
          <w:tcPr>
            <w:tcW w:w="260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87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4"/>
                <w:sz w:val="24"/>
                <w:szCs w:val="24"/>
              </w:rPr>
            </w:pPr>
          </w:p>
        </w:tc>
        <w:tc>
          <w:tcPr>
            <w:tcW w:w="372" w:type="pct"/>
            <w:vMerge/>
            <w:shd w:val="clear" w:color="auto" w:fill="FFFFFF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786" w:type="pct"/>
            <w:gridSpan w:val="3"/>
            <w:shd w:val="clear" w:color="auto" w:fill="FFFFFF"/>
            <w:vAlign w:val="center"/>
          </w:tcPr>
          <w:p w:rsidR="00A540C4" w:rsidRDefault="00A540C4">
            <w:pPr>
              <w:adjustRightInd w:val="0"/>
              <w:snapToGrid w:val="0"/>
              <w:ind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无劣Ⅴ类水体</w:t>
            </w:r>
          </w:p>
        </w:tc>
      </w:tr>
      <w:tr w:rsidR="00A540C4" w:rsidTr="00A540C4">
        <w:trPr>
          <w:cantSplit/>
          <w:trHeight w:val="390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339" w:type="pct"/>
            <w:vAlign w:val="center"/>
          </w:tcPr>
          <w:p w:rsidR="00A540C4" w:rsidRDefault="00A540C4" w:rsidP="00321EF6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黑臭水体消除比例</w:t>
            </w:r>
          </w:p>
        </w:tc>
        <w:tc>
          <w:tcPr>
            <w:tcW w:w="260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87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4"/>
                <w:sz w:val="24"/>
                <w:szCs w:val="24"/>
              </w:rPr>
            </w:pPr>
          </w:p>
        </w:tc>
        <w:tc>
          <w:tcPr>
            <w:tcW w:w="372" w:type="pct"/>
            <w:vMerge/>
            <w:shd w:val="clear" w:color="auto" w:fill="FFFFFF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786" w:type="pct"/>
            <w:gridSpan w:val="3"/>
            <w:shd w:val="clear" w:color="auto" w:fill="FFFFFF"/>
            <w:vAlign w:val="center"/>
          </w:tcPr>
          <w:p w:rsidR="00A540C4" w:rsidRDefault="00A540C4">
            <w:pPr>
              <w:adjustRightInd w:val="0"/>
              <w:snapToGrid w:val="0"/>
              <w:ind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辖区无黑臭水体</w:t>
            </w:r>
          </w:p>
        </w:tc>
      </w:tr>
      <w:tr w:rsidR="00A540C4" w:rsidTr="00A540C4">
        <w:trPr>
          <w:cantSplit/>
          <w:trHeight w:val="454"/>
          <w:jc w:val="center"/>
        </w:trPr>
        <w:tc>
          <w:tcPr>
            <w:tcW w:w="173" w:type="pct"/>
            <w:vMerge w:val="restart"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lastRenderedPageBreak/>
              <w:t>生</w:t>
            </w:r>
          </w:p>
          <w:p w:rsidR="00A540C4" w:rsidRDefault="00A540C4">
            <w:pPr>
              <w:widowControl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态</w:t>
            </w:r>
          </w:p>
          <w:p w:rsidR="00A540C4" w:rsidRDefault="00A540C4">
            <w:pPr>
              <w:widowControl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安</w:t>
            </w:r>
          </w:p>
          <w:p w:rsidR="00A540C4" w:rsidRDefault="00A540C4">
            <w:pPr>
              <w:widowControl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全</w:t>
            </w:r>
          </w:p>
        </w:tc>
        <w:tc>
          <w:tcPr>
            <w:tcW w:w="32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（二）</w:t>
            </w:r>
          </w:p>
          <w:p w:rsidR="00A540C4" w:rsidRDefault="00A540C4">
            <w:pPr>
              <w:widowControl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生态环境质量改善</w:t>
            </w: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9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6"/>
                <w:sz w:val="24"/>
                <w:szCs w:val="24"/>
              </w:rPr>
              <w:t>近岸海域水质优良（一、二类）比例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4"/>
                <w:sz w:val="24"/>
                <w:szCs w:val="24"/>
              </w:rPr>
              <w:t>完成上级规定的考核任务；保持稳定或持续改善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约束性</w:t>
            </w:r>
          </w:p>
        </w:tc>
        <w:tc>
          <w:tcPr>
            <w:tcW w:w="1786" w:type="pct"/>
            <w:gridSpan w:val="3"/>
            <w:vAlign w:val="center"/>
          </w:tcPr>
          <w:p w:rsidR="00A540C4" w:rsidRDefault="00A540C4" w:rsidP="00D3604A">
            <w:pPr>
              <w:adjustRightInd w:val="0"/>
              <w:snapToGrid w:val="0"/>
              <w:ind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建宁县不涉及本指标</w:t>
            </w:r>
          </w:p>
        </w:tc>
      </w:tr>
      <w:tr w:rsidR="00A540C4" w:rsidTr="002419C8">
        <w:trPr>
          <w:cantSplit/>
          <w:trHeight w:val="563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（三）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生态系统保护</w:t>
            </w: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</w:t>
            </w:r>
          </w:p>
        </w:tc>
        <w:tc>
          <w:tcPr>
            <w:tcW w:w="1339" w:type="pct"/>
            <w:vAlign w:val="center"/>
          </w:tcPr>
          <w:p w:rsidR="00A540C4" w:rsidRDefault="00A540C4" w:rsidP="00237010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生态环境状况指数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≥60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约束性</w:t>
            </w:r>
          </w:p>
        </w:tc>
        <w:tc>
          <w:tcPr>
            <w:tcW w:w="572" w:type="pct"/>
            <w:vAlign w:val="center"/>
          </w:tcPr>
          <w:p w:rsidR="00A540C4" w:rsidRDefault="00A540C4">
            <w:pPr>
              <w:widowControl/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/>
                <w:sz w:val="24"/>
                <w:szCs w:val="24"/>
              </w:rPr>
              <w:t>7</w:t>
            </w: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9.98</w:t>
            </w:r>
          </w:p>
          <w:p w:rsidR="00A540C4" w:rsidRDefault="00A540C4">
            <w:pPr>
              <w:widowControl/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（2016年）</w:t>
            </w:r>
          </w:p>
        </w:tc>
        <w:tc>
          <w:tcPr>
            <w:tcW w:w="624" w:type="pct"/>
            <w:vAlign w:val="center"/>
          </w:tcPr>
          <w:p w:rsidR="00A540C4" w:rsidRDefault="00A540C4">
            <w:pPr>
              <w:widowControl/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86.65</w:t>
            </w:r>
          </w:p>
          <w:p w:rsidR="00A540C4" w:rsidRDefault="00A540C4">
            <w:pPr>
              <w:widowControl/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（2017年）</w:t>
            </w:r>
          </w:p>
        </w:tc>
        <w:tc>
          <w:tcPr>
            <w:tcW w:w="590" w:type="pct"/>
            <w:vAlign w:val="center"/>
          </w:tcPr>
          <w:p w:rsidR="00A540C4" w:rsidRDefault="00A540C4">
            <w:pPr>
              <w:widowControl/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86.37</w:t>
            </w:r>
          </w:p>
          <w:p w:rsidR="00A540C4" w:rsidRDefault="00A540C4" w:rsidP="00993347">
            <w:pPr>
              <w:widowControl/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（201</w:t>
            </w:r>
            <w:r w:rsidR="00993347">
              <w:rPr>
                <w:rFonts w:ascii="宋体" w:eastAsia="宋体" w:hAnsi="宋体" w:cs="Arial Unicode MS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年）</w:t>
            </w:r>
          </w:p>
        </w:tc>
      </w:tr>
      <w:tr w:rsidR="00A540C4" w:rsidTr="002419C8">
        <w:trPr>
          <w:cantSplit/>
          <w:trHeight w:val="543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11</w:t>
            </w:r>
          </w:p>
        </w:tc>
        <w:tc>
          <w:tcPr>
            <w:tcW w:w="1339" w:type="pct"/>
            <w:vAlign w:val="center"/>
          </w:tcPr>
          <w:p w:rsidR="00A540C4" w:rsidRDefault="00A540C4" w:rsidP="00237010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林草覆盖率（山区）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Align w:val="center"/>
          </w:tcPr>
          <w:p w:rsidR="00A540C4" w:rsidRDefault="00A540C4" w:rsidP="00237010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≥60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参考性</w:t>
            </w:r>
          </w:p>
        </w:tc>
        <w:tc>
          <w:tcPr>
            <w:tcW w:w="572" w:type="pct"/>
            <w:vAlign w:val="center"/>
          </w:tcPr>
          <w:p w:rsidR="00A540C4" w:rsidRDefault="00A540C4" w:rsidP="00B91712">
            <w:pPr>
              <w:widowControl/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76.51</w:t>
            </w:r>
          </w:p>
        </w:tc>
        <w:tc>
          <w:tcPr>
            <w:tcW w:w="624" w:type="pct"/>
            <w:vAlign w:val="center"/>
          </w:tcPr>
          <w:p w:rsidR="00A540C4" w:rsidRDefault="00A540C4" w:rsidP="00B91712">
            <w:pPr>
              <w:widowControl/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76.87</w:t>
            </w:r>
          </w:p>
        </w:tc>
        <w:tc>
          <w:tcPr>
            <w:tcW w:w="590" w:type="pct"/>
            <w:vAlign w:val="center"/>
          </w:tcPr>
          <w:p w:rsidR="00A540C4" w:rsidRDefault="00A540C4" w:rsidP="00B91712">
            <w:pPr>
              <w:widowControl/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78.00</w:t>
            </w:r>
          </w:p>
        </w:tc>
      </w:tr>
      <w:tr w:rsidR="00A540C4" w:rsidTr="002419C8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12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生物多样性保护</w:t>
            </w:r>
          </w:p>
        </w:tc>
        <w:tc>
          <w:tcPr>
            <w:tcW w:w="260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Merge w:val="restart"/>
            <w:vAlign w:val="bottom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≥95</w:t>
            </w:r>
          </w:p>
        </w:tc>
        <w:tc>
          <w:tcPr>
            <w:tcW w:w="372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参考性</w:t>
            </w:r>
          </w:p>
        </w:tc>
        <w:tc>
          <w:tcPr>
            <w:tcW w:w="572" w:type="pct"/>
            <w:vMerge w:val="restart"/>
            <w:vAlign w:val="bottom"/>
          </w:tcPr>
          <w:p w:rsidR="00A540C4" w:rsidRDefault="00A540C4" w:rsidP="00EF19E5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  <w:tc>
          <w:tcPr>
            <w:tcW w:w="624" w:type="pct"/>
            <w:vMerge w:val="restart"/>
            <w:vAlign w:val="bottom"/>
          </w:tcPr>
          <w:p w:rsidR="00A540C4" w:rsidRDefault="00A540C4" w:rsidP="00EF19E5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  <w:tc>
          <w:tcPr>
            <w:tcW w:w="590" w:type="pct"/>
            <w:vMerge w:val="restart"/>
            <w:vAlign w:val="bottom"/>
          </w:tcPr>
          <w:p w:rsidR="00A540C4" w:rsidRDefault="00A540C4" w:rsidP="00EF19E5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</w:tr>
      <w:tr w:rsidR="00A540C4" w:rsidTr="002419C8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4"/>
                <w:sz w:val="24"/>
                <w:szCs w:val="24"/>
              </w:rPr>
              <w:t>国家重点保护野生动植物保护率</w:t>
            </w:r>
          </w:p>
        </w:tc>
        <w:tc>
          <w:tcPr>
            <w:tcW w:w="260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87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72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624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A540C4" w:rsidTr="002419C8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339" w:type="pct"/>
            <w:vAlign w:val="center"/>
          </w:tcPr>
          <w:p w:rsidR="00A540C4" w:rsidRDefault="00A540C4" w:rsidP="00321EF6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外来物种入侵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-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不明显</w:t>
            </w:r>
          </w:p>
        </w:tc>
        <w:tc>
          <w:tcPr>
            <w:tcW w:w="372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不明显</w:t>
            </w:r>
          </w:p>
        </w:tc>
        <w:tc>
          <w:tcPr>
            <w:tcW w:w="624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不明显</w:t>
            </w:r>
          </w:p>
        </w:tc>
        <w:tc>
          <w:tcPr>
            <w:tcW w:w="59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不明显</w:t>
            </w:r>
          </w:p>
        </w:tc>
      </w:tr>
      <w:tr w:rsidR="00A540C4" w:rsidTr="002419C8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339" w:type="pct"/>
            <w:vAlign w:val="center"/>
          </w:tcPr>
          <w:p w:rsidR="00A540C4" w:rsidRDefault="00A540C4" w:rsidP="00321EF6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4"/>
                <w:sz w:val="24"/>
                <w:szCs w:val="24"/>
              </w:rPr>
              <w:t>特有性或指示性水生物种保持率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不降低</w:t>
            </w:r>
          </w:p>
        </w:tc>
        <w:tc>
          <w:tcPr>
            <w:tcW w:w="372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不降低</w:t>
            </w:r>
          </w:p>
        </w:tc>
        <w:tc>
          <w:tcPr>
            <w:tcW w:w="624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不降低</w:t>
            </w:r>
          </w:p>
        </w:tc>
        <w:tc>
          <w:tcPr>
            <w:tcW w:w="59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不降低</w:t>
            </w:r>
          </w:p>
        </w:tc>
      </w:tr>
      <w:tr w:rsidR="00A540C4" w:rsidTr="00A540C4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13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海岸生态修复</w:t>
            </w:r>
          </w:p>
        </w:tc>
        <w:tc>
          <w:tcPr>
            <w:tcW w:w="260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公里</w:t>
            </w:r>
          </w:p>
        </w:tc>
        <w:tc>
          <w:tcPr>
            <w:tcW w:w="587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完成上级管控目标</w:t>
            </w:r>
          </w:p>
        </w:tc>
        <w:tc>
          <w:tcPr>
            <w:tcW w:w="372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参考性</w:t>
            </w:r>
          </w:p>
        </w:tc>
        <w:tc>
          <w:tcPr>
            <w:tcW w:w="1786" w:type="pct"/>
            <w:gridSpan w:val="3"/>
            <w:vMerge w:val="restart"/>
            <w:vAlign w:val="center"/>
          </w:tcPr>
          <w:p w:rsidR="00A540C4" w:rsidRDefault="00A540C4" w:rsidP="00D3604A">
            <w:pPr>
              <w:adjustRightInd w:val="0"/>
              <w:snapToGrid w:val="0"/>
              <w:ind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建宁县不涉及本指标</w:t>
            </w:r>
          </w:p>
        </w:tc>
      </w:tr>
      <w:tr w:rsidR="00A540C4" w:rsidTr="00A540C4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339" w:type="pct"/>
            <w:vAlign w:val="center"/>
          </w:tcPr>
          <w:p w:rsidR="00A540C4" w:rsidRDefault="00A540C4" w:rsidP="00321EF6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自然岸线修复长度</w:t>
            </w:r>
          </w:p>
        </w:tc>
        <w:tc>
          <w:tcPr>
            <w:tcW w:w="260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87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72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786" w:type="pct"/>
            <w:gridSpan w:val="3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A540C4" w:rsidTr="00A540C4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339" w:type="pct"/>
            <w:vAlign w:val="center"/>
          </w:tcPr>
          <w:p w:rsidR="00A540C4" w:rsidRDefault="00A540C4" w:rsidP="00321EF6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滨海湿地修复面积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公顷</w:t>
            </w:r>
          </w:p>
        </w:tc>
        <w:tc>
          <w:tcPr>
            <w:tcW w:w="587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72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786" w:type="pct"/>
            <w:gridSpan w:val="3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A540C4" w:rsidTr="002419C8">
        <w:trPr>
          <w:cantSplit/>
          <w:trHeight w:val="567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（四）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生态环境风险防范</w:t>
            </w: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14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危险废物利用处置率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约束性</w:t>
            </w:r>
          </w:p>
        </w:tc>
        <w:tc>
          <w:tcPr>
            <w:tcW w:w="5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  <w:tc>
          <w:tcPr>
            <w:tcW w:w="624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  <w:tc>
          <w:tcPr>
            <w:tcW w:w="59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</w:tr>
      <w:tr w:rsidR="004F684A" w:rsidTr="002419C8">
        <w:trPr>
          <w:cantSplit/>
          <w:trHeight w:val="801"/>
          <w:jc w:val="center"/>
        </w:trPr>
        <w:tc>
          <w:tcPr>
            <w:tcW w:w="173" w:type="pct"/>
            <w:vMerge/>
            <w:vAlign w:val="center"/>
          </w:tcPr>
          <w:p w:rsidR="004F684A" w:rsidRDefault="004F684A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4F684A" w:rsidRDefault="004F684A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4F684A" w:rsidRDefault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15</w:t>
            </w:r>
          </w:p>
        </w:tc>
        <w:tc>
          <w:tcPr>
            <w:tcW w:w="1339" w:type="pct"/>
            <w:vAlign w:val="center"/>
          </w:tcPr>
          <w:p w:rsidR="004F684A" w:rsidRDefault="004F684A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建设用地土壤污染风险管控和修复名录制度</w:t>
            </w:r>
          </w:p>
        </w:tc>
        <w:tc>
          <w:tcPr>
            <w:tcW w:w="260" w:type="pct"/>
            <w:vAlign w:val="center"/>
          </w:tcPr>
          <w:p w:rsidR="004F684A" w:rsidRDefault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-</w:t>
            </w:r>
          </w:p>
        </w:tc>
        <w:tc>
          <w:tcPr>
            <w:tcW w:w="587" w:type="pct"/>
            <w:vAlign w:val="center"/>
          </w:tcPr>
          <w:p w:rsidR="004F684A" w:rsidRDefault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建立</w:t>
            </w:r>
          </w:p>
        </w:tc>
        <w:tc>
          <w:tcPr>
            <w:tcW w:w="372" w:type="pct"/>
            <w:vAlign w:val="center"/>
          </w:tcPr>
          <w:p w:rsidR="004F684A" w:rsidRDefault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参考性</w:t>
            </w:r>
          </w:p>
        </w:tc>
        <w:tc>
          <w:tcPr>
            <w:tcW w:w="572" w:type="pct"/>
            <w:vAlign w:val="center"/>
          </w:tcPr>
          <w:p w:rsidR="004F684A" w:rsidRDefault="004F684A" w:rsidP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已建立</w:t>
            </w:r>
          </w:p>
        </w:tc>
        <w:tc>
          <w:tcPr>
            <w:tcW w:w="624" w:type="pct"/>
            <w:vAlign w:val="center"/>
          </w:tcPr>
          <w:p w:rsidR="004F684A" w:rsidRDefault="004F684A" w:rsidP="004F684A">
            <w:pPr>
              <w:jc w:val="center"/>
            </w:pPr>
            <w:r w:rsidRPr="00E13A41">
              <w:rPr>
                <w:rFonts w:ascii="宋体" w:eastAsia="宋体" w:hAnsi="宋体" w:cs="Arial Unicode MS" w:hint="eastAsia"/>
                <w:sz w:val="24"/>
                <w:szCs w:val="24"/>
              </w:rPr>
              <w:t>已建立</w:t>
            </w:r>
          </w:p>
        </w:tc>
        <w:tc>
          <w:tcPr>
            <w:tcW w:w="590" w:type="pct"/>
            <w:vAlign w:val="center"/>
          </w:tcPr>
          <w:p w:rsidR="004F684A" w:rsidRDefault="004F684A" w:rsidP="004F684A">
            <w:pPr>
              <w:jc w:val="center"/>
            </w:pPr>
            <w:r w:rsidRPr="00E13A41">
              <w:rPr>
                <w:rFonts w:ascii="宋体" w:eastAsia="宋体" w:hAnsi="宋体" w:cs="Arial Unicode MS" w:hint="eastAsia"/>
                <w:sz w:val="24"/>
                <w:szCs w:val="24"/>
              </w:rPr>
              <w:t>已建立</w:t>
            </w:r>
          </w:p>
        </w:tc>
      </w:tr>
      <w:tr w:rsidR="004F684A" w:rsidTr="002419C8">
        <w:trPr>
          <w:cantSplit/>
          <w:trHeight w:val="597"/>
          <w:jc w:val="center"/>
        </w:trPr>
        <w:tc>
          <w:tcPr>
            <w:tcW w:w="173" w:type="pct"/>
            <w:vMerge/>
            <w:vAlign w:val="center"/>
          </w:tcPr>
          <w:p w:rsidR="004F684A" w:rsidRDefault="004F684A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4F684A" w:rsidRDefault="004F684A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4F684A" w:rsidRDefault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16</w:t>
            </w:r>
          </w:p>
        </w:tc>
        <w:tc>
          <w:tcPr>
            <w:tcW w:w="1339" w:type="pct"/>
            <w:vAlign w:val="center"/>
          </w:tcPr>
          <w:p w:rsidR="004F684A" w:rsidRDefault="004F684A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6"/>
                <w:sz w:val="24"/>
                <w:szCs w:val="24"/>
              </w:rPr>
              <w:t>突发生态环境事件应急管理机制</w:t>
            </w:r>
          </w:p>
        </w:tc>
        <w:tc>
          <w:tcPr>
            <w:tcW w:w="260" w:type="pct"/>
            <w:vAlign w:val="center"/>
          </w:tcPr>
          <w:p w:rsidR="004F684A" w:rsidRDefault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-</w:t>
            </w:r>
          </w:p>
        </w:tc>
        <w:tc>
          <w:tcPr>
            <w:tcW w:w="587" w:type="pct"/>
            <w:vAlign w:val="center"/>
          </w:tcPr>
          <w:p w:rsidR="004F684A" w:rsidRDefault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建立</w:t>
            </w:r>
          </w:p>
        </w:tc>
        <w:tc>
          <w:tcPr>
            <w:tcW w:w="372" w:type="pct"/>
            <w:vAlign w:val="center"/>
          </w:tcPr>
          <w:p w:rsidR="004F684A" w:rsidRDefault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约束性</w:t>
            </w:r>
          </w:p>
        </w:tc>
        <w:tc>
          <w:tcPr>
            <w:tcW w:w="572" w:type="pct"/>
            <w:vAlign w:val="center"/>
          </w:tcPr>
          <w:p w:rsidR="004F684A" w:rsidRDefault="004F684A" w:rsidP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已建立</w:t>
            </w:r>
          </w:p>
        </w:tc>
        <w:tc>
          <w:tcPr>
            <w:tcW w:w="624" w:type="pct"/>
            <w:vAlign w:val="center"/>
          </w:tcPr>
          <w:p w:rsidR="004F684A" w:rsidRDefault="004F684A" w:rsidP="004F684A">
            <w:pPr>
              <w:jc w:val="center"/>
            </w:pPr>
            <w:r w:rsidRPr="00E13A41">
              <w:rPr>
                <w:rFonts w:ascii="宋体" w:eastAsia="宋体" w:hAnsi="宋体" w:cs="Arial Unicode MS" w:hint="eastAsia"/>
                <w:sz w:val="24"/>
                <w:szCs w:val="24"/>
              </w:rPr>
              <w:t>已建立</w:t>
            </w:r>
          </w:p>
        </w:tc>
        <w:tc>
          <w:tcPr>
            <w:tcW w:w="590" w:type="pct"/>
            <w:vAlign w:val="center"/>
          </w:tcPr>
          <w:p w:rsidR="004F684A" w:rsidRDefault="004F684A" w:rsidP="004F684A">
            <w:pPr>
              <w:jc w:val="center"/>
            </w:pPr>
            <w:r w:rsidRPr="00E13A41">
              <w:rPr>
                <w:rFonts w:ascii="宋体" w:eastAsia="宋体" w:hAnsi="宋体" w:cs="Arial Unicode MS" w:hint="eastAsia"/>
                <w:sz w:val="24"/>
                <w:szCs w:val="24"/>
              </w:rPr>
              <w:t>已建立</w:t>
            </w:r>
          </w:p>
        </w:tc>
      </w:tr>
      <w:tr w:rsidR="00A540C4" w:rsidTr="002419C8">
        <w:trPr>
          <w:cantSplit/>
          <w:trHeight w:val="454"/>
          <w:jc w:val="center"/>
        </w:trPr>
        <w:tc>
          <w:tcPr>
            <w:tcW w:w="173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lastRenderedPageBreak/>
              <w:t>生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态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空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间</w:t>
            </w:r>
          </w:p>
        </w:tc>
        <w:tc>
          <w:tcPr>
            <w:tcW w:w="326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（五）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空间格局优化</w:t>
            </w:r>
          </w:p>
        </w:tc>
        <w:tc>
          <w:tcPr>
            <w:tcW w:w="156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17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自然生态空间</w:t>
            </w:r>
          </w:p>
        </w:tc>
        <w:tc>
          <w:tcPr>
            <w:tcW w:w="260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-</w:t>
            </w:r>
          </w:p>
        </w:tc>
        <w:tc>
          <w:tcPr>
            <w:tcW w:w="587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  <w:lang w:val="zh-CN"/>
              </w:rPr>
              <w:t>面积不减少，性质不改变，功能</w:t>
            </w: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不降低</w:t>
            </w:r>
          </w:p>
        </w:tc>
        <w:tc>
          <w:tcPr>
            <w:tcW w:w="372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约束性</w:t>
            </w:r>
          </w:p>
        </w:tc>
        <w:tc>
          <w:tcPr>
            <w:tcW w:w="572" w:type="pct"/>
            <w:vMerge w:val="restart"/>
            <w:vAlign w:val="center"/>
          </w:tcPr>
          <w:p w:rsidR="00A540C4" w:rsidRDefault="002419C8" w:rsidP="003D0F67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  <w:lang w:val="zh-CN"/>
              </w:rPr>
              <w:t xml:space="preserve"> </w:t>
            </w:r>
            <w:r w:rsidR="00A540C4">
              <w:rPr>
                <w:rFonts w:ascii="宋体" w:eastAsia="宋体" w:hAnsi="宋体" w:cs="Arial Unicode MS" w:hint="eastAsia"/>
                <w:sz w:val="24"/>
                <w:szCs w:val="24"/>
                <w:lang w:val="zh-CN"/>
              </w:rPr>
              <w:t>面积未减少，</w:t>
            </w:r>
          </w:p>
          <w:p w:rsidR="00D11187" w:rsidRDefault="002419C8" w:rsidP="003D0F67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  <w:lang w:val="zh-CN"/>
              </w:rPr>
              <w:t xml:space="preserve"> </w:t>
            </w:r>
            <w:r w:rsidR="00D11187">
              <w:rPr>
                <w:rFonts w:ascii="宋体" w:eastAsia="宋体" w:hAnsi="宋体" w:cs="Arial Unicode MS" w:hint="eastAsia"/>
                <w:sz w:val="24"/>
                <w:szCs w:val="24"/>
                <w:lang w:val="zh-CN"/>
              </w:rPr>
              <w:t>性质未改变，</w:t>
            </w:r>
          </w:p>
          <w:p w:rsidR="00A540C4" w:rsidRPr="00D11187" w:rsidRDefault="00A540C4" w:rsidP="003D0F67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  <w:lang w:val="zh-CN"/>
              </w:rPr>
              <w:t>功能未</w:t>
            </w: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降低</w:t>
            </w:r>
          </w:p>
        </w:tc>
        <w:tc>
          <w:tcPr>
            <w:tcW w:w="624" w:type="pct"/>
            <w:vMerge w:val="restart"/>
            <w:vAlign w:val="center"/>
          </w:tcPr>
          <w:p w:rsidR="00A540C4" w:rsidRDefault="002419C8" w:rsidP="003D0F67">
            <w:pPr>
              <w:jc w:val="center"/>
              <w:rPr>
                <w:rFonts w:ascii="宋体" w:eastAsia="宋体" w:hAnsi="宋体" w:cs="Arial Unicode MS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  <w:lang w:val="zh-CN"/>
              </w:rPr>
              <w:t xml:space="preserve">  </w:t>
            </w:r>
            <w:r w:rsidR="00A540C4" w:rsidRPr="00412539">
              <w:rPr>
                <w:rFonts w:ascii="宋体" w:eastAsia="宋体" w:hAnsi="宋体" w:cs="Arial Unicode MS" w:hint="eastAsia"/>
                <w:sz w:val="24"/>
                <w:szCs w:val="24"/>
                <w:lang w:val="zh-CN"/>
              </w:rPr>
              <w:t>面积未减少，</w:t>
            </w:r>
          </w:p>
          <w:p w:rsidR="00A540C4" w:rsidRDefault="002419C8" w:rsidP="003D0F67">
            <w:pPr>
              <w:jc w:val="center"/>
              <w:rPr>
                <w:rFonts w:ascii="宋体" w:eastAsia="宋体" w:hAnsi="宋体" w:cs="Arial Unicode MS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  <w:lang w:val="zh-CN"/>
              </w:rPr>
              <w:t xml:space="preserve">  </w:t>
            </w:r>
            <w:r w:rsidR="00A540C4" w:rsidRPr="00412539">
              <w:rPr>
                <w:rFonts w:ascii="宋体" w:eastAsia="宋体" w:hAnsi="宋体" w:cs="Arial Unicode MS" w:hint="eastAsia"/>
                <w:sz w:val="24"/>
                <w:szCs w:val="24"/>
                <w:lang w:val="zh-CN"/>
              </w:rPr>
              <w:t>性质未改变，</w:t>
            </w:r>
          </w:p>
          <w:p w:rsidR="00A540C4" w:rsidRDefault="00A540C4" w:rsidP="003D0F67">
            <w:pPr>
              <w:jc w:val="center"/>
            </w:pPr>
            <w:r w:rsidRPr="00412539">
              <w:rPr>
                <w:rFonts w:ascii="宋体" w:eastAsia="宋体" w:hAnsi="宋体" w:cs="Arial Unicode MS" w:hint="eastAsia"/>
                <w:sz w:val="24"/>
                <w:szCs w:val="24"/>
                <w:lang w:val="zh-CN"/>
              </w:rPr>
              <w:t>功能未</w:t>
            </w:r>
            <w:r w:rsidRPr="00412539">
              <w:rPr>
                <w:rFonts w:ascii="宋体" w:eastAsia="宋体" w:hAnsi="宋体" w:cs="Arial Unicode MS" w:hint="eastAsia"/>
                <w:sz w:val="24"/>
                <w:szCs w:val="24"/>
              </w:rPr>
              <w:t>降低</w:t>
            </w:r>
          </w:p>
        </w:tc>
        <w:tc>
          <w:tcPr>
            <w:tcW w:w="590" w:type="pct"/>
            <w:vMerge w:val="restart"/>
            <w:vAlign w:val="center"/>
          </w:tcPr>
          <w:p w:rsidR="00A540C4" w:rsidRDefault="002419C8" w:rsidP="003D0F67">
            <w:pPr>
              <w:jc w:val="center"/>
              <w:rPr>
                <w:rFonts w:ascii="宋体" w:eastAsia="宋体" w:hAnsi="宋体" w:cs="Arial Unicode MS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  <w:lang w:val="zh-CN"/>
              </w:rPr>
              <w:t xml:space="preserve">  </w:t>
            </w:r>
            <w:r w:rsidR="00A540C4" w:rsidRPr="00412539">
              <w:rPr>
                <w:rFonts w:ascii="宋体" w:eastAsia="宋体" w:hAnsi="宋体" w:cs="Arial Unicode MS" w:hint="eastAsia"/>
                <w:sz w:val="24"/>
                <w:szCs w:val="24"/>
                <w:lang w:val="zh-CN"/>
              </w:rPr>
              <w:t>面积未减少，</w:t>
            </w:r>
          </w:p>
          <w:p w:rsidR="00A540C4" w:rsidRDefault="002419C8" w:rsidP="003D0F67">
            <w:pPr>
              <w:jc w:val="center"/>
              <w:rPr>
                <w:rFonts w:ascii="宋体" w:eastAsia="宋体" w:hAnsi="宋体" w:cs="Arial Unicode MS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  <w:lang w:val="zh-CN"/>
              </w:rPr>
              <w:t xml:space="preserve">  </w:t>
            </w:r>
            <w:r w:rsidR="00A540C4" w:rsidRPr="00412539">
              <w:rPr>
                <w:rFonts w:ascii="宋体" w:eastAsia="宋体" w:hAnsi="宋体" w:cs="Arial Unicode MS" w:hint="eastAsia"/>
                <w:sz w:val="24"/>
                <w:szCs w:val="24"/>
                <w:lang w:val="zh-CN"/>
              </w:rPr>
              <w:t>性质未改变，</w:t>
            </w:r>
          </w:p>
          <w:p w:rsidR="00A540C4" w:rsidRDefault="002419C8" w:rsidP="003D0F67">
            <w:pPr>
              <w:jc w:val="center"/>
            </w:pPr>
            <w:r>
              <w:rPr>
                <w:rFonts w:ascii="宋体" w:eastAsia="宋体" w:hAnsi="宋体" w:cs="Arial Unicode MS" w:hint="eastAsia"/>
                <w:sz w:val="24"/>
                <w:szCs w:val="24"/>
                <w:lang w:val="zh-CN"/>
              </w:rPr>
              <w:t xml:space="preserve"> </w:t>
            </w:r>
            <w:r w:rsidR="00A540C4" w:rsidRPr="00412539">
              <w:rPr>
                <w:rFonts w:ascii="宋体" w:eastAsia="宋体" w:hAnsi="宋体" w:cs="Arial Unicode MS" w:hint="eastAsia"/>
                <w:sz w:val="24"/>
                <w:szCs w:val="24"/>
                <w:lang w:val="zh-CN"/>
              </w:rPr>
              <w:t>功能未</w:t>
            </w:r>
            <w:r w:rsidR="00A540C4" w:rsidRPr="00412539">
              <w:rPr>
                <w:rFonts w:ascii="宋体" w:eastAsia="宋体" w:hAnsi="宋体" w:cs="Arial Unicode MS" w:hint="eastAsia"/>
                <w:sz w:val="24"/>
                <w:szCs w:val="24"/>
              </w:rPr>
              <w:t>降低</w:t>
            </w:r>
          </w:p>
        </w:tc>
      </w:tr>
      <w:tr w:rsidR="00A540C4" w:rsidTr="002419C8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339" w:type="pct"/>
            <w:vAlign w:val="center"/>
          </w:tcPr>
          <w:p w:rsidR="00A540C4" w:rsidRDefault="00A540C4" w:rsidP="00321EF6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生态保护红线</w:t>
            </w:r>
          </w:p>
        </w:tc>
        <w:tc>
          <w:tcPr>
            <w:tcW w:w="260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87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rPr>
                <w:rFonts w:ascii="宋体" w:eastAsia="宋体" w:hAnsi="宋体" w:cs="Arial Unicode MS"/>
                <w:sz w:val="24"/>
                <w:szCs w:val="24"/>
                <w:lang w:val="zh-CN"/>
              </w:rPr>
            </w:pPr>
          </w:p>
        </w:tc>
        <w:tc>
          <w:tcPr>
            <w:tcW w:w="372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624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A540C4" w:rsidTr="002419C8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339" w:type="pct"/>
            <w:vAlign w:val="center"/>
          </w:tcPr>
          <w:p w:rsidR="00A540C4" w:rsidRDefault="00A540C4" w:rsidP="00321EF6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自然保护地</w:t>
            </w:r>
          </w:p>
        </w:tc>
        <w:tc>
          <w:tcPr>
            <w:tcW w:w="260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87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rPr>
                <w:rFonts w:ascii="宋体" w:eastAsia="宋体" w:hAnsi="宋体" w:cs="Arial Unicode MS"/>
                <w:sz w:val="24"/>
                <w:szCs w:val="24"/>
                <w:lang w:val="zh-CN"/>
              </w:rPr>
            </w:pPr>
          </w:p>
        </w:tc>
        <w:tc>
          <w:tcPr>
            <w:tcW w:w="372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624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A540C4" w:rsidTr="00A540C4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18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自然岸线保有率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4"/>
                <w:sz w:val="24"/>
                <w:szCs w:val="24"/>
              </w:rPr>
              <w:t>完成上级管控目标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约束性</w:t>
            </w:r>
          </w:p>
        </w:tc>
        <w:tc>
          <w:tcPr>
            <w:tcW w:w="1786" w:type="pct"/>
            <w:gridSpan w:val="3"/>
            <w:vAlign w:val="center"/>
          </w:tcPr>
          <w:p w:rsidR="00A540C4" w:rsidRDefault="00A540C4" w:rsidP="00D3604A">
            <w:pPr>
              <w:adjustRightInd w:val="0"/>
              <w:snapToGrid w:val="0"/>
              <w:ind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建宁县不涉及本指标</w:t>
            </w:r>
          </w:p>
        </w:tc>
      </w:tr>
      <w:tr w:rsidR="00A540C4" w:rsidTr="002419C8">
        <w:trPr>
          <w:cantSplit/>
          <w:trHeight w:val="787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19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河湖岸线保护率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4"/>
                <w:sz w:val="24"/>
                <w:szCs w:val="24"/>
              </w:rPr>
              <w:t>完成上级管控目标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参考性</w:t>
            </w:r>
          </w:p>
        </w:tc>
        <w:tc>
          <w:tcPr>
            <w:tcW w:w="572" w:type="pct"/>
            <w:vAlign w:val="center"/>
          </w:tcPr>
          <w:p w:rsidR="009F4E88" w:rsidRDefault="009F4E88" w:rsidP="00D360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7.19</w:t>
            </w:r>
          </w:p>
          <w:p w:rsidR="00A540C4" w:rsidRDefault="009F4E88" w:rsidP="00D360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完成上级目标</w:t>
            </w:r>
          </w:p>
        </w:tc>
        <w:tc>
          <w:tcPr>
            <w:tcW w:w="624" w:type="pct"/>
            <w:vAlign w:val="center"/>
          </w:tcPr>
          <w:p w:rsidR="004F684A" w:rsidRPr="009F4E88" w:rsidRDefault="009F4E88" w:rsidP="00D360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 w:rsidRPr="009F4E88">
              <w:rPr>
                <w:rFonts w:ascii="宋体" w:eastAsia="宋体" w:hAnsi="宋体" w:cs="Arial Unicode MS" w:hint="eastAsia"/>
                <w:sz w:val="24"/>
                <w:szCs w:val="24"/>
              </w:rPr>
              <w:t>33.92</w:t>
            </w:r>
          </w:p>
          <w:p w:rsidR="00A540C4" w:rsidRPr="009F4E88" w:rsidRDefault="00A540C4" w:rsidP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 w:rsidRPr="009F4E88">
              <w:rPr>
                <w:rFonts w:ascii="宋体" w:eastAsia="宋体" w:hAnsi="宋体" w:cs="Arial Unicode MS" w:hint="eastAsia"/>
                <w:sz w:val="24"/>
                <w:szCs w:val="24"/>
              </w:rPr>
              <w:t>完成上级目标</w:t>
            </w:r>
          </w:p>
        </w:tc>
        <w:tc>
          <w:tcPr>
            <w:tcW w:w="590" w:type="pct"/>
            <w:vAlign w:val="center"/>
          </w:tcPr>
          <w:p w:rsidR="004F684A" w:rsidRPr="009F4E88" w:rsidRDefault="009F4E88" w:rsidP="00D360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 w:rsidRPr="009F4E88">
              <w:rPr>
                <w:rFonts w:ascii="宋体" w:eastAsia="宋体" w:hAnsi="宋体" w:cs="Arial Unicode MS" w:hint="eastAsia"/>
                <w:sz w:val="24"/>
                <w:szCs w:val="24"/>
              </w:rPr>
              <w:t>83.92</w:t>
            </w:r>
          </w:p>
          <w:p w:rsidR="00A540C4" w:rsidRPr="009F4E88" w:rsidRDefault="00A540C4" w:rsidP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 w:rsidRPr="009F4E88">
              <w:rPr>
                <w:rFonts w:ascii="宋体" w:eastAsia="宋体" w:hAnsi="宋体" w:cs="Arial Unicode MS" w:hint="eastAsia"/>
                <w:sz w:val="24"/>
                <w:szCs w:val="24"/>
              </w:rPr>
              <w:t>完成上级目标</w:t>
            </w:r>
          </w:p>
        </w:tc>
      </w:tr>
      <w:tr w:rsidR="00A540C4" w:rsidTr="002419C8">
        <w:trPr>
          <w:cantSplit/>
          <w:trHeight w:val="454"/>
          <w:jc w:val="center"/>
        </w:trPr>
        <w:tc>
          <w:tcPr>
            <w:tcW w:w="173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生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态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经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济</w:t>
            </w:r>
          </w:p>
        </w:tc>
        <w:tc>
          <w:tcPr>
            <w:tcW w:w="326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（六）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资源节约与利用</w:t>
            </w: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20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单位地区生产总值能耗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/>
                <w:sz w:val="24"/>
                <w:szCs w:val="24"/>
              </w:rPr>
              <w:t>吨标准煤</w:t>
            </w: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cs="Arial Unicode MS"/>
                <w:sz w:val="24"/>
                <w:szCs w:val="24"/>
              </w:rPr>
              <w:t>万元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12"/>
                <w:sz w:val="24"/>
                <w:szCs w:val="24"/>
              </w:rPr>
            </w:pPr>
            <w:bookmarkStart w:id="6" w:name="_Hlk6576077"/>
            <w:r>
              <w:rPr>
                <w:rFonts w:ascii="宋体" w:eastAsia="宋体" w:hAnsi="宋体" w:cs="Arial Unicode MS" w:hint="eastAsia"/>
                <w:spacing w:val="-10"/>
                <w:sz w:val="24"/>
                <w:szCs w:val="24"/>
              </w:rPr>
              <w:t>完成上级规定的目标任务</w:t>
            </w:r>
            <w:bookmarkEnd w:id="6"/>
            <w:r>
              <w:rPr>
                <w:rFonts w:ascii="宋体" w:eastAsia="宋体" w:hAnsi="宋体" w:cs="Arial Unicode MS" w:hint="eastAsia"/>
                <w:spacing w:val="-10"/>
                <w:sz w:val="24"/>
                <w:szCs w:val="24"/>
              </w:rPr>
              <w:t>；保持稳定或持续改善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约束性</w:t>
            </w:r>
          </w:p>
        </w:tc>
        <w:tc>
          <w:tcPr>
            <w:tcW w:w="572" w:type="pct"/>
            <w:vAlign w:val="center"/>
          </w:tcPr>
          <w:p w:rsidR="0010024F" w:rsidRPr="0010024F" w:rsidRDefault="004F684A" w:rsidP="00D360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10"/>
                <w:sz w:val="24"/>
                <w:szCs w:val="24"/>
              </w:rPr>
            </w:pPr>
            <w:r w:rsidRPr="0010024F">
              <w:rPr>
                <w:rFonts w:ascii="宋体" w:eastAsia="宋体" w:hAnsi="宋体" w:cs="Arial Unicode MS"/>
                <w:spacing w:val="-10"/>
                <w:sz w:val="24"/>
                <w:szCs w:val="24"/>
              </w:rPr>
              <w:t>0.5</w:t>
            </w:r>
            <w:r w:rsidRPr="0010024F">
              <w:rPr>
                <w:rFonts w:ascii="宋体" w:eastAsia="宋体" w:hAnsi="宋体" w:cs="Arial Unicode MS" w:hint="eastAsia"/>
                <w:spacing w:val="-10"/>
                <w:sz w:val="24"/>
                <w:szCs w:val="24"/>
              </w:rPr>
              <w:t>5</w:t>
            </w:r>
          </w:p>
          <w:p w:rsidR="00A540C4" w:rsidRPr="0010024F" w:rsidRDefault="0010024F" w:rsidP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10"/>
                <w:sz w:val="24"/>
                <w:szCs w:val="24"/>
              </w:rPr>
            </w:pPr>
            <w:r w:rsidRPr="0010024F">
              <w:rPr>
                <w:rFonts w:ascii="宋体" w:eastAsia="宋体" w:hAnsi="宋体" w:cs="Arial Unicode MS" w:hint="eastAsia"/>
                <w:spacing w:val="-10"/>
                <w:sz w:val="24"/>
                <w:szCs w:val="24"/>
              </w:rPr>
              <w:t>较2015年下降3.5%</w:t>
            </w:r>
          </w:p>
        </w:tc>
        <w:tc>
          <w:tcPr>
            <w:tcW w:w="624" w:type="pct"/>
            <w:vAlign w:val="center"/>
          </w:tcPr>
          <w:p w:rsidR="004F684A" w:rsidRPr="0010024F" w:rsidRDefault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10"/>
                <w:sz w:val="24"/>
                <w:szCs w:val="24"/>
              </w:rPr>
            </w:pPr>
            <w:r w:rsidRPr="0010024F">
              <w:rPr>
                <w:rFonts w:ascii="宋体" w:eastAsia="宋体" w:hAnsi="宋体" w:cs="Arial Unicode MS"/>
                <w:spacing w:val="-10"/>
                <w:sz w:val="24"/>
                <w:szCs w:val="24"/>
              </w:rPr>
              <w:t>0.</w:t>
            </w:r>
            <w:r w:rsidRPr="0010024F">
              <w:rPr>
                <w:rFonts w:ascii="宋体" w:eastAsia="宋体" w:hAnsi="宋体" w:cs="Arial Unicode MS" w:hint="eastAsia"/>
                <w:spacing w:val="-10"/>
                <w:sz w:val="24"/>
                <w:szCs w:val="24"/>
              </w:rPr>
              <w:t>46</w:t>
            </w:r>
          </w:p>
          <w:p w:rsidR="00A540C4" w:rsidRDefault="00A540C4" w:rsidP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10"/>
                <w:sz w:val="24"/>
                <w:szCs w:val="24"/>
              </w:rPr>
              <w:t>完成上级目标</w:t>
            </w:r>
          </w:p>
          <w:p w:rsidR="0010024F" w:rsidRPr="0010024F" w:rsidRDefault="0010024F" w:rsidP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10"/>
                <w:sz w:val="24"/>
                <w:szCs w:val="24"/>
              </w:rPr>
              <w:t>较2015年下降19.3%</w:t>
            </w:r>
          </w:p>
        </w:tc>
        <w:tc>
          <w:tcPr>
            <w:tcW w:w="590" w:type="pct"/>
            <w:vAlign w:val="center"/>
          </w:tcPr>
          <w:p w:rsidR="004F684A" w:rsidRPr="0010024F" w:rsidRDefault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10"/>
                <w:sz w:val="24"/>
                <w:szCs w:val="24"/>
              </w:rPr>
            </w:pPr>
            <w:r w:rsidRPr="0010024F">
              <w:rPr>
                <w:rFonts w:ascii="宋体" w:eastAsia="宋体" w:hAnsi="宋体" w:cs="Arial Unicode MS"/>
                <w:spacing w:val="-10"/>
                <w:sz w:val="24"/>
                <w:szCs w:val="24"/>
              </w:rPr>
              <w:t>0.48</w:t>
            </w:r>
          </w:p>
          <w:p w:rsidR="00A540C4" w:rsidRPr="0010024F" w:rsidRDefault="00A540C4" w:rsidP="0010024F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10"/>
                <w:sz w:val="24"/>
                <w:szCs w:val="24"/>
              </w:rPr>
              <w:t>完成上级目标</w:t>
            </w:r>
            <w:r w:rsidR="0010024F">
              <w:rPr>
                <w:rFonts w:ascii="宋体" w:eastAsia="宋体" w:hAnsi="宋体" w:cs="Arial Unicode MS" w:hint="eastAsia"/>
                <w:spacing w:val="-10"/>
                <w:sz w:val="24"/>
                <w:szCs w:val="24"/>
              </w:rPr>
              <w:t>较2015年下降15.8%</w:t>
            </w:r>
          </w:p>
        </w:tc>
      </w:tr>
      <w:tr w:rsidR="00A540C4" w:rsidTr="002419C8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21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单位地区生产总值用水量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/>
                <w:sz w:val="24"/>
                <w:szCs w:val="24"/>
              </w:rPr>
              <w:t>立方米</w:t>
            </w: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cs="Arial Unicode MS"/>
                <w:sz w:val="24"/>
                <w:szCs w:val="24"/>
              </w:rPr>
              <w:t>万元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10"/>
                <w:sz w:val="24"/>
                <w:szCs w:val="24"/>
              </w:rPr>
              <w:t>完成上级规定的目标任务</w:t>
            </w: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Arial Unicode MS" w:hint="eastAsia"/>
                <w:spacing w:val="-10"/>
                <w:sz w:val="24"/>
                <w:szCs w:val="24"/>
              </w:rPr>
              <w:t>保持稳定或持续改善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约束性</w:t>
            </w:r>
          </w:p>
        </w:tc>
        <w:tc>
          <w:tcPr>
            <w:tcW w:w="572" w:type="pct"/>
            <w:vAlign w:val="center"/>
          </w:tcPr>
          <w:p w:rsidR="004F684A" w:rsidRDefault="004F684A" w:rsidP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10"/>
                <w:sz w:val="24"/>
                <w:szCs w:val="24"/>
              </w:rPr>
              <w:t>较2015年</w:t>
            </w:r>
            <w:r w:rsidR="00A540C4" w:rsidRPr="00D3604A">
              <w:rPr>
                <w:rFonts w:ascii="宋体" w:eastAsia="宋体" w:hAnsi="宋体" w:cs="Arial Unicode MS" w:hint="eastAsia"/>
                <w:spacing w:val="-10"/>
                <w:sz w:val="24"/>
                <w:szCs w:val="24"/>
              </w:rPr>
              <w:t>下降15.41%</w:t>
            </w:r>
          </w:p>
          <w:p w:rsidR="00A540C4" w:rsidRPr="00D3604A" w:rsidRDefault="004F684A" w:rsidP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10"/>
                <w:sz w:val="24"/>
                <w:szCs w:val="24"/>
              </w:rPr>
              <w:t>完成上级目标</w:t>
            </w:r>
          </w:p>
        </w:tc>
        <w:tc>
          <w:tcPr>
            <w:tcW w:w="624" w:type="pct"/>
            <w:vAlign w:val="center"/>
          </w:tcPr>
          <w:p w:rsidR="004F684A" w:rsidRDefault="004F684A" w:rsidP="00D360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10"/>
                <w:sz w:val="24"/>
                <w:szCs w:val="24"/>
              </w:rPr>
            </w:pPr>
            <w:bookmarkStart w:id="7" w:name="_GoBack"/>
            <w:bookmarkEnd w:id="7"/>
            <w:r>
              <w:rPr>
                <w:rFonts w:ascii="宋体" w:eastAsia="宋体" w:hAnsi="宋体" w:cs="Arial Unicode MS" w:hint="eastAsia"/>
                <w:spacing w:val="-10"/>
                <w:sz w:val="24"/>
                <w:szCs w:val="24"/>
              </w:rPr>
              <w:t>较2015年</w:t>
            </w:r>
            <w:r w:rsidRPr="00D3604A">
              <w:rPr>
                <w:rFonts w:ascii="宋体" w:eastAsia="宋体" w:hAnsi="宋体" w:cs="Arial Unicode MS" w:hint="eastAsia"/>
                <w:spacing w:val="-10"/>
                <w:sz w:val="24"/>
                <w:szCs w:val="24"/>
              </w:rPr>
              <w:t>下降33.17%</w:t>
            </w:r>
          </w:p>
          <w:p w:rsidR="00A540C4" w:rsidRPr="00D3604A" w:rsidRDefault="00A540C4" w:rsidP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10"/>
                <w:sz w:val="24"/>
                <w:szCs w:val="24"/>
              </w:rPr>
              <w:t>完成上级目标</w:t>
            </w:r>
          </w:p>
        </w:tc>
        <w:tc>
          <w:tcPr>
            <w:tcW w:w="590" w:type="pct"/>
            <w:vAlign w:val="center"/>
          </w:tcPr>
          <w:p w:rsidR="004F684A" w:rsidRDefault="004F684A" w:rsidP="00D360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10"/>
                <w:sz w:val="24"/>
                <w:szCs w:val="24"/>
              </w:rPr>
              <w:t>较2015年</w:t>
            </w:r>
            <w:r w:rsidRPr="00D3604A">
              <w:rPr>
                <w:rFonts w:ascii="宋体" w:eastAsia="宋体" w:hAnsi="宋体" w:cs="Arial Unicode MS" w:hint="eastAsia"/>
                <w:spacing w:val="-10"/>
                <w:sz w:val="24"/>
                <w:szCs w:val="24"/>
              </w:rPr>
              <w:t>下降42.03%</w:t>
            </w:r>
          </w:p>
          <w:p w:rsidR="00A540C4" w:rsidRPr="00D3604A" w:rsidRDefault="00A540C4" w:rsidP="004F684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10"/>
                <w:sz w:val="24"/>
                <w:szCs w:val="24"/>
              </w:rPr>
              <w:t>完成上级目标</w:t>
            </w:r>
          </w:p>
        </w:tc>
      </w:tr>
      <w:tr w:rsidR="00A540C4" w:rsidTr="002419C8">
        <w:trPr>
          <w:cantSplit/>
          <w:trHeight w:val="888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22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单位国内生产总值建设用地使用面积下降率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≥4.5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参考性</w:t>
            </w:r>
          </w:p>
        </w:tc>
        <w:tc>
          <w:tcPr>
            <w:tcW w:w="572" w:type="pct"/>
            <w:vAlign w:val="center"/>
          </w:tcPr>
          <w:p w:rsidR="00A540C4" w:rsidRPr="00B91045" w:rsidRDefault="00C3431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</w:rPr>
            </w:pPr>
            <w:r w:rsidRPr="00B91045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</w:rPr>
              <w:t>8.09</w:t>
            </w:r>
          </w:p>
          <w:p w:rsidR="00C3431A" w:rsidRPr="00B91045" w:rsidRDefault="00C3431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</w:rPr>
            </w:pPr>
            <w:r w:rsidRPr="00B91045"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</w:rPr>
              <w:t>(2016年)</w:t>
            </w:r>
          </w:p>
        </w:tc>
        <w:tc>
          <w:tcPr>
            <w:tcW w:w="624" w:type="pct"/>
            <w:vAlign w:val="center"/>
          </w:tcPr>
          <w:p w:rsidR="00A540C4" w:rsidRPr="00B91045" w:rsidRDefault="00C3431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9104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2.61</w:t>
            </w:r>
          </w:p>
          <w:p w:rsidR="00C3431A" w:rsidRPr="00B91045" w:rsidRDefault="00C3431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</w:rPr>
            </w:pPr>
            <w:r w:rsidRPr="00B9104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（2017年）</w:t>
            </w:r>
          </w:p>
        </w:tc>
        <w:tc>
          <w:tcPr>
            <w:tcW w:w="590" w:type="pct"/>
            <w:vAlign w:val="center"/>
          </w:tcPr>
          <w:p w:rsidR="00A540C4" w:rsidRPr="00B91045" w:rsidRDefault="00C3431A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B9104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19.78</w:t>
            </w:r>
          </w:p>
          <w:p w:rsidR="00C3431A" w:rsidRPr="00B91045" w:rsidRDefault="00C3431A" w:rsidP="00B91045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</w:rPr>
            </w:pPr>
            <w:r w:rsidRPr="00B9104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（201</w:t>
            </w:r>
            <w:r w:rsidR="00B91045" w:rsidRPr="00B9104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  <w:r w:rsidRPr="00B9104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年）</w:t>
            </w:r>
          </w:p>
        </w:tc>
      </w:tr>
      <w:tr w:rsidR="00A540C4" w:rsidTr="00A540C4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23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碳排放强度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万吨/</w:t>
            </w:r>
            <w:r>
              <w:rPr>
                <w:rFonts w:ascii="宋体" w:eastAsia="宋体" w:hAnsi="宋体" w:cs="Arial Unicode MS"/>
                <w:sz w:val="24"/>
                <w:szCs w:val="24"/>
              </w:rPr>
              <w:t>万元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完成上级管控目标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约束性</w:t>
            </w:r>
          </w:p>
        </w:tc>
        <w:tc>
          <w:tcPr>
            <w:tcW w:w="1786" w:type="pct"/>
            <w:gridSpan w:val="3"/>
            <w:vAlign w:val="center"/>
          </w:tcPr>
          <w:p w:rsidR="00A540C4" w:rsidRDefault="00A540C4" w:rsidP="00D3604A">
            <w:pPr>
              <w:adjustRightInd w:val="0"/>
              <w:snapToGrid w:val="0"/>
              <w:ind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建宁县不涉及本指标</w:t>
            </w:r>
          </w:p>
        </w:tc>
      </w:tr>
      <w:tr w:rsidR="00A540C4" w:rsidTr="0011454C">
        <w:trPr>
          <w:cantSplit/>
          <w:trHeight w:val="641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24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应当实施强制性清洁生产企业通过审核的比例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4"/>
                <w:sz w:val="24"/>
                <w:szCs w:val="24"/>
              </w:rPr>
              <w:t>完成年度审核计划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参考性</w:t>
            </w:r>
          </w:p>
        </w:tc>
        <w:tc>
          <w:tcPr>
            <w:tcW w:w="1786" w:type="pct"/>
            <w:gridSpan w:val="3"/>
            <w:vAlign w:val="center"/>
          </w:tcPr>
          <w:p w:rsidR="00A540C4" w:rsidRDefault="00A540C4" w:rsidP="00D3604A">
            <w:pPr>
              <w:adjustRightInd w:val="0"/>
              <w:snapToGrid w:val="0"/>
              <w:ind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建宁县不涉及本指标</w:t>
            </w:r>
          </w:p>
        </w:tc>
      </w:tr>
      <w:tr w:rsidR="00A540C4" w:rsidTr="002419C8">
        <w:trPr>
          <w:cantSplit/>
          <w:trHeight w:val="546"/>
          <w:jc w:val="center"/>
        </w:trPr>
        <w:tc>
          <w:tcPr>
            <w:tcW w:w="173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lastRenderedPageBreak/>
              <w:t>生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态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经</w:t>
            </w:r>
          </w:p>
          <w:p w:rsidR="00A540C4" w:rsidRDefault="00A540C4">
            <w:pPr>
              <w:widowControl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济</w:t>
            </w:r>
          </w:p>
        </w:tc>
        <w:tc>
          <w:tcPr>
            <w:tcW w:w="326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（七）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产业循环发展</w:t>
            </w:r>
          </w:p>
        </w:tc>
        <w:tc>
          <w:tcPr>
            <w:tcW w:w="156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25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pacing w:val="-10"/>
                <w:sz w:val="24"/>
                <w:szCs w:val="24"/>
              </w:rPr>
            </w:pPr>
            <w:bookmarkStart w:id="8" w:name="_Hlk6665061"/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农业废弃物综合利用率</w:t>
            </w:r>
            <w:bookmarkEnd w:id="8"/>
          </w:p>
        </w:tc>
        <w:tc>
          <w:tcPr>
            <w:tcW w:w="260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vAlign w:val="bottom"/>
          </w:tcPr>
          <w:p w:rsidR="00A540C4" w:rsidRDefault="00A540C4" w:rsidP="00321EF6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≥90</w:t>
            </w:r>
          </w:p>
        </w:tc>
        <w:tc>
          <w:tcPr>
            <w:tcW w:w="372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参考性</w:t>
            </w:r>
          </w:p>
        </w:tc>
        <w:tc>
          <w:tcPr>
            <w:tcW w:w="572" w:type="pct"/>
            <w:vMerge w:val="restart"/>
            <w:vAlign w:val="bottom"/>
          </w:tcPr>
          <w:p w:rsidR="00A540C4" w:rsidRDefault="00A540C4" w:rsidP="00D303C8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83.06</w:t>
            </w:r>
          </w:p>
        </w:tc>
        <w:tc>
          <w:tcPr>
            <w:tcW w:w="624" w:type="pct"/>
            <w:vMerge w:val="restart"/>
            <w:vAlign w:val="bottom"/>
          </w:tcPr>
          <w:p w:rsidR="00A540C4" w:rsidRDefault="00A540C4" w:rsidP="00337DF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84.87</w:t>
            </w:r>
          </w:p>
        </w:tc>
        <w:tc>
          <w:tcPr>
            <w:tcW w:w="590" w:type="pct"/>
            <w:vMerge w:val="restart"/>
            <w:vAlign w:val="bottom"/>
          </w:tcPr>
          <w:p w:rsidR="00A540C4" w:rsidRDefault="00A540C4" w:rsidP="00D303C8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90.87</w:t>
            </w:r>
          </w:p>
        </w:tc>
      </w:tr>
      <w:tr w:rsidR="00A540C4" w:rsidTr="002419C8">
        <w:trPr>
          <w:cantSplit/>
          <w:trHeight w:val="5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339" w:type="pct"/>
            <w:vAlign w:val="center"/>
          </w:tcPr>
          <w:p w:rsidR="00A540C4" w:rsidRDefault="00A540C4" w:rsidP="00321EF6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秸秆综合利用率</w:t>
            </w:r>
          </w:p>
        </w:tc>
        <w:tc>
          <w:tcPr>
            <w:tcW w:w="260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87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72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624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A540C4" w:rsidTr="002419C8">
        <w:trPr>
          <w:cantSplit/>
          <w:trHeight w:val="601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339" w:type="pct"/>
            <w:vAlign w:val="center"/>
          </w:tcPr>
          <w:p w:rsidR="00A540C4" w:rsidRDefault="00A540C4" w:rsidP="00321EF6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畜禽粪污综合利用率</w:t>
            </w:r>
          </w:p>
        </w:tc>
        <w:tc>
          <w:tcPr>
            <w:tcW w:w="260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≥75</w:t>
            </w:r>
          </w:p>
        </w:tc>
        <w:tc>
          <w:tcPr>
            <w:tcW w:w="372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85.67</w:t>
            </w:r>
          </w:p>
        </w:tc>
        <w:tc>
          <w:tcPr>
            <w:tcW w:w="624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96.97</w:t>
            </w:r>
          </w:p>
        </w:tc>
        <w:tc>
          <w:tcPr>
            <w:tcW w:w="59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97.32</w:t>
            </w:r>
          </w:p>
        </w:tc>
      </w:tr>
      <w:tr w:rsidR="00A540C4" w:rsidTr="002419C8">
        <w:trPr>
          <w:cantSplit/>
          <w:trHeight w:val="553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339" w:type="pct"/>
            <w:vAlign w:val="center"/>
          </w:tcPr>
          <w:p w:rsidR="00A540C4" w:rsidRDefault="00A540C4" w:rsidP="00321EF6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bookmarkStart w:id="9" w:name="_Hlk6665080"/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农膜回收利用率</w:t>
            </w:r>
            <w:bookmarkEnd w:id="9"/>
          </w:p>
        </w:tc>
        <w:tc>
          <w:tcPr>
            <w:tcW w:w="260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≥80</w:t>
            </w:r>
          </w:p>
        </w:tc>
        <w:tc>
          <w:tcPr>
            <w:tcW w:w="372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A540C4" w:rsidRDefault="00A540C4" w:rsidP="00337DF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75.28</w:t>
            </w:r>
          </w:p>
        </w:tc>
        <w:tc>
          <w:tcPr>
            <w:tcW w:w="624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80.14</w:t>
            </w:r>
          </w:p>
        </w:tc>
        <w:tc>
          <w:tcPr>
            <w:tcW w:w="590" w:type="pct"/>
            <w:vAlign w:val="center"/>
          </w:tcPr>
          <w:p w:rsidR="00A540C4" w:rsidRDefault="00A540C4" w:rsidP="00337DF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84.92</w:t>
            </w:r>
          </w:p>
        </w:tc>
      </w:tr>
      <w:tr w:rsidR="00A540C4" w:rsidTr="002419C8">
        <w:trPr>
          <w:cantSplit/>
          <w:trHeight w:val="649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26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6"/>
                <w:sz w:val="24"/>
                <w:szCs w:val="24"/>
              </w:rPr>
              <w:t>一般工业固体废物综合利用率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≥80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参考性</w:t>
            </w:r>
          </w:p>
        </w:tc>
        <w:tc>
          <w:tcPr>
            <w:tcW w:w="572" w:type="pct"/>
            <w:vAlign w:val="center"/>
          </w:tcPr>
          <w:p w:rsidR="00A540C4" w:rsidRDefault="002005D7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  <w:p w:rsidR="002005D7" w:rsidRDefault="002005D7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(2016年)</w:t>
            </w:r>
          </w:p>
        </w:tc>
        <w:tc>
          <w:tcPr>
            <w:tcW w:w="624" w:type="pct"/>
            <w:vAlign w:val="center"/>
          </w:tcPr>
          <w:p w:rsidR="00A540C4" w:rsidRDefault="002005D7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90.06</w:t>
            </w:r>
          </w:p>
          <w:p w:rsidR="002005D7" w:rsidRDefault="002005D7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（2017年）</w:t>
            </w:r>
          </w:p>
        </w:tc>
        <w:tc>
          <w:tcPr>
            <w:tcW w:w="590" w:type="pct"/>
            <w:vAlign w:val="center"/>
          </w:tcPr>
          <w:p w:rsidR="00A540C4" w:rsidRDefault="002005D7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88.70</w:t>
            </w:r>
          </w:p>
          <w:p w:rsidR="002005D7" w:rsidRDefault="002005D7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（2018年）</w:t>
            </w:r>
          </w:p>
        </w:tc>
      </w:tr>
      <w:tr w:rsidR="00A540C4" w:rsidTr="002419C8">
        <w:trPr>
          <w:cantSplit/>
          <w:trHeight w:val="777"/>
          <w:jc w:val="center"/>
        </w:trPr>
        <w:tc>
          <w:tcPr>
            <w:tcW w:w="173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生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态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生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活</w:t>
            </w:r>
          </w:p>
        </w:tc>
        <w:tc>
          <w:tcPr>
            <w:tcW w:w="326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（八）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人居环境改善</w:t>
            </w: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27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pacing w:val="-4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4"/>
                <w:sz w:val="24"/>
                <w:szCs w:val="24"/>
              </w:rPr>
              <w:t>集中式饮用水水源地水质优良比例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约束性</w:t>
            </w:r>
          </w:p>
        </w:tc>
        <w:tc>
          <w:tcPr>
            <w:tcW w:w="5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  <w:tc>
          <w:tcPr>
            <w:tcW w:w="624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  <w:tc>
          <w:tcPr>
            <w:tcW w:w="59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</w:tr>
      <w:tr w:rsidR="00A540C4" w:rsidTr="002419C8">
        <w:trPr>
          <w:cantSplit/>
          <w:trHeight w:val="755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28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村镇饮用水卫生合格率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约束性</w:t>
            </w:r>
          </w:p>
        </w:tc>
        <w:tc>
          <w:tcPr>
            <w:tcW w:w="572" w:type="pct"/>
            <w:vAlign w:val="center"/>
          </w:tcPr>
          <w:p w:rsidR="00A540C4" w:rsidRPr="000F4042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 w:rsidRPr="000F4042">
              <w:rPr>
                <w:rFonts w:ascii="宋体" w:eastAsia="宋体" w:hAnsi="宋体" w:cs="Arial Unicode MS" w:hint="eastAsia"/>
                <w:sz w:val="24"/>
                <w:szCs w:val="24"/>
              </w:rPr>
              <w:t>90.49</w:t>
            </w:r>
          </w:p>
        </w:tc>
        <w:tc>
          <w:tcPr>
            <w:tcW w:w="624" w:type="pct"/>
            <w:vAlign w:val="center"/>
          </w:tcPr>
          <w:p w:rsidR="00A540C4" w:rsidRPr="000F4042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 w:rsidRPr="000F4042">
              <w:rPr>
                <w:rFonts w:ascii="宋体" w:eastAsia="宋体" w:hAnsi="宋体" w:cs="Arial Unicode MS" w:hint="eastAsia"/>
                <w:sz w:val="24"/>
                <w:szCs w:val="24"/>
              </w:rPr>
              <w:t>92.38</w:t>
            </w:r>
          </w:p>
        </w:tc>
        <w:tc>
          <w:tcPr>
            <w:tcW w:w="59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</w:tr>
      <w:tr w:rsidR="00A540C4" w:rsidTr="002419C8">
        <w:trPr>
          <w:cantSplit/>
          <w:trHeight w:val="603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29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城镇污水处理率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≥85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约束性</w:t>
            </w:r>
          </w:p>
        </w:tc>
        <w:tc>
          <w:tcPr>
            <w:tcW w:w="5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86.64</w:t>
            </w:r>
          </w:p>
        </w:tc>
        <w:tc>
          <w:tcPr>
            <w:tcW w:w="624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90.02</w:t>
            </w:r>
          </w:p>
        </w:tc>
        <w:tc>
          <w:tcPr>
            <w:tcW w:w="59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92.03</w:t>
            </w:r>
          </w:p>
        </w:tc>
      </w:tr>
      <w:tr w:rsidR="00A540C4" w:rsidTr="002419C8">
        <w:trPr>
          <w:cantSplit/>
          <w:trHeight w:val="617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30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城镇生活垃圾无害化处理率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≥80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约束性</w:t>
            </w:r>
          </w:p>
        </w:tc>
        <w:tc>
          <w:tcPr>
            <w:tcW w:w="5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97.00</w:t>
            </w:r>
          </w:p>
        </w:tc>
        <w:tc>
          <w:tcPr>
            <w:tcW w:w="624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97.01</w:t>
            </w:r>
          </w:p>
        </w:tc>
        <w:tc>
          <w:tcPr>
            <w:tcW w:w="590" w:type="pct"/>
            <w:vAlign w:val="center"/>
          </w:tcPr>
          <w:p w:rsidR="00A540C4" w:rsidRDefault="00A540C4" w:rsidP="00B16138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97.73</w:t>
            </w:r>
          </w:p>
        </w:tc>
      </w:tr>
      <w:tr w:rsidR="00A540C4" w:rsidTr="00A540C4">
        <w:trPr>
          <w:cantSplit/>
          <w:trHeight w:val="757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31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城镇人均公园绿地面积</w:t>
            </w:r>
          </w:p>
        </w:tc>
        <w:tc>
          <w:tcPr>
            <w:tcW w:w="260" w:type="pct"/>
            <w:vAlign w:val="center"/>
          </w:tcPr>
          <w:p w:rsidR="00A540C4" w:rsidRDefault="00A540C4" w:rsidP="00321EF6">
            <w:pPr>
              <w:adjustRightInd w:val="0"/>
              <w:snapToGrid w:val="0"/>
              <w:ind w:leftChars="20" w:left="42" w:rightChars="-1" w:right="-2"/>
              <w:jc w:val="center"/>
              <w:rPr>
                <w:rFonts w:ascii="宋体" w:eastAsia="宋体" w:hAnsi="宋体" w:cs="Arial Unicode MS"/>
                <w:spacing w:val="-10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10"/>
                <w:sz w:val="24"/>
                <w:szCs w:val="24"/>
              </w:rPr>
              <w:t>平方米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/人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≥15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参考性</w:t>
            </w:r>
          </w:p>
        </w:tc>
        <w:tc>
          <w:tcPr>
            <w:tcW w:w="1786" w:type="pct"/>
            <w:gridSpan w:val="3"/>
            <w:vAlign w:val="center"/>
          </w:tcPr>
          <w:p w:rsidR="00A540C4" w:rsidRDefault="00A540C4" w:rsidP="00D3604A">
            <w:pPr>
              <w:adjustRightInd w:val="0"/>
              <w:snapToGrid w:val="0"/>
              <w:ind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建宁县不涉及本指标</w:t>
            </w:r>
          </w:p>
        </w:tc>
      </w:tr>
      <w:tr w:rsidR="00A540C4" w:rsidTr="002419C8">
        <w:trPr>
          <w:cantSplit/>
          <w:trHeight w:val="916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32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bookmarkStart w:id="10" w:name="_Hlk6575831"/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农村无害化卫生厕所普及率</w:t>
            </w:r>
            <w:bookmarkEnd w:id="10"/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完成上级规定的目标任务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约束性</w:t>
            </w:r>
          </w:p>
        </w:tc>
        <w:tc>
          <w:tcPr>
            <w:tcW w:w="5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 w:rsidRPr="000F4042">
              <w:rPr>
                <w:rFonts w:ascii="宋体" w:eastAsia="宋体" w:hAnsi="宋体" w:cs="Arial Unicode MS" w:hint="eastAsia"/>
                <w:sz w:val="24"/>
                <w:szCs w:val="24"/>
              </w:rPr>
              <w:t>85</w:t>
            </w:r>
            <w:r w:rsidR="000F4042" w:rsidRPr="000F4042">
              <w:rPr>
                <w:rFonts w:ascii="宋体" w:eastAsia="宋体" w:hAnsi="宋体" w:cs="Arial Unicode MS" w:hint="eastAsia"/>
                <w:sz w:val="24"/>
                <w:szCs w:val="24"/>
              </w:rPr>
              <w:t>.0</w:t>
            </w:r>
          </w:p>
          <w:p w:rsidR="00202A20" w:rsidRPr="000F4042" w:rsidRDefault="00202A20" w:rsidP="00202A20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完成上级目标</w:t>
            </w:r>
          </w:p>
        </w:tc>
        <w:tc>
          <w:tcPr>
            <w:tcW w:w="624" w:type="pct"/>
            <w:vAlign w:val="center"/>
          </w:tcPr>
          <w:p w:rsidR="00202A20" w:rsidRDefault="00A540C4" w:rsidP="00202A20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 w:rsidRPr="000F4042">
              <w:rPr>
                <w:rFonts w:ascii="宋体" w:eastAsia="宋体" w:hAnsi="宋体" w:cs="Arial Unicode MS" w:hint="eastAsia"/>
                <w:sz w:val="24"/>
                <w:szCs w:val="24"/>
              </w:rPr>
              <w:t>90.8</w:t>
            </w:r>
          </w:p>
          <w:p w:rsidR="00A540C4" w:rsidRPr="00202A20" w:rsidRDefault="00202A20" w:rsidP="00202A20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完成上级目标</w:t>
            </w:r>
          </w:p>
        </w:tc>
        <w:tc>
          <w:tcPr>
            <w:tcW w:w="590" w:type="pct"/>
            <w:vAlign w:val="center"/>
          </w:tcPr>
          <w:p w:rsidR="00202A20" w:rsidRDefault="00202A20" w:rsidP="006E273E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 w:rsidRPr="000F4042">
              <w:rPr>
                <w:rFonts w:ascii="宋体" w:eastAsia="宋体" w:hAnsi="宋体" w:cs="Arial Unicode MS" w:hint="eastAsia"/>
                <w:sz w:val="24"/>
                <w:szCs w:val="24"/>
              </w:rPr>
              <w:t>97.8</w:t>
            </w:r>
          </w:p>
          <w:p w:rsidR="00A540C4" w:rsidRPr="000F4042" w:rsidRDefault="006E273E" w:rsidP="00202A20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完成上级目标</w:t>
            </w:r>
          </w:p>
        </w:tc>
      </w:tr>
      <w:tr w:rsidR="00A540C4" w:rsidTr="002419C8">
        <w:trPr>
          <w:cantSplit/>
          <w:trHeight w:val="689"/>
          <w:jc w:val="center"/>
        </w:trPr>
        <w:tc>
          <w:tcPr>
            <w:tcW w:w="173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lastRenderedPageBreak/>
              <w:t>生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态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生</w:t>
            </w:r>
          </w:p>
          <w:p w:rsidR="00A540C4" w:rsidRDefault="00A540C4">
            <w:pPr>
              <w:widowControl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活</w:t>
            </w:r>
          </w:p>
          <w:p w:rsidR="00A540C4" w:rsidRDefault="00A540C4">
            <w:pPr>
              <w:ind w:leftChars="20" w:left="42" w:rightChars="20" w:right="42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（九）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生活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方式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绿色化</w:t>
            </w: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33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城镇新建绿色建筑比例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≥50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参考性</w:t>
            </w:r>
          </w:p>
        </w:tc>
        <w:tc>
          <w:tcPr>
            <w:tcW w:w="5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73.13</w:t>
            </w:r>
          </w:p>
        </w:tc>
        <w:tc>
          <w:tcPr>
            <w:tcW w:w="624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color w:val="000000" w:themeColor="text1"/>
                <w:sz w:val="24"/>
                <w:szCs w:val="24"/>
              </w:rPr>
              <w:t>92.82</w:t>
            </w:r>
          </w:p>
        </w:tc>
        <w:tc>
          <w:tcPr>
            <w:tcW w:w="59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99.25</w:t>
            </w:r>
          </w:p>
        </w:tc>
      </w:tr>
      <w:tr w:rsidR="00A540C4" w:rsidTr="00A540C4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34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公共交通出行分担率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超、特大城市≥70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大城市≥60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中小城市≥50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参考性</w:t>
            </w:r>
          </w:p>
        </w:tc>
        <w:tc>
          <w:tcPr>
            <w:tcW w:w="1786" w:type="pct"/>
            <w:gridSpan w:val="3"/>
            <w:vAlign w:val="center"/>
          </w:tcPr>
          <w:p w:rsidR="00A540C4" w:rsidRDefault="00A540C4" w:rsidP="00D3604A">
            <w:pPr>
              <w:adjustRightInd w:val="0"/>
              <w:snapToGrid w:val="0"/>
              <w:ind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建宁县不涉及本指标</w:t>
            </w:r>
          </w:p>
        </w:tc>
      </w:tr>
      <w:tr w:rsidR="00A540C4" w:rsidTr="002419C8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35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生活废弃物综合利用</w:t>
            </w:r>
          </w:p>
        </w:tc>
        <w:tc>
          <w:tcPr>
            <w:tcW w:w="260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-</w:t>
            </w:r>
          </w:p>
        </w:tc>
        <w:tc>
          <w:tcPr>
            <w:tcW w:w="587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实施</w:t>
            </w:r>
          </w:p>
        </w:tc>
        <w:tc>
          <w:tcPr>
            <w:tcW w:w="372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参考性</w:t>
            </w:r>
          </w:p>
        </w:tc>
        <w:tc>
          <w:tcPr>
            <w:tcW w:w="572" w:type="pct"/>
            <w:vMerge w:val="restart"/>
            <w:vAlign w:val="bottom"/>
          </w:tcPr>
          <w:p w:rsidR="00A540C4" w:rsidRDefault="00A540C4" w:rsidP="000B0B94">
            <w:pPr>
              <w:widowControl/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探索</w:t>
            </w:r>
          </w:p>
        </w:tc>
        <w:tc>
          <w:tcPr>
            <w:tcW w:w="624" w:type="pct"/>
            <w:vMerge w:val="restart"/>
            <w:vAlign w:val="bottom"/>
          </w:tcPr>
          <w:p w:rsidR="00A540C4" w:rsidRDefault="00AF62C2" w:rsidP="000B0B94">
            <w:pPr>
              <w:widowControl/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实施</w:t>
            </w:r>
          </w:p>
        </w:tc>
        <w:tc>
          <w:tcPr>
            <w:tcW w:w="590" w:type="pct"/>
            <w:vMerge w:val="restart"/>
            <w:vAlign w:val="bottom"/>
          </w:tcPr>
          <w:p w:rsidR="00A540C4" w:rsidRDefault="00A540C4" w:rsidP="000B0B94">
            <w:pPr>
              <w:widowControl/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实施</w:t>
            </w:r>
          </w:p>
        </w:tc>
      </w:tr>
      <w:tr w:rsidR="00A540C4" w:rsidTr="002419C8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339" w:type="pct"/>
            <w:vAlign w:val="center"/>
          </w:tcPr>
          <w:p w:rsidR="00A540C4" w:rsidRDefault="00A540C4" w:rsidP="00321EF6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城镇生活垃圾分类减量化行动</w:t>
            </w:r>
          </w:p>
        </w:tc>
        <w:tc>
          <w:tcPr>
            <w:tcW w:w="260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87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72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72" w:type="pct"/>
            <w:vMerge/>
            <w:vAlign w:val="center"/>
          </w:tcPr>
          <w:p w:rsidR="00A540C4" w:rsidRDefault="00A540C4">
            <w:pPr>
              <w:widowControl/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624" w:type="pct"/>
            <w:vMerge/>
            <w:vAlign w:val="center"/>
          </w:tcPr>
          <w:p w:rsidR="00A540C4" w:rsidRDefault="00A540C4">
            <w:pPr>
              <w:widowControl/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A540C4" w:rsidRDefault="00A540C4">
            <w:pPr>
              <w:widowControl/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A540C4" w:rsidTr="002419C8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339" w:type="pct"/>
            <w:vAlign w:val="center"/>
          </w:tcPr>
          <w:p w:rsidR="00A540C4" w:rsidRDefault="00A540C4" w:rsidP="00321EF6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农村生活垃圾集中收集储运</w:t>
            </w:r>
          </w:p>
        </w:tc>
        <w:tc>
          <w:tcPr>
            <w:tcW w:w="260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87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72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实施</w:t>
            </w:r>
          </w:p>
        </w:tc>
        <w:tc>
          <w:tcPr>
            <w:tcW w:w="624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实施</w:t>
            </w:r>
          </w:p>
        </w:tc>
        <w:tc>
          <w:tcPr>
            <w:tcW w:w="59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实施</w:t>
            </w:r>
          </w:p>
        </w:tc>
      </w:tr>
      <w:tr w:rsidR="00A540C4" w:rsidTr="00A540C4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36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绿色产品市场占有率</w:t>
            </w:r>
          </w:p>
        </w:tc>
        <w:tc>
          <w:tcPr>
            <w:tcW w:w="260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≥50</w:t>
            </w:r>
          </w:p>
        </w:tc>
        <w:tc>
          <w:tcPr>
            <w:tcW w:w="372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参考性</w:t>
            </w:r>
          </w:p>
        </w:tc>
        <w:tc>
          <w:tcPr>
            <w:tcW w:w="1786" w:type="pct"/>
            <w:gridSpan w:val="3"/>
            <w:vMerge w:val="restart"/>
            <w:vAlign w:val="center"/>
          </w:tcPr>
          <w:p w:rsidR="00A540C4" w:rsidRDefault="00A540C4" w:rsidP="00D3604A">
            <w:pPr>
              <w:adjustRightInd w:val="0"/>
              <w:snapToGrid w:val="0"/>
              <w:ind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建宁县不涉及本指标</w:t>
            </w:r>
          </w:p>
        </w:tc>
      </w:tr>
      <w:tr w:rsidR="00A540C4" w:rsidTr="00A540C4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339" w:type="pct"/>
            <w:vAlign w:val="center"/>
          </w:tcPr>
          <w:p w:rsidR="00A540C4" w:rsidRDefault="00A540C4" w:rsidP="00321EF6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节能家电市场占有率</w:t>
            </w:r>
          </w:p>
        </w:tc>
        <w:tc>
          <w:tcPr>
            <w:tcW w:w="260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587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72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786" w:type="pct"/>
            <w:gridSpan w:val="3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A540C4" w:rsidTr="00A540C4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339" w:type="pct"/>
            <w:vAlign w:val="center"/>
          </w:tcPr>
          <w:p w:rsidR="00A540C4" w:rsidRDefault="00A540C4" w:rsidP="00321EF6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5"/>
                <w:sz w:val="24"/>
                <w:szCs w:val="24"/>
              </w:rPr>
              <w:t>在售用水器具中节水型器具占比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  <w:tc>
          <w:tcPr>
            <w:tcW w:w="372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786" w:type="pct"/>
            <w:gridSpan w:val="3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A540C4" w:rsidTr="00A540C4">
        <w:trPr>
          <w:cantSplit/>
          <w:trHeight w:val="454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339" w:type="pct"/>
            <w:vAlign w:val="center"/>
          </w:tcPr>
          <w:p w:rsidR="00A540C4" w:rsidRDefault="00A540C4" w:rsidP="00321EF6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一次性消费品人均使用量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千克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逐步下降</w:t>
            </w:r>
          </w:p>
        </w:tc>
        <w:tc>
          <w:tcPr>
            <w:tcW w:w="372" w:type="pct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786" w:type="pct"/>
            <w:gridSpan w:val="3"/>
            <w:vMerge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</w:tr>
      <w:tr w:rsidR="00A540C4" w:rsidTr="002419C8">
        <w:trPr>
          <w:cantSplit/>
          <w:trHeight w:val="577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37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政府绿色采购比例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≥80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约束性</w:t>
            </w:r>
          </w:p>
        </w:tc>
        <w:tc>
          <w:tcPr>
            <w:tcW w:w="5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  <w:tc>
          <w:tcPr>
            <w:tcW w:w="624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  <w:tc>
          <w:tcPr>
            <w:tcW w:w="59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</w:tr>
      <w:tr w:rsidR="00A540C4" w:rsidTr="002419C8">
        <w:trPr>
          <w:cantSplit/>
          <w:trHeight w:val="683"/>
          <w:jc w:val="center"/>
        </w:trPr>
        <w:tc>
          <w:tcPr>
            <w:tcW w:w="173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生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态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文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化</w:t>
            </w:r>
          </w:p>
        </w:tc>
        <w:tc>
          <w:tcPr>
            <w:tcW w:w="326" w:type="pct"/>
            <w:vMerge w:val="restar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（十）</w:t>
            </w:r>
          </w:p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观念意识普及</w:t>
            </w: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38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党政领导干部参加生态文明培训的人数比例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参考性</w:t>
            </w:r>
          </w:p>
        </w:tc>
        <w:tc>
          <w:tcPr>
            <w:tcW w:w="5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  <w:tc>
          <w:tcPr>
            <w:tcW w:w="624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  <w:tc>
          <w:tcPr>
            <w:tcW w:w="59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100</w:t>
            </w:r>
          </w:p>
        </w:tc>
      </w:tr>
      <w:tr w:rsidR="00A540C4" w:rsidTr="002419C8">
        <w:trPr>
          <w:cantSplit/>
          <w:trHeight w:val="565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39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12"/>
                <w:sz w:val="24"/>
                <w:szCs w:val="24"/>
              </w:rPr>
              <w:t>公众对生态文明建设的满意度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≥80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参考性</w:t>
            </w:r>
          </w:p>
        </w:tc>
        <w:tc>
          <w:tcPr>
            <w:tcW w:w="5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90.2</w:t>
            </w:r>
          </w:p>
        </w:tc>
        <w:tc>
          <w:tcPr>
            <w:tcW w:w="624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90.4</w:t>
            </w:r>
          </w:p>
        </w:tc>
        <w:tc>
          <w:tcPr>
            <w:tcW w:w="59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94.2</w:t>
            </w:r>
          </w:p>
        </w:tc>
      </w:tr>
      <w:tr w:rsidR="00A540C4" w:rsidTr="002419C8">
        <w:trPr>
          <w:cantSplit/>
          <w:trHeight w:val="687"/>
          <w:jc w:val="center"/>
        </w:trPr>
        <w:tc>
          <w:tcPr>
            <w:tcW w:w="173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A540C4" w:rsidRDefault="00A540C4">
            <w:pPr>
              <w:widowControl/>
              <w:ind w:leftChars="20" w:left="42" w:rightChars="20" w:right="42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</w:p>
        </w:tc>
        <w:tc>
          <w:tcPr>
            <w:tcW w:w="156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40</w:t>
            </w:r>
          </w:p>
        </w:tc>
        <w:tc>
          <w:tcPr>
            <w:tcW w:w="1339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left"/>
              <w:rPr>
                <w:rFonts w:ascii="宋体" w:eastAsia="宋体" w:hAnsi="宋体" w:cs="Arial Unicode MS"/>
                <w:spacing w:val="-12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pacing w:val="-12"/>
                <w:sz w:val="24"/>
                <w:szCs w:val="24"/>
              </w:rPr>
              <w:t>公众对生态文明建设的参与度</w:t>
            </w:r>
          </w:p>
        </w:tc>
        <w:tc>
          <w:tcPr>
            <w:tcW w:w="26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%</w:t>
            </w:r>
          </w:p>
        </w:tc>
        <w:tc>
          <w:tcPr>
            <w:tcW w:w="587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≥80</w:t>
            </w:r>
          </w:p>
        </w:tc>
        <w:tc>
          <w:tcPr>
            <w:tcW w:w="3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参考性</w:t>
            </w:r>
          </w:p>
        </w:tc>
        <w:tc>
          <w:tcPr>
            <w:tcW w:w="572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-</w:t>
            </w:r>
          </w:p>
        </w:tc>
        <w:tc>
          <w:tcPr>
            <w:tcW w:w="624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-</w:t>
            </w:r>
          </w:p>
        </w:tc>
        <w:tc>
          <w:tcPr>
            <w:tcW w:w="590" w:type="pct"/>
            <w:vAlign w:val="center"/>
          </w:tcPr>
          <w:p w:rsidR="00A540C4" w:rsidRDefault="00A540C4">
            <w:pPr>
              <w:adjustRightInd w:val="0"/>
              <w:snapToGrid w:val="0"/>
              <w:ind w:leftChars="20" w:left="42" w:rightChars="20" w:right="42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>
              <w:rPr>
                <w:rFonts w:ascii="宋体" w:eastAsia="宋体" w:hAnsi="宋体" w:cs="Arial Unicode MS" w:hint="eastAsia"/>
                <w:sz w:val="24"/>
                <w:szCs w:val="24"/>
              </w:rPr>
              <w:t>84.4</w:t>
            </w:r>
          </w:p>
        </w:tc>
      </w:tr>
      <w:bookmarkEnd w:id="1"/>
    </w:tbl>
    <w:p w:rsidR="002B0D19" w:rsidRDefault="002B0D19" w:rsidP="00EF19E5">
      <w:pPr>
        <w:widowControl/>
        <w:spacing w:line="20" w:lineRule="exact"/>
        <w:jc w:val="left"/>
      </w:pPr>
    </w:p>
    <w:sectPr w:rsidR="002B0D19" w:rsidSect="00321EF6">
      <w:footerReference w:type="default" r:id="rId8"/>
      <w:pgSz w:w="16838" w:h="11906" w:orient="landscape"/>
      <w:pgMar w:top="1701" w:right="1440" w:bottom="1134" w:left="1440" w:header="851" w:footer="449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430" w:rsidRDefault="00FC1430" w:rsidP="002B0D19">
      <w:r>
        <w:separator/>
      </w:r>
    </w:p>
  </w:endnote>
  <w:endnote w:type="continuationSeparator" w:id="1">
    <w:p w:rsidR="00FC1430" w:rsidRDefault="00FC1430" w:rsidP="002B0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430" w:rsidRDefault="001F0ACA">
    <w:pPr>
      <w:pStyle w:val="a6"/>
      <w:spacing w:before="192"/>
      <w:jc w:val="center"/>
    </w:pPr>
    <w:fldSimple w:instr="PAGE   \* MERGEFORMAT">
      <w:r w:rsidR="0091483D" w:rsidRPr="0091483D">
        <w:rPr>
          <w:noProof/>
          <w:lang w:val="zh-CN"/>
        </w:rPr>
        <w:t>-</w:t>
      </w:r>
      <w:r w:rsidR="0091483D">
        <w:rPr>
          <w:noProof/>
        </w:rPr>
        <w:t xml:space="preserve"> 5 -</w:t>
      </w:r>
    </w:fldSimple>
  </w:p>
  <w:p w:rsidR="00FC1430" w:rsidRDefault="00FC14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430" w:rsidRDefault="00FC1430" w:rsidP="002B0D19">
      <w:r>
        <w:separator/>
      </w:r>
    </w:p>
  </w:footnote>
  <w:footnote w:type="continuationSeparator" w:id="1">
    <w:p w:rsidR="00FC1430" w:rsidRDefault="00FC1430" w:rsidP="002B0D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DB1"/>
    <w:rsid w:val="00000DB1"/>
    <w:rsid w:val="000321D6"/>
    <w:rsid w:val="0004624A"/>
    <w:rsid w:val="00091EA7"/>
    <w:rsid w:val="000B0B94"/>
    <w:rsid w:val="000E16C0"/>
    <w:rsid w:val="000F4042"/>
    <w:rsid w:val="0010024F"/>
    <w:rsid w:val="00111E59"/>
    <w:rsid w:val="0011454C"/>
    <w:rsid w:val="00144EF2"/>
    <w:rsid w:val="00154082"/>
    <w:rsid w:val="001E60EE"/>
    <w:rsid w:val="001F0ACA"/>
    <w:rsid w:val="002005D7"/>
    <w:rsid w:val="00202A20"/>
    <w:rsid w:val="00216117"/>
    <w:rsid w:val="00226EAF"/>
    <w:rsid w:val="00237010"/>
    <w:rsid w:val="002419C8"/>
    <w:rsid w:val="00294908"/>
    <w:rsid w:val="002B0D19"/>
    <w:rsid w:val="00321EF6"/>
    <w:rsid w:val="00337DF4"/>
    <w:rsid w:val="0037559B"/>
    <w:rsid w:val="003D0F67"/>
    <w:rsid w:val="003D4230"/>
    <w:rsid w:val="003E3C9D"/>
    <w:rsid w:val="004F684A"/>
    <w:rsid w:val="0055055F"/>
    <w:rsid w:val="005834BA"/>
    <w:rsid w:val="0060406E"/>
    <w:rsid w:val="00643B59"/>
    <w:rsid w:val="006E273E"/>
    <w:rsid w:val="00787238"/>
    <w:rsid w:val="00803DEB"/>
    <w:rsid w:val="008140FD"/>
    <w:rsid w:val="00827A96"/>
    <w:rsid w:val="00877A68"/>
    <w:rsid w:val="008B7316"/>
    <w:rsid w:val="009111AE"/>
    <w:rsid w:val="0091483D"/>
    <w:rsid w:val="00922B05"/>
    <w:rsid w:val="00944222"/>
    <w:rsid w:val="00951057"/>
    <w:rsid w:val="00993347"/>
    <w:rsid w:val="00997FCD"/>
    <w:rsid w:val="009C1079"/>
    <w:rsid w:val="009F4E88"/>
    <w:rsid w:val="00A540C4"/>
    <w:rsid w:val="00A60A7A"/>
    <w:rsid w:val="00A668FF"/>
    <w:rsid w:val="00AD2BBF"/>
    <w:rsid w:val="00AD5A2D"/>
    <w:rsid w:val="00AF62C2"/>
    <w:rsid w:val="00B16138"/>
    <w:rsid w:val="00B91045"/>
    <w:rsid w:val="00B91712"/>
    <w:rsid w:val="00C3431A"/>
    <w:rsid w:val="00CE2649"/>
    <w:rsid w:val="00D11187"/>
    <w:rsid w:val="00D303C8"/>
    <w:rsid w:val="00D3604A"/>
    <w:rsid w:val="00D75A23"/>
    <w:rsid w:val="00EB1A70"/>
    <w:rsid w:val="00EF19E5"/>
    <w:rsid w:val="00F11001"/>
    <w:rsid w:val="00FC1430"/>
    <w:rsid w:val="025B726D"/>
    <w:rsid w:val="04377FA9"/>
    <w:rsid w:val="058A2917"/>
    <w:rsid w:val="0A7D4F1E"/>
    <w:rsid w:val="0F4D462D"/>
    <w:rsid w:val="129B7473"/>
    <w:rsid w:val="1AF43AD6"/>
    <w:rsid w:val="1BA173BA"/>
    <w:rsid w:val="1CB71B5F"/>
    <w:rsid w:val="1E0B1F51"/>
    <w:rsid w:val="1F405024"/>
    <w:rsid w:val="242A47B9"/>
    <w:rsid w:val="2BFF155A"/>
    <w:rsid w:val="2D212106"/>
    <w:rsid w:val="2DED3F82"/>
    <w:rsid w:val="32EE061B"/>
    <w:rsid w:val="3A1D0F25"/>
    <w:rsid w:val="3A685E03"/>
    <w:rsid w:val="3D643253"/>
    <w:rsid w:val="43603D29"/>
    <w:rsid w:val="487B0EE3"/>
    <w:rsid w:val="48B462F2"/>
    <w:rsid w:val="4AB55929"/>
    <w:rsid w:val="52E62B69"/>
    <w:rsid w:val="5A9A3542"/>
    <w:rsid w:val="5D667205"/>
    <w:rsid w:val="5E104E59"/>
    <w:rsid w:val="621D5F27"/>
    <w:rsid w:val="62F6628E"/>
    <w:rsid w:val="6B501E2B"/>
    <w:rsid w:val="71693E26"/>
    <w:rsid w:val="778B6E94"/>
    <w:rsid w:val="77CD5301"/>
    <w:rsid w:val="7A2C0AB8"/>
    <w:rsid w:val="7E2A5664"/>
    <w:rsid w:val="7FE0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D19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B0D1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B0D19"/>
    <w:pPr>
      <w:keepNext/>
      <w:keepLines/>
      <w:spacing w:before="260" w:after="260" w:line="415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B0D1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2B0D19"/>
    <w:pPr>
      <w:spacing w:before="100" w:beforeAutospacing="1" w:after="100" w:afterAutospacing="1"/>
      <w:jc w:val="left"/>
      <w:outlineLvl w:val="3"/>
    </w:pPr>
    <w:rPr>
      <w:rFonts w:ascii="宋体" w:eastAsia="宋体" w:hAnsi="宋体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B0D19"/>
    <w:pPr>
      <w:jc w:val="left"/>
    </w:pPr>
  </w:style>
  <w:style w:type="paragraph" w:styleId="a4">
    <w:name w:val="Plain Text"/>
    <w:basedOn w:val="a"/>
    <w:link w:val="Char0"/>
    <w:qFormat/>
    <w:rsid w:val="002B0D19"/>
    <w:rPr>
      <w:rFonts w:ascii="Cambria" w:eastAsia="宋体" w:hAnsi="Cambria"/>
      <w:b/>
      <w:kern w:val="0"/>
      <w:sz w:val="32"/>
      <w:szCs w:val="20"/>
    </w:rPr>
  </w:style>
  <w:style w:type="paragraph" w:styleId="a5">
    <w:name w:val="Balloon Text"/>
    <w:basedOn w:val="a"/>
    <w:link w:val="Char1"/>
    <w:qFormat/>
    <w:rsid w:val="002B0D19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2B0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2B0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2B0D19"/>
  </w:style>
  <w:style w:type="paragraph" w:styleId="a8">
    <w:name w:val="Normal (Web)"/>
    <w:basedOn w:val="a"/>
    <w:qFormat/>
    <w:rsid w:val="002B0D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qFormat/>
    <w:rsid w:val="002B0D19"/>
    <w:rPr>
      <w:b/>
      <w:bCs/>
    </w:rPr>
  </w:style>
  <w:style w:type="table" w:styleId="aa">
    <w:name w:val="Table Grid"/>
    <w:basedOn w:val="a1"/>
    <w:uiPriority w:val="59"/>
    <w:qFormat/>
    <w:rsid w:val="002B0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Medium Grid 3"/>
    <w:basedOn w:val="a1"/>
    <w:uiPriority w:val="69"/>
    <w:qFormat/>
    <w:rsid w:val="002B0D1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rsid w:val="002B0D1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rsid w:val="002B0D1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rsid w:val="002B0D1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rsid w:val="002B0D1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rsid w:val="002B0D1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rsid w:val="002B0D19"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b">
    <w:name w:val="Strong"/>
    <w:basedOn w:val="a0"/>
    <w:qFormat/>
    <w:rsid w:val="002B0D19"/>
    <w:rPr>
      <w:b/>
    </w:rPr>
  </w:style>
  <w:style w:type="character" w:styleId="ac">
    <w:name w:val="FollowedHyperlink"/>
    <w:basedOn w:val="a0"/>
    <w:uiPriority w:val="99"/>
    <w:qFormat/>
    <w:rsid w:val="002B0D19"/>
    <w:rPr>
      <w:color w:val="954F72"/>
      <w:u w:val="single"/>
    </w:rPr>
  </w:style>
  <w:style w:type="character" w:styleId="ad">
    <w:name w:val="Hyperlink"/>
    <w:basedOn w:val="a0"/>
    <w:qFormat/>
    <w:rsid w:val="002B0D19"/>
    <w:rPr>
      <w:color w:val="0000FF"/>
      <w:u w:val="single"/>
    </w:rPr>
  </w:style>
  <w:style w:type="character" w:customStyle="1" w:styleId="Char3">
    <w:name w:val="页眉 Char"/>
    <w:basedOn w:val="a0"/>
    <w:link w:val="a7"/>
    <w:qFormat/>
    <w:rsid w:val="002B0D1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2B0D19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2B0D19"/>
    <w:rPr>
      <w:rFonts w:ascii="等线" w:eastAsia="等线" w:hAnsi="等线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2B0D19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2B0D19"/>
    <w:rPr>
      <w:rFonts w:ascii="等线" w:eastAsia="等线" w:hAnsi="等线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qFormat/>
    <w:rsid w:val="002B0D19"/>
    <w:rPr>
      <w:rFonts w:ascii="宋体" w:eastAsia="宋体" w:hAnsi="宋体" w:cs="Times New Roman"/>
      <w:b/>
      <w:kern w:val="0"/>
      <w:sz w:val="24"/>
      <w:szCs w:val="24"/>
    </w:rPr>
  </w:style>
  <w:style w:type="paragraph" w:customStyle="1" w:styleId="msonormal0">
    <w:name w:val="msonormal"/>
    <w:basedOn w:val="a"/>
    <w:qFormat/>
    <w:rsid w:val="002B0D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link w:val="a3"/>
    <w:qFormat/>
    <w:rsid w:val="002B0D19"/>
    <w:rPr>
      <w:rFonts w:ascii="等线" w:eastAsia="等线" w:hAnsi="等线" w:cs="Times New Roman"/>
    </w:rPr>
  </w:style>
  <w:style w:type="character" w:customStyle="1" w:styleId="11">
    <w:name w:val="批注文字 字符1"/>
    <w:basedOn w:val="a0"/>
    <w:uiPriority w:val="99"/>
    <w:qFormat/>
    <w:rsid w:val="002B0D19"/>
    <w:rPr>
      <w:rFonts w:ascii="等线" w:eastAsia="等线" w:hAnsi="等线" w:cs="Times New Roman"/>
    </w:rPr>
  </w:style>
  <w:style w:type="character" w:customStyle="1" w:styleId="Char0">
    <w:name w:val="纯文本 Char"/>
    <w:basedOn w:val="a0"/>
    <w:link w:val="a4"/>
    <w:qFormat/>
    <w:rsid w:val="002B0D19"/>
    <w:rPr>
      <w:rFonts w:ascii="Cambria" w:eastAsia="宋体" w:hAnsi="Cambria" w:cs="Times New Roman"/>
      <w:b/>
      <w:kern w:val="0"/>
      <w:sz w:val="32"/>
      <w:szCs w:val="20"/>
    </w:rPr>
  </w:style>
  <w:style w:type="character" w:customStyle="1" w:styleId="Char4">
    <w:name w:val="批注主题 Char"/>
    <w:basedOn w:val="Char"/>
    <w:link w:val="a9"/>
    <w:qFormat/>
    <w:rsid w:val="002B0D19"/>
    <w:rPr>
      <w:rFonts w:ascii="等线" w:eastAsia="等线" w:hAnsi="等线" w:cs="Times New Roman"/>
      <w:b/>
      <w:bCs/>
    </w:rPr>
  </w:style>
  <w:style w:type="character" w:customStyle="1" w:styleId="12">
    <w:name w:val="批注主题 字符1"/>
    <w:basedOn w:val="11"/>
    <w:uiPriority w:val="99"/>
    <w:qFormat/>
    <w:rsid w:val="002B0D19"/>
    <w:rPr>
      <w:rFonts w:ascii="等线" w:eastAsia="等线" w:hAnsi="等线" w:cs="Times New Roman"/>
      <w:b/>
      <w:bCs/>
    </w:rPr>
  </w:style>
  <w:style w:type="character" w:customStyle="1" w:styleId="Char1">
    <w:name w:val="批注框文本 Char"/>
    <w:basedOn w:val="a0"/>
    <w:link w:val="a5"/>
    <w:qFormat/>
    <w:rsid w:val="002B0D19"/>
    <w:rPr>
      <w:rFonts w:ascii="等线" w:eastAsia="等线" w:hAnsi="等线" w:cs="Times New Roman"/>
      <w:sz w:val="18"/>
      <w:szCs w:val="18"/>
    </w:rPr>
  </w:style>
  <w:style w:type="character" w:customStyle="1" w:styleId="13">
    <w:name w:val="批注框文本 字符1"/>
    <w:basedOn w:val="a0"/>
    <w:uiPriority w:val="99"/>
    <w:qFormat/>
    <w:rsid w:val="002B0D19"/>
    <w:rPr>
      <w:rFonts w:ascii="等线" w:eastAsia="等线" w:hAnsi="等线" w:cs="Times New Roman"/>
      <w:sz w:val="18"/>
      <w:szCs w:val="18"/>
    </w:rPr>
  </w:style>
  <w:style w:type="paragraph" w:customStyle="1" w:styleId="20">
    <w:name w:val="标题2"/>
    <w:basedOn w:val="2"/>
    <w:qFormat/>
    <w:rsid w:val="002B0D19"/>
    <w:pPr>
      <w:adjustRightInd w:val="0"/>
      <w:snapToGrid w:val="0"/>
      <w:spacing w:before="0" w:after="0" w:line="600" w:lineRule="exact"/>
      <w:ind w:firstLineChars="200" w:firstLine="200"/>
      <w:outlineLvl w:val="0"/>
    </w:pPr>
    <w:rPr>
      <w:rFonts w:ascii="黑体" w:eastAsia="黑体" w:hAnsi="黑体"/>
    </w:rPr>
  </w:style>
  <w:style w:type="paragraph" w:customStyle="1" w:styleId="p0">
    <w:name w:val="p0"/>
    <w:basedOn w:val="a"/>
    <w:qFormat/>
    <w:rsid w:val="002B0D19"/>
    <w:pPr>
      <w:widowControl/>
    </w:pPr>
    <w:rPr>
      <w:rFonts w:cs="宋体"/>
      <w:kern w:val="0"/>
      <w:szCs w:val="21"/>
    </w:rPr>
  </w:style>
  <w:style w:type="paragraph" w:customStyle="1" w:styleId="ae">
    <w:name w:val="目录"/>
    <w:basedOn w:val="a"/>
    <w:qFormat/>
    <w:rsid w:val="002B0D19"/>
    <w:pPr>
      <w:adjustRightInd w:val="0"/>
      <w:snapToGrid w:val="0"/>
      <w:jc w:val="center"/>
    </w:pPr>
    <w:rPr>
      <w:rFonts w:ascii="方正小标宋_GBK" w:eastAsia="方正小标宋_GBK" w:hAnsi="华文中宋" w:cs="华文中宋"/>
      <w:kern w:val="0"/>
      <w:sz w:val="38"/>
      <w:szCs w:val="38"/>
    </w:rPr>
  </w:style>
  <w:style w:type="paragraph" w:customStyle="1" w:styleId="14">
    <w:name w:val="样式1"/>
    <w:basedOn w:val="a"/>
    <w:qFormat/>
    <w:rsid w:val="002B0D19"/>
    <w:pPr>
      <w:adjustRightInd w:val="0"/>
      <w:snapToGrid w:val="0"/>
      <w:spacing w:beforeLines="80"/>
      <w:jc w:val="center"/>
    </w:pPr>
    <w:rPr>
      <w:rFonts w:ascii="楷体_GB2312" w:eastAsia="楷体_GB2312" w:hAnsi="Arial Unicode MS" w:cs="Arial Unicode MS"/>
      <w:sz w:val="32"/>
      <w:szCs w:val="32"/>
    </w:rPr>
  </w:style>
  <w:style w:type="character" w:styleId="af">
    <w:name w:val="Placeholder Text"/>
    <w:basedOn w:val="a0"/>
    <w:uiPriority w:val="99"/>
    <w:qFormat/>
    <w:rsid w:val="002B0D1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451A313-03DF-4B03-8CA2-16F0B74155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5</Pages>
  <Words>441</Words>
  <Characters>2515</Characters>
  <Application>Microsoft Office Word</Application>
  <DocSecurity>0</DocSecurity>
  <Lines>20</Lines>
  <Paragraphs>5</Paragraphs>
  <ScaleCrop>false</ScaleCrop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mengluan guan</dc:creator>
  <cp:lastModifiedBy>lenovo</cp:lastModifiedBy>
  <cp:revision>36</cp:revision>
  <cp:lastPrinted>2020-04-29T08:58:00Z</cp:lastPrinted>
  <dcterms:created xsi:type="dcterms:W3CDTF">2020-04-17T08:26:00Z</dcterms:created>
  <dcterms:modified xsi:type="dcterms:W3CDTF">2020-04-30T09:44:00Z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