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pacing w:val="4"/>
          <w:sz w:val="44"/>
          <w:szCs w:val="44"/>
        </w:rPr>
      </w:pPr>
      <w:r>
        <w:rPr>
          <w:rFonts w:hint="eastAsia" w:ascii="方正小标宋简体" w:eastAsia="方正小标宋简体"/>
          <w:spacing w:val="4"/>
          <w:sz w:val="44"/>
          <w:szCs w:val="44"/>
        </w:rPr>
        <w:t>2019年“爱在七夕，刚好遇见你”单身青年职工联谊报名统计表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填报单位：</w:t>
      </w:r>
    </w:p>
    <w:tbl>
      <w:tblPr>
        <w:tblStyle w:val="3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0"/>
        <w:gridCol w:w="1067"/>
        <w:gridCol w:w="1543"/>
        <w:gridCol w:w="2122"/>
        <w:gridCol w:w="3300"/>
        <w:gridCol w:w="244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spacing w:val="4"/>
                <w:kern w:val="0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708" w:footer="709" w:gutter="0"/>
      <w:pgNumType w:fmt="numberInDash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0376"/>
    <w:rsid w:val="16E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2019-08-02T08:04:00Z</dcterms:created>
  <dc:creator>Administrator</dc:creator>
  <cp:lastModifiedBy>Administrator</cp:lastModifiedBy>
  <dcterms:modified xsi:type="dcterms:W3CDTF">2019-08-02T08:05:03Z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