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hint="eastAsia" w:ascii="黑体" w:hAnsi="黑体" w:eastAsia="黑体" w:cs="黑体"/>
          <w:b/>
          <w:bCs/>
          <w:sz w:val="36"/>
          <w:szCs w:val="36"/>
          <w:lang w:eastAsia="zh-CN"/>
        </w:rPr>
        <w:sectPr>
          <w:footerReference r:id="rId3" w:type="default"/>
          <w:pgSz w:w="11906" w:h="16838"/>
          <w:pgMar w:top="1417" w:right="1304" w:bottom="1304" w:left="1304" w:header="851" w:footer="992" w:gutter="0"/>
          <w:cols w:space="0" w:num="1"/>
          <w:docGrid w:type="lines" w:linePitch="312" w:charSpace="0"/>
        </w:sectPr>
      </w:pPr>
      <w:r>
        <w:rPr>
          <w:rFonts w:hint="eastAsia" w:ascii="黑体" w:hAnsi="黑体" w:eastAsia="黑体" w:cs="黑体"/>
          <w:b/>
          <w:bCs/>
          <w:sz w:val="36"/>
          <w:szCs w:val="36"/>
          <w:lang w:eastAsia="zh-CN"/>
        </w:rPr>
        <w:pict>
          <v:shape id="_x0000_s1026" o:spid="_x0000_s1026" o:spt="75" alt="绿色矿山审核意见盖章页" type="#_x0000_t75" style="position:absolute;left:0pt;margin-left:-24.8pt;margin-top:-68.8pt;height:837.5pt;width:588.3pt;z-index:251658240;mso-width-relative:page;mso-height-relative:page;" filled="f" o:preferrelative="t" stroked="f" coordsize="21600,21600">
            <v:path/>
            <v:fill on="f" focussize="0,0"/>
            <v:stroke on="f"/>
            <v:imagedata r:id="rId5" o:title="绿色矿山审核意见盖章页"/>
            <o:lock v:ext="edit" aspectratio="t"/>
          </v:shape>
        </w:pict>
      </w:r>
    </w:p>
    <w:p>
      <w:pPr>
        <w:spacing w:beforeLines="50" w:afterLines="50" w:line="360" w:lineRule="auto"/>
        <w:jc w:val="center"/>
        <w:rPr>
          <w:rFonts w:ascii="黑体" w:hAnsi="黑体" w:eastAsia="黑体" w:cs="黑体"/>
          <w:b/>
          <w:bCs/>
          <w:sz w:val="36"/>
          <w:szCs w:val="36"/>
        </w:rPr>
      </w:pPr>
      <w:r>
        <w:rPr>
          <w:rFonts w:hint="eastAsia" w:ascii="黑体" w:hAnsi="黑体" w:eastAsia="黑体" w:cs="黑体"/>
          <w:b/>
          <w:bCs/>
          <w:sz w:val="36"/>
          <w:szCs w:val="36"/>
        </w:rPr>
        <w:t>关于福建省富强石材有限公司建宁均口半岭饰面花岗岩矿</w:t>
      </w:r>
    </w:p>
    <w:p>
      <w:pPr>
        <w:spacing w:afterLines="50"/>
        <w:jc w:val="center"/>
        <w:rPr>
          <w:rFonts w:ascii="黑体" w:hAnsi="黑体" w:eastAsia="黑体" w:cs="黑体"/>
          <w:b/>
          <w:bCs/>
          <w:sz w:val="36"/>
          <w:szCs w:val="36"/>
        </w:rPr>
      </w:pPr>
      <w:r>
        <w:rPr>
          <w:rFonts w:hint="eastAsia" w:ascii="黑体" w:hAnsi="黑体" w:eastAsia="黑体" w:cs="黑体"/>
          <w:b/>
          <w:bCs/>
          <w:sz w:val="36"/>
          <w:szCs w:val="36"/>
        </w:rPr>
        <w:t>绿色矿山建设自评估报告的核查意见</w:t>
      </w:r>
    </w:p>
    <w:p>
      <w:pPr>
        <w:spacing w:line="600" w:lineRule="exact"/>
        <w:ind w:firstLine="560" w:firstLineChars="200"/>
        <w:rPr>
          <w:rFonts w:ascii="仿宋" w:hAnsi="仿宋" w:eastAsia="仿宋" w:cs="仿宋"/>
          <w:sz w:val="28"/>
          <w:szCs w:val="28"/>
        </w:rPr>
      </w:pP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受建宁县国土资源局委托，福建省矿业协会组织专家组，于</w:t>
      </w:r>
      <w:r>
        <w:rPr>
          <w:rFonts w:ascii="仿宋" w:hAnsi="仿宋" w:eastAsia="仿宋" w:cs="仿宋"/>
          <w:sz w:val="28"/>
          <w:szCs w:val="28"/>
        </w:rPr>
        <w:t>2018</w:t>
      </w:r>
      <w:r>
        <w:rPr>
          <w:rFonts w:hint="eastAsia" w:ascii="仿宋" w:hAnsi="仿宋" w:eastAsia="仿宋" w:cs="仿宋"/>
          <w:sz w:val="28"/>
          <w:szCs w:val="28"/>
        </w:rPr>
        <w:t>年</w:t>
      </w:r>
      <w:r>
        <w:rPr>
          <w:rFonts w:ascii="仿宋" w:hAnsi="仿宋" w:eastAsia="仿宋" w:cs="仿宋"/>
          <w:sz w:val="28"/>
          <w:szCs w:val="28"/>
        </w:rPr>
        <w:t>11</w:t>
      </w:r>
      <w:r>
        <w:rPr>
          <w:rFonts w:hint="eastAsia" w:ascii="仿宋" w:hAnsi="仿宋" w:eastAsia="仿宋" w:cs="仿宋"/>
          <w:sz w:val="28"/>
          <w:szCs w:val="28"/>
        </w:rPr>
        <w:t>月</w:t>
      </w:r>
      <w:r>
        <w:rPr>
          <w:rFonts w:ascii="仿宋" w:hAnsi="仿宋" w:eastAsia="仿宋" w:cs="仿宋"/>
          <w:sz w:val="28"/>
          <w:szCs w:val="28"/>
        </w:rPr>
        <w:t>9</w:t>
      </w:r>
      <w:r>
        <w:rPr>
          <w:rFonts w:hint="eastAsia" w:ascii="仿宋" w:hAnsi="仿宋" w:eastAsia="仿宋" w:cs="仿宋"/>
          <w:sz w:val="28"/>
          <w:szCs w:val="28"/>
        </w:rPr>
        <w:t>日对富强石材有限公司提交的《建宁县均口镇修竹村半岭饰面用花岗岩矿绿色矿山建设评估报告》进行了现场核查。专家组由探矿、采矿、环保、植被、水工环等方面的六位专家组成。现场核査采用了听取汇报、现场观察、资料查阅、询问等方式。形成了以下核查意见：</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一、该矿山绿色矿山建设的过程。</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矿山绿色矿山建设意识强，早在矿山建设初期，就开始布局绿色矿山建设并实行边开采边治理。</w:t>
      </w:r>
      <w:r>
        <w:rPr>
          <w:rFonts w:ascii="仿宋" w:hAnsi="仿宋" w:eastAsia="仿宋" w:cs="仿宋"/>
          <w:sz w:val="28"/>
          <w:szCs w:val="28"/>
        </w:rPr>
        <w:t>2018</w:t>
      </w:r>
      <w:r>
        <w:rPr>
          <w:rFonts w:hint="eastAsia" w:ascii="仿宋" w:hAnsi="仿宋" w:eastAsia="仿宋" w:cs="仿宋"/>
          <w:sz w:val="28"/>
          <w:szCs w:val="28"/>
        </w:rPr>
        <w:t>年</w:t>
      </w:r>
      <w:r>
        <w:rPr>
          <w:rFonts w:ascii="仿宋" w:hAnsi="仿宋" w:eastAsia="仿宋" w:cs="仿宋"/>
          <w:sz w:val="28"/>
          <w:szCs w:val="28"/>
        </w:rPr>
        <w:t>5</w:t>
      </w:r>
      <w:r>
        <w:rPr>
          <w:rFonts w:hint="eastAsia" w:ascii="仿宋" w:hAnsi="仿宋" w:eastAsia="仿宋" w:cs="仿宋"/>
          <w:sz w:val="28"/>
          <w:szCs w:val="28"/>
        </w:rPr>
        <w:t>月矿山委托第三方单位编制“建宁县均口镇修竹村半岭饰面用花岗岩矿绿色矿山实施方案（</w:t>
      </w:r>
      <w:r>
        <w:rPr>
          <w:rFonts w:ascii="仿宋" w:hAnsi="仿宋" w:eastAsia="仿宋" w:cs="仿宋"/>
          <w:sz w:val="28"/>
          <w:szCs w:val="28"/>
        </w:rPr>
        <w:t>2018—2020</w:t>
      </w:r>
      <w:r>
        <w:rPr>
          <w:rFonts w:hint="eastAsia" w:ascii="仿宋" w:hAnsi="仿宋" w:eastAsia="仿宋" w:cs="仿宋"/>
          <w:sz w:val="28"/>
          <w:szCs w:val="28"/>
        </w:rPr>
        <w:t>年）”，确定绿色矿山建设以</w:t>
      </w:r>
      <w:r>
        <w:rPr>
          <w:rFonts w:ascii="仿宋" w:hAnsi="仿宋" w:eastAsia="仿宋" w:cs="仿宋"/>
          <w:sz w:val="28"/>
          <w:szCs w:val="28"/>
        </w:rPr>
        <w:t>2017</w:t>
      </w:r>
      <w:r>
        <w:rPr>
          <w:rFonts w:hint="eastAsia" w:ascii="仿宋" w:hAnsi="仿宋" w:eastAsia="仿宋" w:cs="仿宋"/>
          <w:sz w:val="28"/>
          <w:szCs w:val="28"/>
        </w:rPr>
        <w:t>年为基期，</w:t>
      </w:r>
      <w:r>
        <w:rPr>
          <w:rFonts w:ascii="仿宋" w:hAnsi="仿宋" w:eastAsia="仿宋" w:cs="仿宋"/>
          <w:sz w:val="28"/>
          <w:szCs w:val="28"/>
        </w:rPr>
        <w:t>2018-2020</w:t>
      </w:r>
      <w:r>
        <w:rPr>
          <w:rFonts w:hint="eastAsia" w:ascii="仿宋" w:hAnsi="仿宋" w:eastAsia="仿宋" w:cs="仿宋"/>
          <w:sz w:val="28"/>
          <w:szCs w:val="28"/>
        </w:rPr>
        <w:t>为重点创建期，远景展望至</w:t>
      </w:r>
      <w:r>
        <w:rPr>
          <w:rFonts w:ascii="仿宋" w:hAnsi="仿宋" w:eastAsia="仿宋" w:cs="仿宋"/>
          <w:sz w:val="28"/>
          <w:szCs w:val="28"/>
        </w:rPr>
        <w:t>2025</w:t>
      </w:r>
      <w:r>
        <w:rPr>
          <w:rFonts w:hint="eastAsia" w:ascii="仿宋" w:hAnsi="仿宋" w:eastAsia="仿宋" w:cs="仿宋"/>
          <w:sz w:val="28"/>
          <w:szCs w:val="28"/>
        </w:rPr>
        <w:t>年。</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二、矿山绿色矿山建设取得的主要成果。</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（一）资源利用：该矿为集石材开采与加工于一体的花岗岩石材矿。石材矿体现资源利用水平的指标主要为荒料率。资料反眏该矿山近年荒料率为</w:t>
      </w:r>
      <w:r>
        <w:rPr>
          <w:rFonts w:ascii="仿宋" w:hAnsi="仿宋" w:eastAsia="仿宋" w:cs="仿宋"/>
          <w:sz w:val="28"/>
          <w:szCs w:val="28"/>
        </w:rPr>
        <w:t>35.23%</w:t>
      </w:r>
      <w:r>
        <w:rPr>
          <w:rFonts w:hint="eastAsia" w:ascii="仿宋" w:hAnsi="仿宋" w:eastAsia="仿宋" w:cs="仿宋"/>
          <w:sz w:val="28"/>
          <w:szCs w:val="28"/>
        </w:rPr>
        <w:t>，远超一般石材矿山要求荒料率</w:t>
      </w:r>
      <w:r>
        <w:rPr>
          <w:rFonts w:ascii="仿宋" w:hAnsi="仿宋" w:eastAsia="仿宋" w:cs="仿宋"/>
          <w:sz w:val="28"/>
          <w:szCs w:val="28"/>
        </w:rPr>
        <w:t>20%</w:t>
      </w:r>
      <w:r>
        <w:rPr>
          <w:rFonts w:hint="eastAsia" w:ascii="仿宋" w:hAnsi="仿宋" w:eastAsia="仿宋" w:cs="仿宋"/>
          <w:sz w:val="28"/>
          <w:szCs w:val="28"/>
        </w:rPr>
        <w:t>、国家绿色矿山要求</w:t>
      </w:r>
      <w:r>
        <w:rPr>
          <w:rFonts w:ascii="仿宋" w:hAnsi="仿宋" w:eastAsia="仿宋" w:cs="仿宋"/>
          <w:sz w:val="28"/>
          <w:szCs w:val="28"/>
        </w:rPr>
        <w:t>25%</w:t>
      </w:r>
      <w:r>
        <w:rPr>
          <w:rFonts w:hint="eastAsia" w:ascii="仿宋" w:hAnsi="仿宋" w:eastAsia="仿宋" w:cs="仿宋"/>
          <w:sz w:val="28"/>
          <w:szCs w:val="28"/>
        </w:rPr>
        <w:t>的指标，在全省石材矿山保持领先水平。</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（二）全面实现固体废弃物处置和资源化利用。石材矿山主要的固体废弃物是荒料以外的废石和覆盖层废土，该矿山早期的处理方法是建设弃渣场，堆存废石、废土。经过多年的建设，矿山早期开采堆存的</w:t>
      </w:r>
      <w:r>
        <w:rPr>
          <w:rFonts w:ascii="仿宋" w:hAnsi="仿宋" w:eastAsia="仿宋" w:cs="仿宋"/>
          <w:sz w:val="28"/>
          <w:szCs w:val="28"/>
        </w:rPr>
        <w:t>1</w:t>
      </w:r>
      <w:r>
        <w:rPr>
          <w:rFonts w:hint="eastAsia" w:ascii="仿宋" w:hAnsi="仿宋" w:eastAsia="仿宋" w:cs="仿宋"/>
          <w:sz w:val="28"/>
          <w:szCs w:val="28"/>
        </w:rPr>
        <w:t>号弃渣场已完成复垦与绿化，栽种的树木已经成林，与矿山周边的树林连成一片。矿山在新形成的</w:t>
      </w:r>
      <w:r>
        <w:rPr>
          <w:rFonts w:ascii="仿宋" w:hAnsi="仿宋" w:eastAsia="仿宋" w:cs="仿宋"/>
          <w:sz w:val="28"/>
          <w:szCs w:val="28"/>
        </w:rPr>
        <w:t>2</w:t>
      </w:r>
      <w:r>
        <w:rPr>
          <w:rFonts w:hint="eastAsia" w:ascii="仿宋" w:hAnsi="仿宋" w:eastAsia="仿宋" w:cs="仿宋"/>
          <w:sz w:val="28"/>
          <w:szCs w:val="28"/>
        </w:rPr>
        <w:t>号废石弃渣场投资</w:t>
      </w:r>
      <w:r>
        <w:rPr>
          <w:rFonts w:ascii="仿宋" w:hAnsi="仿宋" w:eastAsia="仿宋" w:cs="仿宋"/>
          <w:sz w:val="28"/>
          <w:szCs w:val="28"/>
        </w:rPr>
        <w:t>2000</w:t>
      </w:r>
      <w:r>
        <w:rPr>
          <w:rFonts w:hint="eastAsia" w:ascii="仿宋" w:hAnsi="仿宋" w:eastAsia="仿宋" w:cs="仿宋"/>
          <w:sz w:val="28"/>
          <w:szCs w:val="28"/>
        </w:rPr>
        <w:t>余万元建设碎石加工场，生产机制石子骨料。矿山开采过程中产生的泥浆则经沉淀池处理，脱水干化后制成泥粉。石子与泥粉均外售。该矿已成为全省首个固体废弃物</w:t>
      </w:r>
      <w:r>
        <w:rPr>
          <w:rFonts w:ascii="仿宋" w:hAnsi="仿宋" w:eastAsia="仿宋" w:cs="仿宋"/>
          <w:sz w:val="28"/>
          <w:szCs w:val="28"/>
        </w:rPr>
        <w:t>100%</w:t>
      </w:r>
      <w:r>
        <w:rPr>
          <w:rFonts w:hint="eastAsia" w:ascii="仿宋" w:hAnsi="仿宋" w:eastAsia="仿宋" w:cs="仿宋"/>
          <w:sz w:val="28"/>
          <w:szCs w:val="28"/>
        </w:rPr>
        <w:t>资源化利用的石材矿山。</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（三）矿山注重科技投入，不断推进设备更新，实现产业升级，提高机械化程度，矿山荒料开采、使用的设备已达到省内领先水平。</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（四）矿山生活区、生产区布置合理，自建矿山水泥路长达</w:t>
      </w:r>
      <w:r>
        <w:rPr>
          <w:rFonts w:ascii="仿宋" w:hAnsi="仿宋" w:eastAsia="仿宋" w:cs="仿宋"/>
          <w:sz w:val="28"/>
          <w:szCs w:val="28"/>
        </w:rPr>
        <w:t>6.8</w:t>
      </w:r>
      <w:r>
        <w:rPr>
          <w:rFonts w:hint="eastAsia" w:ascii="仿宋" w:hAnsi="仿宋" w:eastAsia="仿宋" w:cs="仿宋"/>
          <w:sz w:val="28"/>
          <w:szCs w:val="28"/>
        </w:rPr>
        <w:t>公里。道路干净、宽敞、整洁。矿山采场按矿山公园的要求建设，先后建成室内游泳池、观光木栈道、观景平台、二十四孝石像道等，园林式矿山景观已基本形成，推进矿山企业向旅游度假产业的转型升级。</w:t>
      </w:r>
      <w:r>
        <w:rPr>
          <w:rFonts w:ascii="仿宋" w:hAnsi="仿宋" w:eastAsia="仿宋" w:cs="仿宋"/>
          <w:sz w:val="28"/>
          <w:szCs w:val="28"/>
        </w:rPr>
        <w:t xml:space="preserve"> </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（五）矿山注重企业管理和企业形象建设，积极参与村、镇公共亊务建设，多次组织开展捐款、扶贫、成立基金会等活动，与驻地村民关糸和谐，未发生过群体性事件。</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三、富强石材有限公司提交的自评估报告基本反映了该矿山绿色矿山建设的情况和取得的成果，并提供了相关佐证资料。在核查中未发现与之相悖的亊实、数据、材料。</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四、存在问题：</w:t>
      </w:r>
    </w:p>
    <w:p>
      <w:pPr>
        <w:spacing w:line="7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、矿山在绿化树种搭配方面还有进一步提升空间。</w:t>
      </w:r>
    </w:p>
    <w:p>
      <w:pPr>
        <w:spacing w:line="7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、作为矿山开采利用延伸部分的废石加工场有待进一步完善。</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五、核查结论：专家组对照国家砂石行业绿色矿山建设要求逐项考评，经专家自主评分，该矿山绿色矿山建设得分值为</w:t>
      </w:r>
      <w:r>
        <w:rPr>
          <w:rFonts w:ascii="仿宋" w:hAnsi="仿宋" w:eastAsia="仿宋" w:cs="仿宋"/>
          <w:sz w:val="28"/>
          <w:szCs w:val="28"/>
        </w:rPr>
        <w:t>96</w:t>
      </w:r>
      <w:r>
        <w:rPr>
          <w:rFonts w:hint="eastAsia" w:ascii="仿宋" w:hAnsi="仿宋" w:eastAsia="仿宋" w:cs="仿宋"/>
          <w:sz w:val="28"/>
          <w:szCs w:val="28"/>
        </w:rPr>
        <w:t>分，达到绿色矿山要求，对全省石材矿山绿色矿山建设具有典型示范作用。本会对该矿提交的自评估报告予以核査认可，同意将本核查意见作为该矿申报国家绿色矿山的材料一并上报。</w:t>
      </w:r>
    </w:p>
    <w:p>
      <w:pPr>
        <w:spacing w:line="700" w:lineRule="exact"/>
        <w:ind w:firstLine="560" w:firstLineChars="200"/>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福建省富强石材有限公司建宁均口半岭饰面花岗岩矿</w:t>
      </w:r>
    </w:p>
    <w:p>
      <w:pPr>
        <w:spacing w:line="700" w:lineRule="exact"/>
        <w:ind w:firstLine="1680" w:firstLineChars="600"/>
        <w:rPr>
          <w:rFonts w:ascii="仿宋" w:hAnsi="仿宋" w:eastAsia="仿宋" w:cs="仿宋"/>
          <w:sz w:val="28"/>
          <w:szCs w:val="28"/>
        </w:rPr>
      </w:pPr>
      <w:r>
        <w:rPr>
          <w:rFonts w:hint="eastAsia" w:ascii="仿宋" w:hAnsi="仿宋" w:eastAsia="仿宋" w:cs="仿宋"/>
          <w:sz w:val="28"/>
          <w:szCs w:val="28"/>
        </w:rPr>
        <w:t>绿色矿山建设评分表</w:t>
      </w:r>
    </w:p>
    <w:p>
      <w:pPr>
        <w:keepNext w:val="0"/>
        <w:keepLines w:val="0"/>
        <w:pageBreakBefore w:val="0"/>
        <w:widowControl w:val="0"/>
        <w:numPr>
          <w:numId w:val="0"/>
        </w:numPr>
        <w:kinsoku/>
        <w:wordWrap/>
        <w:overflowPunct/>
        <w:topLinePunct w:val="0"/>
        <w:autoSpaceDE/>
        <w:autoSpaceDN/>
        <w:bidi w:val="0"/>
        <w:adjustRightInd/>
        <w:snapToGrid/>
        <w:spacing w:line="700" w:lineRule="exact"/>
        <w:ind w:firstLine="1400" w:firstLineChars="500"/>
        <w:textAlignment w:val="auto"/>
        <w:outlineLvl w:val="9"/>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福建省富强石材有限公司建宁均口半岭饰面花岗岩矿绿色矿山</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680" w:firstLineChars="600"/>
        <w:textAlignment w:val="auto"/>
        <w:outlineLvl w:val="9"/>
        <w:rPr>
          <w:rFonts w:hint="eastAsia" w:ascii="仿宋" w:hAnsi="仿宋" w:eastAsia="仿宋" w:cs="仿宋"/>
          <w:sz w:val="28"/>
          <w:szCs w:val="28"/>
        </w:rPr>
      </w:pPr>
      <w:r>
        <w:rPr>
          <w:rFonts w:hint="eastAsia" w:ascii="仿宋" w:hAnsi="仿宋" w:eastAsia="仿宋" w:cs="仿宋"/>
          <w:sz w:val="28"/>
          <w:szCs w:val="28"/>
        </w:rPr>
        <w:t>建设核查专家组名单</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1680" w:firstLineChars="600"/>
        <w:textAlignment w:val="auto"/>
        <w:outlineLvl w:val="9"/>
        <w:rPr>
          <w:rFonts w:hint="eastAsia" w:ascii="仿宋" w:hAnsi="仿宋" w:eastAsia="仿宋" w:cs="仿宋"/>
          <w:sz w:val="28"/>
          <w:szCs w:val="28"/>
        </w:rPr>
      </w:pPr>
    </w:p>
    <w:p>
      <w:pPr>
        <w:spacing w:line="700" w:lineRule="exac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福建省矿业协会</w:t>
      </w:r>
    </w:p>
    <w:p>
      <w:pPr>
        <w:spacing w:line="700" w:lineRule="exact"/>
        <w:rPr>
          <w:rFonts w:hint="eastAsia" w:ascii="仿宋" w:hAnsi="仿宋" w:eastAsia="仿宋" w:cs="仿宋"/>
          <w:sz w:val="28"/>
          <w:szCs w:val="28"/>
        </w:rPr>
      </w:pPr>
      <w:r>
        <w:rPr>
          <w:rFonts w:ascii="仿宋" w:hAnsi="仿宋" w:eastAsia="仿宋" w:cs="仿宋"/>
          <w:sz w:val="28"/>
          <w:szCs w:val="28"/>
        </w:rPr>
        <w:t xml:space="preserve">                                              2018</w:t>
      </w:r>
      <w:r>
        <w:rPr>
          <w:rFonts w:hint="eastAsia" w:ascii="仿宋" w:hAnsi="仿宋" w:eastAsia="仿宋" w:cs="仿宋"/>
          <w:sz w:val="28"/>
          <w:szCs w:val="28"/>
        </w:rPr>
        <w:t>年</w:t>
      </w:r>
      <w:r>
        <w:rPr>
          <w:rFonts w:ascii="仿宋" w:hAnsi="仿宋" w:eastAsia="仿宋" w:cs="仿宋"/>
          <w:sz w:val="28"/>
          <w:szCs w:val="28"/>
        </w:rPr>
        <w:t>11</w:t>
      </w:r>
      <w:r>
        <w:rPr>
          <w:rFonts w:hint="eastAsia" w:ascii="仿宋" w:hAnsi="仿宋" w:eastAsia="仿宋" w:cs="仿宋"/>
          <w:sz w:val="28"/>
          <w:szCs w:val="28"/>
        </w:rPr>
        <w:t>月</w:t>
      </w:r>
      <w:r>
        <w:rPr>
          <w:rFonts w:ascii="仿宋" w:hAnsi="仿宋" w:eastAsia="仿宋" w:cs="仿宋"/>
          <w:sz w:val="28"/>
          <w:szCs w:val="28"/>
        </w:rPr>
        <w:t>12</w:t>
      </w:r>
      <w:r>
        <w:rPr>
          <w:rFonts w:hint="eastAsia" w:ascii="仿宋" w:hAnsi="仿宋" w:eastAsia="仿宋" w:cs="仿宋"/>
          <w:sz w:val="28"/>
          <w:szCs w:val="28"/>
        </w:rPr>
        <w:t>日</w:t>
      </w:r>
    </w:p>
    <w:p>
      <w:pPr>
        <w:spacing w:line="660" w:lineRule="exact"/>
        <w:jc w:val="left"/>
        <w:rPr>
          <w:rFonts w:hint="eastAsia" w:ascii="宋体" w:hAnsi="宋体" w:cs="宋体"/>
          <w:b/>
          <w:bCs/>
          <w:sz w:val="44"/>
          <w:szCs w:val="44"/>
          <w:lang w:val="en-US" w:eastAsia="zh-CN"/>
        </w:rPr>
      </w:pPr>
      <w:r>
        <w:rPr>
          <w:rFonts w:hint="eastAsia" w:ascii="仿宋" w:hAnsi="仿宋" w:eastAsia="仿宋" w:cs="仿宋"/>
          <w:sz w:val="28"/>
          <w:szCs w:val="28"/>
        </w:rPr>
        <w:br w:type="page"/>
      </w: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r>
        <w:rPr>
          <w:rFonts w:hint="eastAsia" w:ascii="宋体" w:hAnsi="宋体" w:cs="宋体"/>
          <w:b/>
          <w:bCs/>
          <w:sz w:val="44"/>
          <w:szCs w:val="44"/>
          <w:lang w:val="en-US" w:eastAsia="zh-CN"/>
        </w:rPr>
        <w:t xml:space="preserve"> </w:t>
      </w:r>
    </w:p>
    <w:p>
      <w:pPr>
        <w:spacing w:line="660" w:lineRule="exact"/>
        <w:jc w:val="center"/>
        <w:rPr>
          <w:rFonts w:hint="eastAsia" w:ascii="宋体" w:hAnsi="宋体" w:cs="宋体"/>
          <w:b/>
          <w:bCs/>
          <w:sz w:val="36"/>
          <w:szCs w:val="36"/>
          <w:lang w:eastAsia="zh-CN"/>
        </w:rPr>
      </w:pPr>
      <w:r>
        <w:rPr>
          <w:rFonts w:hint="eastAsia" w:ascii="宋体" w:hAnsi="宋体" w:cs="宋体"/>
          <w:b/>
          <w:bCs/>
          <w:sz w:val="36"/>
          <w:szCs w:val="36"/>
          <w:lang w:eastAsia="zh-CN"/>
        </w:rPr>
        <w:t>福建</w:t>
      </w:r>
      <w:r>
        <w:rPr>
          <w:rFonts w:hint="eastAsia" w:ascii="宋体" w:hAnsi="宋体" w:eastAsia="宋体" w:cs="宋体"/>
          <w:b/>
          <w:bCs/>
          <w:sz w:val="36"/>
          <w:szCs w:val="36"/>
        </w:rPr>
        <w:t>省</w:t>
      </w:r>
      <w:r>
        <w:rPr>
          <w:rFonts w:hint="eastAsia" w:ascii="宋体" w:hAnsi="宋体" w:cs="宋体"/>
          <w:b/>
          <w:bCs/>
          <w:sz w:val="36"/>
          <w:szCs w:val="36"/>
          <w:lang w:eastAsia="zh-CN"/>
        </w:rPr>
        <w:t>富强石材有限公司建宁均口半岭饰面花岗岩矿</w:t>
      </w:r>
    </w:p>
    <w:p>
      <w:pPr>
        <w:spacing w:line="660" w:lineRule="exact"/>
        <w:jc w:val="center"/>
        <w:rPr>
          <w:rFonts w:hint="eastAsia" w:ascii="宋体" w:hAnsi="宋体" w:cs="宋体"/>
          <w:b/>
          <w:bCs/>
          <w:sz w:val="44"/>
          <w:szCs w:val="44"/>
          <w:lang w:val="en-US" w:eastAsia="zh-CN"/>
        </w:rPr>
      </w:pPr>
      <w:r>
        <w:rPr>
          <w:rFonts w:hint="eastAsia" w:ascii="宋体" w:hAnsi="宋体" w:cs="宋体"/>
          <w:b/>
          <w:bCs/>
          <w:sz w:val="36"/>
          <w:szCs w:val="36"/>
          <w:lang w:eastAsia="zh-CN"/>
        </w:rPr>
        <w:t>绿色矿山评分表</w:t>
      </w:r>
    </w:p>
    <w:p>
      <w:pPr>
        <w:spacing w:line="240" w:lineRule="exact"/>
        <w:jc w:val="center"/>
        <w:rPr>
          <w:rFonts w:ascii="方正大标宋简体" w:eastAsia="方正大标宋简体"/>
          <w:sz w:val="44"/>
          <w:szCs w:val="44"/>
        </w:rPr>
      </w:pPr>
    </w:p>
    <w:tbl>
      <w:tblPr>
        <w:tblStyle w:val="6"/>
        <w:tblW w:w="963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6"/>
        <w:gridCol w:w="575"/>
        <w:gridCol w:w="5050"/>
        <w:gridCol w:w="960"/>
        <w:gridCol w:w="1046"/>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blHeader/>
          <w:jc w:val="center"/>
        </w:trPr>
        <w:tc>
          <w:tcPr>
            <w:tcW w:w="996"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05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评  分  内  容</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基本分值</w:t>
            </w:r>
          </w:p>
        </w:tc>
        <w:tc>
          <w:tcPr>
            <w:tcW w:w="1046" w:type="dxa"/>
            <w:shd w:val="clear" w:color="auto" w:fill="FFFFFF"/>
            <w:vAlign w:val="center"/>
          </w:tcPr>
          <w:p>
            <w:pPr>
              <w:spacing w:line="36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评分</w:t>
            </w:r>
            <w:r>
              <w:rPr>
                <w:rFonts w:hint="eastAsia" w:ascii="宋体" w:hAnsi="宋体" w:cs="宋体"/>
                <w:kern w:val="0"/>
                <w:sz w:val="21"/>
                <w:szCs w:val="21"/>
                <w:lang w:eastAsia="zh-CN"/>
              </w:rPr>
              <w:t>参</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考依据</w:t>
            </w: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专家评分值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96"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505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100分</w:t>
            </w:r>
          </w:p>
        </w:tc>
        <w:tc>
          <w:tcPr>
            <w:tcW w:w="1046"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依法</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办矿</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证照俱全：《工商营业执照》、《采矿许可证》、《安全生产许可证》等。</w:t>
            </w:r>
          </w:p>
        </w:tc>
        <w:tc>
          <w:tcPr>
            <w:tcW w:w="960" w:type="dxa"/>
            <w:vMerge w:val="restart"/>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作为一票否决指标，凡不符合条件的，取消验收资格</w:t>
            </w:r>
          </w:p>
        </w:tc>
        <w:tc>
          <w:tcPr>
            <w:tcW w:w="104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查阅台帐资料</w:t>
            </w:r>
          </w:p>
        </w:tc>
        <w:tc>
          <w:tcPr>
            <w:tcW w:w="1005"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default" w:ascii="Arial" w:hAnsi="Arial" w:eastAsia="宋体" w:cs="Arial"/>
                <w:kern w:val="0"/>
                <w:sz w:val="36"/>
                <w:szCs w:val="36"/>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96" w:type="dxa"/>
            <w:vMerge w:val="continue"/>
            <w:shd w:val="clear" w:color="auto" w:fill="auto"/>
            <w:vAlign w:val="center"/>
          </w:tcPr>
          <w:p>
            <w:pPr>
              <w:widowControl/>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default" w:ascii="方正书宋简体" w:hAnsi="方正书宋简体" w:eastAsia="方正书宋简体" w:cs="方正书宋简体"/>
                <w:b w:val="0"/>
                <w:bCs/>
                <w:i w:val="0"/>
                <w:color w:val="000000"/>
                <w:kern w:val="0"/>
                <w:sz w:val="22"/>
                <w:szCs w:val="22"/>
                <w:u w:val="none"/>
                <w:lang w:val="en-US" w:eastAsia="zh-CN" w:bidi="ar-SA"/>
              </w:rPr>
              <w:t>自觉遵守国家有关法律、法规的规定，诚信守法，依法经营</w:t>
            </w:r>
            <w:r>
              <w:rPr>
                <w:rFonts w:hint="eastAsia" w:ascii="方正书宋简体" w:hAnsi="方正书宋简体" w:eastAsia="方正书宋简体" w:cs="方正书宋简体"/>
                <w:b w:val="0"/>
                <w:bCs/>
                <w:i w:val="0"/>
                <w:color w:val="000000"/>
                <w:kern w:val="0"/>
                <w:sz w:val="22"/>
                <w:szCs w:val="22"/>
                <w:u w:val="none"/>
                <w:lang w:val="en-US" w:eastAsia="zh-CN" w:bidi="ar-SA"/>
              </w:rPr>
              <w:t>。</w:t>
            </w:r>
          </w:p>
        </w:tc>
        <w:tc>
          <w:tcPr>
            <w:tcW w:w="960" w:type="dxa"/>
            <w:vMerge w:val="continue"/>
            <w:vAlign w:val="center"/>
          </w:tcPr>
          <w:p>
            <w:pPr>
              <w:widowControl/>
              <w:spacing w:line="360" w:lineRule="exact"/>
              <w:jc w:val="left"/>
              <w:rPr>
                <w:rFonts w:hint="eastAsia" w:ascii="宋体" w:hAnsi="宋体" w:eastAsia="宋体" w:cs="宋体"/>
                <w:kern w:val="0"/>
                <w:sz w:val="21"/>
                <w:szCs w:val="21"/>
              </w:rPr>
            </w:pPr>
          </w:p>
        </w:tc>
        <w:tc>
          <w:tcPr>
            <w:tcW w:w="1046" w:type="dxa"/>
            <w:vMerge w:val="continue"/>
            <w:vAlign w:val="center"/>
          </w:tcPr>
          <w:p>
            <w:pPr>
              <w:widowControl/>
              <w:spacing w:line="360" w:lineRule="exact"/>
              <w:jc w:val="left"/>
              <w:rPr>
                <w:rFonts w:hint="eastAsia" w:ascii="宋体" w:hAnsi="宋体" w:eastAsia="宋体" w:cs="宋体"/>
                <w:kern w:val="0"/>
                <w:sz w:val="21"/>
                <w:szCs w:val="21"/>
              </w:rPr>
            </w:pPr>
          </w:p>
        </w:tc>
        <w:tc>
          <w:tcPr>
            <w:tcW w:w="1005" w:type="dxa"/>
            <w:vMerge w:val="continue"/>
            <w:vAlign w:val="center"/>
          </w:tcPr>
          <w:p>
            <w:pPr>
              <w:widowControl/>
              <w:spacing w:line="360" w:lineRule="exact"/>
              <w:jc w:val="left"/>
              <w:rPr>
                <w:rFonts w:hint="eastAsia" w:ascii="宋体" w:hAnsi="宋体" w:eastAsia="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jc w:val="center"/>
        </w:trPr>
        <w:tc>
          <w:tcPr>
            <w:tcW w:w="996" w:type="dxa"/>
            <w:vMerge w:val="continue"/>
            <w:shd w:val="clear" w:color="auto" w:fill="auto"/>
            <w:vAlign w:val="center"/>
          </w:tcPr>
          <w:p>
            <w:pPr>
              <w:widowControl/>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方正书宋简体" w:hAnsi="方正书宋简体" w:eastAsia="方正书宋简体" w:cs="方正书宋简体"/>
                <w:b w:val="0"/>
                <w:bCs/>
                <w:i w:val="0"/>
                <w:color w:val="000000"/>
                <w:kern w:val="0"/>
                <w:sz w:val="22"/>
                <w:szCs w:val="22"/>
                <w:u w:val="none"/>
                <w:lang w:val="en-US" w:eastAsia="zh-CN" w:bidi="ar-SA"/>
              </w:rPr>
              <w:t>3</w:t>
            </w:r>
            <w:r>
              <w:rPr>
                <w:rFonts w:hint="default" w:ascii="方正书宋简体" w:hAnsi="方正书宋简体" w:eastAsia="方正书宋简体" w:cs="方正书宋简体"/>
                <w:b w:val="0"/>
                <w:bCs/>
                <w:i w:val="0"/>
                <w:color w:val="000000"/>
                <w:kern w:val="0"/>
                <w:sz w:val="22"/>
                <w:szCs w:val="22"/>
                <w:u w:val="none"/>
                <w:lang w:val="en-US" w:eastAsia="zh-CN" w:bidi="ar-SA"/>
              </w:rPr>
              <w:t>年内</w:t>
            </w:r>
            <w:r>
              <w:rPr>
                <w:rFonts w:hint="eastAsia" w:ascii="方正书宋简体" w:hAnsi="方正书宋简体" w:eastAsia="方正书宋简体" w:cs="方正书宋简体"/>
                <w:b w:val="0"/>
                <w:bCs/>
                <w:i w:val="0"/>
                <w:color w:val="000000"/>
                <w:kern w:val="0"/>
                <w:sz w:val="22"/>
                <w:szCs w:val="22"/>
                <w:u w:val="none"/>
                <w:lang w:val="en-US" w:eastAsia="zh-CN" w:bidi="ar-SA"/>
              </w:rPr>
              <w:t>未发生较大以上安全生产与环保事故；未被列入矿业权人勘查开采信息公示异常名录（经改正后移除的除外）或严重违法名单；在土地矿产年度卫片执法检查等工作中，未发现存在违法违规行为，或整改已到位。</w:t>
            </w:r>
          </w:p>
        </w:tc>
        <w:tc>
          <w:tcPr>
            <w:tcW w:w="960" w:type="dxa"/>
            <w:vMerge w:val="continue"/>
            <w:vAlign w:val="center"/>
          </w:tcPr>
          <w:p>
            <w:pPr>
              <w:widowControl/>
              <w:spacing w:line="360" w:lineRule="exact"/>
              <w:jc w:val="left"/>
              <w:rPr>
                <w:rFonts w:hint="eastAsia" w:ascii="宋体" w:hAnsi="宋体" w:eastAsia="宋体" w:cs="宋体"/>
                <w:kern w:val="0"/>
                <w:sz w:val="21"/>
                <w:szCs w:val="21"/>
              </w:rPr>
            </w:pPr>
          </w:p>
        </w:tc>
        <w:tc>
          <w:tcPr>
            <w:tcW w:w="1046" w:type="dxa"/>
            <w:vMerge w:val="continue"/>
            <w:vAlign w:val="center"/>
          </w:tcPr>
          <w:p>
            <w:pPr>
              <w:widowControl/>
              <w:spacing w:line="360" w:lineRule="exact"/>
              <w:jc w:val="left"/>
              <w:rPr>
                <w:rFonts w:hint="eastAsia" w:ascii="宋体" w:hAnsi="宋体" w:eastAsia="宋体" w:cs="宋体"/>
                <w:kern w:val="0"/>
                <w:sz w:val="21"/>
                <w:szCs w:val="21"/>
              </w:rPr>
            </w:pPr>
          </w:p>
        </w:tc>
        <w:tc>
          <w:tcPr>
            <w:tcW w:w="1005" w:type="dxa"/>
            <w:vMerge w:val="continue"/>
            <w:vAlign w:val="center"/>
          </w:tcPr>
          <w:p>
            <w:pPr>
              <w:widowControl/>
              <w:spacing w:line="360" w:lineRule="exact"/>
              <w:jc w:val="left"/>
              <w:rPr>
                <w:rFonts w:hint="eastAsia" w:ascii="宋体" w:hAnsi="宋体" w:eastAsia="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996" w:type="dxa"/>
            <w:vMerge w:val="continue"/>
            <w:shd w:val="clear" w:color="auto" w:fill="auto"/>
            <w:vAlign w:val="center"/>
          </w:tcPr>
          <w:p>
            <w:pPr>
              <w:widowControl/>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default" w:ascii="方正书宋简体" w:hAnsi="方正书宋简体" w:eastAsia="方正书宋简体" w:cs="方正书宋简体"/>
                <w:b w:val="0"/>
                <w:bCs/>
                <w:i w:val="0"/>
                <w:color w:val="000000"/>
                <w:kern w:val="0"/>
                <w:sz w:val="22"/>
                <w:szCs w:val="22"/>
                <w:u w:val="none"/>
                <w:lang w:val="en-US" w:eastAsia="zh-CN" w:bidi="ar-SA"/>
              </w:rPr>
              <w:t>依法纳税、依规缴费，设立了矿山环境治理恢复基金会计科目，并按比例提取费用。编制</w:t>
            </w:r>
            <w:r>
              <w:rPr>
                <w:rFonts w:hint="eastAsia" w:ascii="方正书宋简体" w:hAnsi="方正书宋简体" w:eastAsia="方正书宋简体" w:cs="方正书宋简体"/>
                <w:b w:val="0"/>
                <w:bCs/>
                <w:i w:val="0"/>
                <w:color w:val="000000"/>
                <w:kern w:val="0"/>
                <w:sz w:val="22"/>
                <w:szCs w:val="22"/>
                <w:u w:val="none"/>
                <w:lang w:val="en-US" w:eastAsia="zh-CN" w:bidi="ar-SA"/>
              </w:rPr>
              <w:t>矿山地质环境保护与土地复垦方案</w:t>
            </w:r>
            <w:r>
              <w:rPr>
                <w:rFonts w:hint="default" w:ascii="方正书宋简体" w:hAnsi="方正书宋简体" w:eastAsia="方正书宋简体" w:cs="方正书宋简体"/>
                <w:b w:val="0"/>
                <w:bCs/>
                <w:i w:val="0"/>
                <w:color w:val="000000"/>
                <w:kern w:val="0"/>
                <w:sz w:val="22"/>
                <w:szCs w:val="22"/>
                <w:u w:val="none"/>
                <w:lang w:val="en-US" w:eastAsia="zh-CN" w:bidi="ar-SA"/>
              </w:rPr>
              <w:t>，落实土地复垦费用。</w:t>
            </w:r>
          </w:p>
        </w:tc>
        <w:tc>
          <w:tcPr>
            <w:tcW w:w="960" w:type="dxa"/>
            <w:vMerge w:val="continue"/>
            <w:vAlign w:val="center"/>
          </w:tcPr>
          <w:p>
            <w:pPr>
              <w:widowControl/>
              <w:spacing w:line="360" w:lineRule="exact"/>
              <w:jc w:val="left"/>
              <w:rPr>
                <w:rFonts w:hint="eastAsia" w:ascii="宋体" w:hAnsi="宋体" w:eastAsia="宋体" w:cs="宋体"/>
                <w:kern w:val="0"/>
                <w:sz w:val="21"/>
                <w:szCs w:val="21"/>
              </w:rPr>
            </w:pPr>
          </w:p>
        </w:tc>
        <w:tc>
          <w:tcPr>
            <w:tcW w:w="1046" w:type="dxa"/>
            <w:vMerge w:val="continue"/>
            <w:vAlign w:val="center"/>
          </w:tcPr>
          <w:p>
            <w:pPr>
              <w:widowControl/>
              <w:spacing w:line="360" w:lineRule="exact"/>
              <w:jc w:val="left"/>
              <w:rPr>
                <w:rFonts w:hint="eastAsia" w:ascii="宋体" w:hAnsi="宋体" w:eastAsia="宋体" w:cs="宋体"/>
                <w:kern w:val="0"/>
                <w:sz w:val="21"/>
                <w:szCs w:val="21"/>
              </w:rPr>
            </w:pPr>
          </w:p>
        </w:tc>
        <w:tc>
          <w:tcPr>
            <w:tcW w:w="1005" w:type="dxa"/>
            <w:vMerge w:val="continue"/>
            <w:vAlign w:val="center"/>
          </w:tcPr>
          <w:p>
            <w:pPr>
              <w:widowControl/>
              <w:spacing w:line="360" w:lineRule="exact"/>
              <w:jc w:val="left"/>
              <w:rPr>
                <w:rFonts w:hint="eastAsia" w:ascii="宋体" w:hAnsi="宋体" w:eastAsia="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996" w:type="dxa"/>
            <w:vMerge w:val="restart"/>
            <w:shd w:val="clear" w:color="auto" w:fill="FFFFFF"/>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资源</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利用</w:t>
            </w:r>
          </w:p>
          <w:p>
            <w:pPr>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与</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开采</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方式</w:t>
            </w:r>
          </w:p>
          <w:p>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22</w:t>
            </w:r>
            <w:r>
              <w:rPr>
                <w:rFonts w:hint="eastAsia" w:ascii="宋体" w:hAnsi="宋体" w:eastAsia="宋体" w:cs="宋体"/>
                <w:kern w:val="0"/>
                <w:sz w:val="21"/>
                <w:szCs w:val="21"/>
              </w:rPr>
              <w:t>分）　</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“采矿回采率”和“资源利用率”达到开发利用方案指标要求，饰面材荒料率大于</w:t>
            </w:r>
            <w:r>
              <w:rPr>
                <w:rFonts w:hint="eastAsia" w:ascii="宋体" w:hAnsi="宋体" w:cs="宋体"/>
                <w:kern w:val="0"/>
                <w:sz w:val="21"/>
                <w:szCs w:val="21"/>
                <w:lang w:val="en-US" w:eastAsia="zh-CN"/>
              </w:rPr>
              <w:t>25</w:t>
            </w:r>
            <w:r>
              <w:rPr>
                <w:rFonts w:hint="eastAsia" w:ascii="宋体" w:hAnsi="宋体" w:eastAsia="宋体" w:cs="宋体"/>
                <w:kern w:val="0"/>
                <w:sz w:val="21"/>
                <w:szCs w:val="21"/>
              </w:rPr>
              <w:t>%。剥离物、石粉、切割角料的处置率达到100％。</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rPr>
              <w:t>分</w:t>
            </w:r>
          </w:p>
        </w:tc>
        <w:tc>
          <w:tcPr>
            <w:tcW w:w="1046" w:type="dxa"/>
            <w:vMerge w:val="restart"/>
            <w:shd w:val="clear" w:color="auto" w:fill="FFFFFF"/>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查资料，</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　</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严格执行矿产资源开发利用方案和开采设计方案：石料矿山实行自上而下分水平台阶式开采和深孔爆破；饰面材采用采用圆盘锯、绳锯等装备开采。</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046" w:type="dxa"/>
            <w:vMerge w:val="continue"/>
            <w:shd w:val="clear" w:color="auto" w:fill="FFFFFF"/>
            <w:vAlign w:val="center"/>
          </w:tcPr>
          <w:p>
            <w:pPr>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矿山开采使用先进的机械化作业方式。</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p>
        </w:tc>
        <w:tc>
          <w:tcPr>
            <w:tcW w:w="1046" w:type="dxa"/>
            <w:vMerge w:val="continue"/>
            <w:shd w:val="clear" w:color="auto" w:fill="FFFFFF"/>
            <w:vAlign w:val="center"/>
          </w:tcPr>
          <w:p>
            <w:pPr>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矿区按照《开发利用方案》，合理布局基础设施和加工设备，矿石废渣堆放有序。</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046" w:type="dxa"/>
            <w:vMerge w:val="continue"/>
            <w:shd w:val="clear" w:color="auto" w:fill="FFFFFF"/>
            <w:vAlign w:val="center"/>
          </w:tcPr>
          <w:p>
            <w:pPr>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生态</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修复</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（12分）</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露天采场采剥合理，</w:t>
            </w:r>
            <w:r>
              <w:rPr>
                <w:rFonts w:hint="eastAsia" w:ascii="宋体" w:hAnsi="宋体" w:cs="宋体"/>
                <w:kern w:val="0"/>
                <w:sz w:val="21"/>
                <w:szCs w:val="21"/>
                <w:lang w:eastAsia="zh-CN"/>
              </w:rPr>
              <w:t>开采面处理得当</w:t>
            </w:r>
            <w:r>
              <w:rPr>
                <w:rFonts w:hint="eastAsia" w:ascii="宋体" w:hAnsi="宋体" w:eastAsia="宋体" w:cs="宋体"/>
                <w:kern w:val="0"/>
                <w:sz w:val="21"/>
                <w:szCs w:val="21"/>
              </w:rPr>
              <w:t>，最大限度地减少水土流失。</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04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996" w:type="dxa"/>
            <w:vMerge w:val="continue"/>
            <w:shd w:val="clear" w:color="auto" w:fill="FFFFFF"/>
            <w:vAlign w:val="center"/>
          </w:tcPr>
          <w:p>
            <w:pPr>
              <w:widowControl/>
              <w:spacing w:line="360" w:lineRule="exact"/>
              <w:jc w:val="center"/>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实施边开采边复绿边治理，按照矿山地质环境治理恢复与土地复垦方案，采取有效措施</w:t>
            </w:r>
            <w:r>
              <w:rPr>
                <w:rFonts w:hint="eastAsia" w:ascii="宋体" w:hAnsi="宋体" w:cs="宋体"/>
                <w:kern w:val="0"/>
                <w:sz w:val="21"/>
                <w:szCs w:val="21"/>
                <w:lang w:eastAsia="zh-CN"/>
              </w:rPr>
              <w:t>按计划</w:t>
            </w:r>
            <w:r>
              <w:rPr>
                <w:rFonts w:hint="eastAsia" w:ascii="宋体" w:hAnsi="宋体" w:eastAsia="宋体" w:cs="宋体"/>
                <w:kern w:val="0"/>
                <w:sz w:val="21"/>
                <w:szCs w:val="21"/>
              </w:rPr>
              <w:t>复垦矿山土地、保护生态环境。</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5分</w:t>
            </w:r>
          </w:p>
        </w:tc>
        <w:tc>
          <w:tcPr>
            <w:tcW w:w="1046" w:type="dxa"/>
            <w:vMerge w:val="continue"/>
            <w:shd w:val="clear" w:color="auto" w:fill="FFFFFF"/>
            <w:vAlign w:val="center"/>
          </w:tcPr>
          <w:p>
            <w:pPr>
              <w:widowControl/>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996" w:type="dxa"/>
            <w:vMerge w:val="continue"/>
            <w:shd w:val="clear" w:color="auto" w:fill="FFFFFF"/>
            <w:vAlign w:val="center"/>
          </w:tcPr>
          <w:p>
            <w:pPr>
              <w:widowControl/>
              <w:spacing w:line="360" w:lineRule="exact"/>
              <w:jc w:val="center"/>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矿区</w:t>
            </w:r>
            <w:r>
              <w:rPr>
                <w:rFonts w:hint="eastAsia" w:ascii="宋体" w:hAnsi="宋体" w:cs="宋体"/>
                <w:kern w:val="0"/>
                <w:sz w:val="21"/>
                <w:szCs w:val="21"/>
                <w:lang w:eastAsia="zh-CN"/>
              </w:rPr>
              <w:t>绿化应与周边自然环境和景观相协调，绿化植物搭配合理，矿区绿化覆盖率达应绿化面积</w:t>
            </w:r>
            <w:r>
              <w:rPr>
                <w:rFonts w:hint="eastAsia" w:ascii="宋体" w:hAnsi="宋体" w:cs="宋体"/>
                <w:kern w:val="0"/>
                <w:sz w:val="21"/>
                <w:szCs w:val="21"/>
                <w:lang w:val="en-US" w:eastAsia="zh-CN"/>
              </w:rPr>
              <w:t>100%。</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3分</w:t>
            </w:r>
          </w:p>
        </w:tc>
        <w:tc>
          <w:tcPr>
            <w:tcW w:w="1046" w:type="dxa"/>
            <w:vMerge w:val="continue"/>
            <w:shd w:val="clear" w:color="auto" w:fill="FFFFFF"/>
            <w:vAlign w:val="center"/>
          </w:tcPr>
          <w:p>
            <w:pPr>
              <w:widowControl/>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3"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环境</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保护</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（30分）</w:t>
            </w: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rPr>
                <w:rFonts w:hint="eastAsia" w:ascii="宋体" w:hAnsi="宋体" w:eastAsia="宋体" w:cs="宋体"/>
                <w:kern w:val="0"/>
                <w:sz w:val="21"/>
                <w:szCs w:val="21"/>
              </w:rPr>
            </w:pPr>
          </w:p>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5050" w:type="dxa"/>
            <w:shd w:val="clear" w:color="auto" w:fill="FFFFFF"/>
            <w:vAlign w:val="center"/>
          </w:tcPr>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（一）粉尘治理</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1、穿孔作业采用湿法除尘或布袋式除尘抑尘措施；</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2、铲装或锯石切割作业有喷淋洒水等抑尘措施；</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3、破碎机组、振动筛分场所及皮带运输全封闭，安装效果好。</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4、破碎机排矿口安装喷淋或布袋除尘措施，卸矿、振动筛分和皮带出料口安装喷淋，抑尘效果好。</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5、采场、破碎加工场地和道路定时洒水、抑尘，粉尘排放达到相关要求。</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6分</w:t>
            </w:r>
          </w:p>
        </w:tc>
        <w:tc>
          <w:tcPr>
            <w:tcW w:w="104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查资料，</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查资料，</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5050" w:type="dxa"/>
            <w:shd w:val="clear" w:color="auto" w:fill="FFFFFF"/>
            <w:vAlign w:val="center"/>
          </w:tcPr>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（二）废水治理</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1、建设相匹配的废水沉淀池处理废水，且利用效果好；</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2、加工区周边建截水沟、沉砂池，雨水、废水引池处理；</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3、废水经泥沙分离机分离，废水循环利用；</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4、废水处理有科学处置方案。</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6分</w:t>
            </w:r>
          </w:p>
        </w:tc>
        <w:tc>
          <w:tcPr>
            <w:tcW w:w="104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14</w:t>
            </w:r>
          </w:p>
        </w:tc>
        <w:tc>
          <w:tcPr>
            <w:tcW w:w="5050" w:type="dxa"/>
            <w:shd w:val="clear" w:color="auto" w:fill="FFFFFF"/>
            <w:vAlign w:val="center"/>
          </w:tcPr>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（三）道路运输</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eastAsia="zh-CN"/>
              </w:rPr>
              <w:t>进入</w:t>
            </w:r>
            <w:r>
              <w:rPr>
                <w:rFonts w:hint="eastAsia" w:ascii="宋体" w:hAnsi="宋体" w:eastAsia="宋体" w:cs="宋体"/>
                <w:kern w:val="0"/>
                <w:sz w:val="21"/>
                <w:szCs w:val="21"/>
              </w:rPr>
              <w:t>矿山</w:t>
            </w:r>
            <w:r>
              <w:rPr>
                <w:rFonts w:hint="eastAsia" w:ascii="宋体" w:hAnsi="宋体" w:cs="宋体"/>
                <w:kern w:val="0"/>
                <w:sz w:val="21"/>
                <w:szCs w:val="21"/>
                <w:lang w:eastAsia="zh-CN"/>
              </w:rPr>
              <w:t>的</w:t>
            </w:r>
            <w:r>
              <w:rPr>
                <w:rFonts w:hint="eastAsia" w:ascii="宋体" w:hAnsi="宋体" w:eastAsia="宋体" w:cs="宋体"/>
                <w:kern w:val="0"/>
                <w:sz w:val="21"/>
                <w:szCs w:val="21"/>
              </w:rPr>
              <w:t>主运输道路全程硬化，路面有破损及时维修；</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2、出矿道路建设轮胎冲洗场，冲洗设施、沉砂池，正常运行；</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3、配备足够的洒水车，及时洒水保洁道路，路面清洁，无泥块、石渣、扬尘；</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4、车辆管理规范，车身印有矿山企业名称，无超载、超重、洒漏。</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6分</w:t>
            </w:r>
          </w:p>
        </w:tc>
        <w:tc>
          <w:tcPr>
            <w:tcW w:w="1046" w:type="dxa"/>
            <w:vMerge w:val="continue"/>
            <w:shd w:val="clear" w:color="auto" w:fill="FFFFFF"/>
            <w:vAlign w:val="center"/>
          </w:tcPr>
          <w:p>
            <w:pPr>
              <w:widowControl/>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34"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15</w:t>
            </w:r>
          </w:p>
        </w:tc>
        <w:tc>
          <w:tcPr>
            <w:tcW w:w="5050" w:type="dxa"/>
            <w:shd w:val="clear" w:color="auto" w:fill="FFFFFF"/>
            <w:vAlign w:val="center"/>
          </w:tcPr>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（四）噪声管理</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1、村庄周边种植绿化带降噪音；</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2、周边有居民区的，加强时段生产和运输噪声管理；</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3、破碎机组封闭、远离居民区，控制机组噪声；</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4、选用低噪声设备，在设备上加装阻尼材料、隔震材料、消声器等，噪声排放经治理后符合相关要求。</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6分        </w:t>
            </w:r>
          </w:p>
        </w:tc>
        <w:tc>
          <w:tcPr>
            <w:tcW w:w="104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16</w:t>
            </w:r>
          </w:p>
        </w:tc>
        <w:tc>
          <w:tcPr>
            <w:tcW w:w="5050" w:type="dxa"/>
            <w:shd w:val="clear" w:color="auto" w:fill="FFFFFF"/>
            <w:vAlign w:val="center"/>
          </w:tcPr>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（五）固废处置</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1、堆场设置规范，建有挡泥墙、截</w:t>
            </w:r>
            <w:r>
              <w:rPr>
                <w:rFonts w:hint="eastAsia" w:ascii="宋体" w:hAnsi="宋体" w:cs="宋体"/>
                <w:kern w:val="0"/>
                <w:sz w:val="21"/>
                <w:szCs w:val="21"/>
                <w:lang w:eastAsia="zh-CN"/>
              </w:rPr>
              <w:t>（排）</w:t>
            </w:r>
            <w:r>
              <w:rPr>
                <w:rFonts w:hint="eastAsia" w:ascii="宋体" w:hAnsi="宋体" w:eastAsia="宋体" w:cs="宋体"/>
                <w:kern w:val="0"/>
                <w:sz w:val="21"/>
                <w:szCs w:val="21"/>
              </w:rPr>
              <w:t>水沟和沉淀池；</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2、淤泥干化处置，出入库有台账登记、无害化处置；</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3、建立垃圾回收站，统一运送至乡镇垃圾中转站；</w:t>
            </w:r>
          </w:p>
          <w:p>
            <w:pPr>
              <w:widowControl/>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4、生活污水处理，建有公用厕所或进行无害化处理。</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6分</w:t>
            </w:r>
          </w:p>
        </w:tc>
        <w:tc>
          <w:tcPr>
            <w:tcW w:w="104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水土</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保持</w:t>
            </w:r>
          </w:p>
          <w:p>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（12分）　</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17</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开采区泥土剥离规范且严格执行水土保持方案。</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3分</w:t>
            </w:r>
          </w:p>
        </w:tc>
        <w:tc>
          <w:tcPr>
            <w:tcW w:w="1046" w:type="dxa"/>
            <w:vMerge w:val="restart"/>
            <w:shd w:val="clear" w:color="auto" w:fill="FFFFFF"/>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18</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开采区域建有截水沟和集水、处理池。</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3分</w:t>
            </w:r>
          </w:p>
        </w:tc>
        <w:tc>
          <w:tcPr>
            <w:tcW w:w="104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19</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加工区建有地表径流截水沟，并建有集水、处理池。</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3分</w:t>
            </w:r>
          </w:p>
        </w:tc>
        <w:tc>
          <w:tcPr>
            <w:tcW w:w="104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99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20</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固废堆场四周建有挡泥墙，同时建有截水沟和集水、处理池。</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3分</w:t>
            </w:r>
          </w:p>
        </w:tc>
        <w:tc>
          <w:tcPr>
            <w:tcW w:w="104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jc w:val="center"/>
        </w:trPr>
        <w:tc>
          <w:tcPr>
            <w:tcW w:w="996"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数字化矿山建设</w:t>
            </w:r>
          </w:p>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21</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1、建立实时监控系统，全矿区各功能区实现全覆盖。</w:t>
            </w:r>
          </w:p>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2、破碎加工实行智能化管理，各级机口有视频监控，实行原矿及料仓计量统计。</w:t>
            </w:r>
          </w:p>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3、采场及排土场边坡设置观测点，采用信息网络技术实时观测监控。</w:t>
            </w:r>
          </w:p>
          <w:p>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4、矿山企业经营、安全生产管理和设备控制的信息化。</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046" w:type="dxa"/>
            <w:shd w:val="clear" w:color="auto" w:fill="FFFFFF"/>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酌情评分</w:t>
            </w: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56"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企业</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管理　</w:t>
            </w:r>
          </w:p>
          <w:p>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（10分）　</w:t>
            </w:r>
          </w:p>
        </w:tc>
        <w:tc>
          <w:tcPr>
            <w:tcW w:w="575"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22</w:t>
            </w:r>
          </w:p>
        </w:tc>
        <w:tc>
          <w:tcPr>
            <w:tcW w:w="5050" w:type="dxa"/>
            <w:shd w:val="clear" w:color="auto" w:fill="FFFFFF"/>
            <w:vAlign w:val="center"/>
          </w:tcPr>
          <w:p>
            <w:pPr>
              <w:spacing w:line="360" w:lineRule="exact"/>
              <w:rPr>
                <w:rFonts w:hint="eastAsia" w:ascii="宋体" w:hAnsi="宋体" w:eastAsia="宋体" w:cs="宋体"/>
                <w:kern w:val="0"/>
                <w:sz w:val="21"/>
                <w:szCs w:val="21"/>
              </w:rPr>
            </w:pPr>
            <w:r>
              <w:rPr>
                <w:rFonts w:hint="eastAsia" w:ascii="宋体" w:hAnsi="宋体" w:eastAsia="宋体" w:cs="宋体"/>
                <w:sz w:val="21"/>
                <w:szCs w:val="21"/>
              </w:rPr>
              <w:t>企业矿区规划建设科学合理，矿区按生产区、加工区、生活区、办公区、固废处理区、运输区等功能区进行规划建设。</w:t>
            </w:r>
            <w:r>
              <w:rPr>
                <w:rFonts w:hint="eastAsia" w:ascii="宋体" w:hAnsi="宋体" w:eastAsia="宋体" w:cs="宋体"/>
                <w:kern w:val="0"/>
                <w:sz w:val="21"/>
                <w:szCs w:val="21"/>
              </w:rPr>
              <w:t>矿容矿貌整洁，秩序井然，做到洁化、绿化、美化。</w:t>
            </w:r>
          </w:p>
        </w:tc>
        <w:tc>
          <w:tcPr>
            <w:tcW w:w="960"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eastAsia="宋体" w:cs="宋体"/>
                <w:kern w:val="0"/>
                <w:sz w:val="21"/>
                <w:szCs w:val="21"/>
              </w:rPr>
              <w:t>4分</w:t>
            </w:r>
          </w:p>
        </w:tc>
        <w:tc>
          <w:tcPr>
            <w:tcW w:w="104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查资料，</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23</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sz w:val="21"/>
                <w:szCs w:val="21"/>
              </w:rPr>
              <w:t>矿区道路建设规范，主要运输道路</w:t>
            </w:r>
            <w:r>
              <w:rPr>
                <w:rFonts w:hint="eastAsia" w:ascii="宋体" w:hAnsi="宋体" w:cs="宋体"/>
                <w:sz w:val="21"/>
                <w:szCs w:val="21"/>
                <w:lang w:eastAsia="zh-CN"/>
              </w:rPr>
              <w:t>路面平整</w:t>
            </w:r>
            <w:r>
              <w:rPr>
                <w:rFonts w:hint="eastAsia" w:ascii="宋体" w:hAnsi="宋体" w:eastAsia="宋体" w:cs="宋体"/>
                <w:sz w:val="21"/>
                <w:szCs w:val="21"/>
              </w:rPr>
              <w:t>，</w:t>
            </w:r>
            <w:r>
              <w:rPr>
                <w:rFonts w:hint="eastAsia" w:ascii="宋体" w:hAnsi="宋体" w:cs="宋体"/>
                <w:sz w:val="21"/>
                <w:szCs w:val="21"/>
                <w:lang w:eastAsia="zh-CN"/>
              </w:rPr>
              <w:t>路面有破损及时维修，</w:t>
            </w:r>
            <w:r>
              <w:rPr>
                <w:rFonts w:hint="eastAsia" w:ascii="宋体" w:hAnsi="宋体" w:eastAsia="宋体" w:cs="宋体"/>
                <w:sz w:val="21"/>
                <w:szCs w:val="21"/>
              </w:rPr>
              <w:t>标示、标牌等规范统一。</w:t>
            </w:r>
          </w:p>
        </w:tc>
        <w:tc>
          <w:tcPr>
            <w:tcW w:w="960"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tc>
        <w:tc>
          <w:tcPr>
            <w:tcW w:w="1046" w:type="dxa"/>
            <w:vMerge w:val="continue"/>
            <w:shd w:val="clear" w:color="auto" w:fill="FFFFFF"/>
            <w:vAlign w:val="center"/>
          </w:tcPr>
          <w:p>
            <w:pPr>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24</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矿产资源管理、生态环境保护和安全生产等规章制度完善，各类报表齐全，台帐、档案资料完整。</w:t>
            </w:r>
          </w:p>
        </w:tc>
        <w:tc>
          <w:tcPr>
            <w:tcW w:w="960" w:type="dxa"/>
            <w:shd w:val="clear" w:color="auto" w:fill="FFFFFF"/>
            <w:vAlign w:val="center"/>
          </w:tcPr>
          <w:p>
            <w:pPr>
              <w:widowControl/>
              <w:spacing w:line="36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tc>
        <w:tc>
          <w:tcPr>
            <w:tcW w:w="1046" w:type="dxa"/>
            <w:vMerge w:val="continue"/>
            <w:shd w:val="clear" w:color="auto" w:fill="FFFFFF"/>
            <w:vAlign w:val="center"/>
          </w:tcPr>
          <w:p>
            <w:pPr>
              <w:spacing w:line="360" w:lineRule="exact"/>
              <w:jc w:val="center"/>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99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企业</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形象</w:t>
            </w:r>
          </w:p>
          <w:p>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（10分）　</w:t>
            </w: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25</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企业形象好，社会责任感较强，积极参与社会公益事业。</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p>
        </w:tc>
        <w:tc>
          <w:tcPr>
            <w:tcW w:w="1046" w:type="dxa"/>
            <w:vMerge w:val="restart"/>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看现场，</w:t>
            </w:r>
          </w:p>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走访，　</w:t>
            </w:r>
          </w:p>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酌情评分</w:t>
            </w: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99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26</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企业与乡镇、村（社区）及周边农户关系和谐。</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046" w:type="dxa"/>
            <w:vMerge w:val="continue"/>
            <w:shd w:val="clear" w:color="auto" w:fill="FFFFFF"/>
            <w:vAlign w:val="center"/>
          </w:tcPr>
          <w:p>
            <w:pPr>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99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57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27</w:t>
            </w:r>
          </w:p>
        </w:tc>
        <w:tc>
          <w:tcPr>
            <w:tcW w:w="5050" w:type="dxa"/>
            <w:shd w:val="clear" w:color="auto" w:fill="FFFFFF"/>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重视职工生活、关注职工健康，维护职工权益，业主与职工同心同德、氛围和谐。</w:t>
            </w:r>
          </w:p>
        </w:tc>
        <w:tc>
          <w:tcPr>
            <w:tcW w:w="960" w:type="dxa"/>
            <w:shd w:val="clear" w:color="auto" w:fill="FFFFFF"/>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2分</w:t>
            </w:r>
          </w:p>
        </w:tc>
        <w:tc>
          <w:tcPr>
            <w:tcW w:w="1046" w:type="dxa"/>
            <w:vMerge w:val="continue"/>
            <w:shd w:val="clear" w:color="auto" w:fill="FFFFFF"/>
            <w:vAlign w:val="center"/>
          </w:tcPr>
          <w:p>
            <w:pPr>
              <w:widowControl/>
              <w:spacing w:line="360" w:lineRule="exact"/>
              <w:jc w:val="left"/>
              <w:rPr>
                <w:rFonts w:hint="eastAsia" w:ascii="宋体" w:hAnsi="宋体" w:eastAsia="宋体" w:cs="宋体"/>
                <w:kern w:val="0"/>
                <w:sz w:val="21"/>
                <w:szCs w:val="21"/>
              </w:rPr>
            </w:pPr>
          </w:p>
        </w:tc>
        <w:tc>
          <w:tcPr>
            <w:tcW w:w="1005" w:type="dxa"/>
            <w:shd w:val="clear" w:color="auto" w:fill="FFFFFF"/>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r>
    </w:tbl>
    <w:p>
      <w:pPr>
        <w:spacing w:line="240" w:lineRule="exact"/>
        <w:rPr>
          <w:rFonts w:ascii="仿宋_GB2312" w:hAnsi="宋体" w:eastAsia="仿宋_GB2312" w:cs="宋体"/>
          <w:kern w:val="0"/>
          <w:sz w:val="24"/>
        </w:rPr>
      </w:pPr>
    </w:p>
    <w:p>
      <w:pPr>
        <w:rPr>
          <w:rFonts w:hint="eastAsia" w:ascii="仿宋" w:hAnsi="仿宋" w:eastAsia="仿宋" w:cs="仿宋"/>
          <w:sz w:val="28"/>
          <w:szCs w:val="28"/>
        </w:rPr>
      </w:pPr>
      <w:r>
        <w:rPr>
          <w:rFonts w:hint="eastAsia" w:ascii="宋体" w:hAnsi="宋体" w:eastAsia="宋体" w:cs="宋体"/>
          <w:kern w:val="0"/>
          <w:sz w:val="21"/>
          <w:szCs w:val="21"/>
          <w:lang w:val="en-US" w:eastAsia="zh-CN"/>
        </w:rPr>
        <w:t xml:space="preserve"> </w:t>
      </w:r>
      <w:r>
        <w:rPr>
          <w:rFonts w:hint="eastAsia" w:ascii="仿宋" w:hAnsi="仿宋" w:eastAsia="仿宋" w:cs="仿宋"/>
          <w:kern w:val="0"/>
          <w:sz w:val="28"/>
          <w:szCs w:val="28"/>
          <w:lang w:val="en-US" w:eastAsia="zh-CN"/>
        </w:rPr>
        <w:t>核查单位</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福建省矿业协会</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eastAsia="zh-CN"/>
        </w:rPr>
        <w:t>评估</w:t>
      </w:r>
      <w:r>
        <w:rPr>
          <w:rFonts w:hint="eastAsia" w:ascii="仿宋" w:hAnsi="仿宋" w:eastAsia="仿宋" w:cs="仿宋"/>
          <w:kern w:val="0"/>
          <w:sz w:val="28"/>
          <w:szCs w:val="28"/>
        </w:rPr>
        <w:t>时间：</w:t>
      </w:r>
      <w:r>
        <w:rPr>
          <w:rFonts w:hint="eastAsia" w:ascii="仿宋" w:hAnsi="仿宋" w:eastAsia="仿宋" w:cs="仿宋"/>
          <w:kern w:val="0"/>
          <w:sz w:val="28"/>
          <w:szCs w:val="28"/>
          <w:lang w:val="en-US" w:eastAsia="zh-CN"/>
        </w:rPr>
        <w:t>2018年11月12日</w:t>
      </w:r>
      <w:r>
        <w:rPr>
          <w:rFonts w:hint="eastAsia" w:ascii="仿宋" w:hAnsi="仿宋" w:eastAsia="仿宋" w:cs="仿宋"/>
          <w:kern w:val="0"/>
          <w:sz w:val="28"/>
          <w:szCs w:val="28"/>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p>
    <w:p>
      <w:pPr>
        <w:rPr>
          <w:lang w:val="en-US"/>
        </w:rPr>
      </w:pPr>
    </w:p>
    <w:p>
      <w:pPr>
        <w:spacing w:line="700" w:lineRule="exact"/>
        <w:rPr>
          <w:rFonts w:hint="eastAsia" w:ascii="仿宋" w:hAnsi="仿宋" w:eastAsia="仿宋" w:cs="仿宋"/>
          <w:sz w:val="28"/>
          <w:szCs w:val="28"/>
          <w:lang w:eastAsia="zh-CN"/>
        </w:rPr>
      </w:pPr>
      <w:r>
        <w:rPr>
          <w:rFonts w:ascii="仿宋" w:hAnsi="仿宋" w:eastAsia="仿宋" w:cs="仿宋"/>
          <w:sz w:val="28"/>
          <w:szCs w:val="28"/>
        </w:rPr>
        <w:br w:type="page"/>
      </w:r>
      <w:bookmarkStart w:id="0" w:name="_GoBack"/>
      <w:bookmarkEnd w:id="0"/>
      <w:r>
        <w:rPr>
          <w:rFonts w:hint="eastAsia" w:ascii="仿宋" w:hAnsi="仿宋" w:eastAsia="仿宋" w:cs="仿宋"/>
          <w:sz w:val="28"/>
          <w:szCs w:val="28"/>
          <w:lang w:eastAsia="zh-CN"/>
        </w:rPr>
        <w:pict>
          <v:shape id="_x0000_s1027" o:spid="_x0000_s1027" o:spt="75" alt="专家签名" type="#_x0000_t75" style="position:absolute;left:0pt;margin-left:-4.9pt;margin-top:3.75pt;height:648.7pt;width:464.9pt;z-index:251659264;mso-width-relative:page;mso-height-relative:page;" filled="f" o:preferrelative="t" stroked="f" coordsize="21600,21600">
            <v:path/>
            <v:fill on="f" focussize="0,0"/>
            <v:stroke on="f"/>
            <v:imagedata r:id="rId6" o:title="专家签名"/>
            <o:lock v:ext="edit" aspectratio="t"/>
          </v:shape>
        </w:pict>
      </w:r>
    </w:p>
    <w:sectPr>
      <w:pgSz w:w="11906" w:h="16838"/>
      <w:pgMar w:top="1417" w:right="1304" w:bottom="1304"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06E466F"/>
    <w:rsid w:val="00253FCE"/>
    <w:rsid w:val="002D4B46"/>
    <w:rsid w:val="004847DA"/>
    <w:rsid w:val="004F641F"/>
    <w:rsid w:val="00855494"/>
    <w:rsid w:val="00B13DE0"/>
    <w:rsid w:val="00B56D1B"/>
    <w:rsid w:val="00B8563C"/>
    <w:rsid w:val="00C70B7F"/>
    <w:rsid w:val="00C94FD2"/>
    <w:rsid w:val="00CC48E6"/>
    <w:rsid w:val="00F91F11"/>
    <w:rsid w:val="01527112"/>
    <w:rsid w:val="08F76027"/>
    <w:rsid w:val="0BF54CC8"/>
    <w:rsid w:val="0C25227C"/>
    <w:rsid w:val="0DB7592A"/>
    <w:rsid w:val="1109033E"/>
    <w:rsid w:val="11AC1E95"/>
    <w:rsid w:val="173957F8"/>
    <w:rsid w:val="17871D41"/>
    <w:rsid w:val="18D16B7E"/>
    <w:rsid w:val="289623CF"/>
    <w:rsid w:val="2E382036"/>
    <w:rsid w:val="2F16769A"/>
    <w:rsid w:val="306E466F"/>
    <w:rsid w:val="30F30680"/>
    <w:rsid w:val="403F3D82"/>
    <w:rsid w:val="422A1B87"/>
    <w:rsid w:val="426B3548"/>
    <w:rsid w:val="47935318"/>
    <w:rsid w:val="4B827647"/>
    <w:rsid w:val="4EEA503D"/>
    <w:rsid w:val="4F03555F"/>
    <w:rsid w:val="50B65E4D"/>
    <w:rsid w:val="5AC4222D"/>
    <w:rsid w:val="5B7C7045"/>
    <w:rsid w:val="5C85133C"/>
    <w:rsid w:val="5D3E3EA5"/>
    <w:rsid w:val="5DA50939"/>
    <w:rsid w:val="6020436E"/>
    <w:rsid w:val="609D4C44"/>
    <w:rsid w:val="67FC1A04"/>
    <w:rsid w:val="68420D80"/>
    <w:rsid w:val="6D535020"/>
    <w:rsid w:val="6D676704"/>
    <w:rsid w:val="6D6A1CCE"/>
    <w:rsid w:val="731011EE"/>
    <w:rsid w:val="798369E5"/>
    <w:rsid w:val="7AC01966"/>
    <w:rsid w:val="7B6902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0"/>
  </w:style>
  <w:style w:type="character" w:customStyle="1" w:styleId="7">
    <w:name w:val="Footer Char"/>
    <w:basedOn w:val="4"/>
    <w:link w:val="2"/>
    <w:semiHidden/>
    <w:locked/>
    <w:uiPriority w:val="99"/>
    <w:rPr>
      <w:rFonts w:ascii="Calibri" w:hAnsi="Calibri" w:cs="Times New Roman"/>
      <w:sz w:val="18"/>
      <w:szCs w:val="18"/>
    </w:rPr>
  </w:style>
  <w:style w:type="character" w:customStyle="1" w:styleId="8">
    <w:name w:val="Header Char"/>
    <w:basedOn w:val="4"/>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216</Words>
  <Characters>1235</Characters>
  <Lines>0</Lines>
  <Paragraphs>0</Paragraphs>
  <TotalTime>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2018-10-31T01:30:00Z</dcterms:created>
  <dc:creator>风行天下1416795589</dc:creator>
  <cp:lastModifiedBy>Administrator</cp:lastModifiedBy>
  <cp:lastPrinted>2018-11-13T02:00:00Z</cp:lastPrinted>
  <dcterms:modified xsi:type="dcterms:W3CDTF">2018-11-16T07:15:44Z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