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ascii="方正小标宋简体" w:hAnsi="方正小标宋简体" w:eastAsia="方正小标宋简体" w:cs="方正小标宋简体"/>
          <w:bCs/>
          <w:color w:val="FF0000"/>
          <w:sz w:val="52"/>
          <w:szCs w:val="52"/>
        </w:rPr>
      </w:pPr>
      <w:r>
        <w:rPr>
          <w:rFonts w:hint="eastAsia" w:ascii="方正小标宋简体" w:hAnsi="方正小标宋简体" w:eastAsia="方正小标宋简体" w:cs="方正小标宋简体"/>
          <w:bCs/>
          <w:color w:val="FF0000"/>
          <w:sz w:val="52"/>
          <w:szCs w:val="52"/>
          <w:lang w:bidi="ar"/>
        </w:rPr>
        <w:t>建宁县烟草专卖局公告</w:t>
      </w:r>
    </w:p>
    <w:p>
      <w:pPr>
        <w:adjustRightInd w:val="0"/>
        <w:snapToGrid w:val="0"/>
        <w:spacing w:line="700" w:lineRule="exact"/>
        <w:jc w:val="center"/>
        <w:rPr>
          <w:rFonts w:ascii="仿宋_GB2312" w:cs="仿宋_GB2312"/>
          <w:sz w:val="30"/>
          <w:szCs w:val="24"/>
        </w:rPr>
      </w:pPr>
      <w:r>
        <w:rPr>
          <w:rFonts w:ascii="仿宋_GB2312" w:cs="仿宋_GB2312"/>
          <w:szCs w:val="32"/>
          <w:lang w:bidi="ar"/>
        </w:rPr>
        <w:t>202</w:t>
      </w:r>
      <w:r>
        <w:rPr>
          <w:rFonts w:hint="eastAsia" w:ascii="仿宋_GB2312" w:cs="仿宋_GB2312"/>
          <w:szCs w:val="32"/>
          <w:lang w:val="en-US" w:eastAsia="zh-CN" w:bidi="ar"/>
        </w:rPr>
        <w:t>4</w:t>
      </w:r>
      <w:r>
        <w:rPr>
          <w:rFonts w:hint="eastAsia" w:ascii="仿宋_GB2312" w:cs="仿宋_GB2312"/>
          <w:szCs w:val="32"/>
          <w:lang w:bidi="ar"/>
        </w:rPr>
        <w:t>年第</w:t>
      </w:r>
      <w:r>
        <w:rPr>
          <w:rFonts w:ascii="仿宋_GB2312" w:cs="仿宋_GB2312"/>
          <w:szCs w:val="32"/>
          <w:lang w:bidi="ar"/>
        </w:rPr>
        <w:t>1</w:t>
      </w:r>
      <w:r>
        <w:rPr>
          <w:rFonts w:hint="eastAsia" w:ascii="仿宋_GB2312" w:cs="仿宋_GB2312"/>
          <w:szCs w:val="32"/>
          <w:lang w:bidi="ar"/>
        </w:rPr>
        <w:t>号</w:t>
      </w:r>
    </w:p>
    <w:p>
      <w:pPr>
        <w:adjustRightInd w:val="0"/>
        <w:snapToGrid w:val="0"/>
        <w:spacing w:line="240" w:lineRule="auto"/>
        <w:jc w:val="center"/>
        <w:rPr>
          <w:rFonts w:ascii="仿宋_GB2312" w:cs="仿宋_GB2312"/>
          <w:sz w:val="30"/>
          <w:szCs w:val="24"/>
        </w:rPr>
      </w:pPr>
    </w:p>
    <w:p>
      <w:pPr>
        <w:pStyle w:val="11"/>
        <w:spacing w:line="560" w:lineRule="exact"/>
        <w:jc w:val="left"/>
        <w:rPr>
          <w:rFonts w:ascii="Times New Roman" w:hAnsi="Times New Roman" w:eastAsia="仿宋_GB2312"/>
          <w:bCs/>
          <w:kern w:val="2"/>
          <w:sz w:val="32"/>
          <w:szCs w:val="32"/>
        </w:rPr>
      </w:pPr>
      <w:r>
        <w:rPr>
          <w:rFonts w:ascii="仿宋_GB2312" w:hAnsi="Times New Roman" w:eastAsia="仿宋_GB2312" w:cs="仿宋_GB2312"/>
          <w:kern w:val="2"/>
          <w:sz w:val="32"/>
          <w:szCs w:val="32"/>
          <w:lang w:bidi="ar"/>
        </w:rPr>
        <w:t xml:space="preserve">    </w:t>
      </w:r>
      <w:r>
        <w:rPr>
          <w:rFonts w:hint="eastAsia" w:ascii="仿宋_GB2312" w:hAnsi="Times New Roman" w:eastAsia="仿宋_GB2312" w:cs="仿宋_GB2312"/>
          <w:kern w:val="2"/>
          <w:sz w:val="32"/>
          <w:szCs w:val="32"/>
          <w:lang w:bidi="ar"/>
        </w:rPr>
        <w:t>建宁县烟草专卖局已于</w:t>
      </w:r>
      <w:r>
        <w:rPr>
          <w:rFonts w:ascii="仿宋_GB2312" w:hAnsi="Times New Roman" w:eastAsia="仿宋_GB2312" w:cs="仿宋_GB2312"/>
          <w:kern w:val="2"/>
          <w:sz w:val="32"/>
          <w:szCs w:val="32"/>
          <w:lang w:bidi="ar"/>
        </w:rPr>
        <w:t>202</w:t>
      </w:r>
      <w:r>
        <w:rPr>
          <w:rFonts w:hint="eastAsia" w:ascii="仿宋_GB2312" w:hAnsi="Times New Roman" w:eastAsia="仿宋_GB2312" w:cs="仿宋_GB2312"/>
          <w:kern w:val="2"/>
          <w:sz w:val="32"/>
          <w:szCs w:val="32"/>
          <w:lang w:val="en-US" w:eastAsia="zh-CN" w:bidi="ar"/>
        </w:rPr>
        <w:t>4</w:t>
      </w:r>
      <w:r>
        <w:rPr>
          <w:rFonts w:hint="eastAsia" w:ascii="仿宋_GB2312" w:hAnsi="Times New Roman" w:eastAsia="仿宋_GB2312" w:cs="仿宋_GB2312"/>
          <w:kern w:val="2"/>
          <w:sz w:val="32"/>
          <w:szCs w:val="32"/>
          <w:lang w:bidi="ar"/>
        </w:rPr>
        <w:t>年</w:t>
      </w:r>
      <w:r>
        <w:rPr>
          <w:rFonts w:hint="eastAsia" w:ascii="仿宋_GB2312" w:hAnsi="Times New Roman" w:eastAsia="仿宋_GB2312" w:cs="仿宋_GB2312"/>
          <w:kern w:val="2"/>
          <w:sz w:val="32"/>
          <w:szCs w:val="32"/>
          <w:lang w:val="en-US" w:eastAsia="zh-CN" w:bidi="ar"/>
        </w:rPr>
        <w:t>3</w:t>
      </w:r>
      <w:r>
        <w:rPr>
          <w:rFonts w:hint="eastAsia" w:ascii="仿宋_GB2312" w:hAnsi="Times New Roman" w:eastAsia="仿宋_GB2312" w:cs="仿宋_GB2312"/>
          <w:kern w:val="2"/>
          <w:sz w:val="32"/>
          <w:szCs w:val="32"/>
          <w:lang w:bidi="ar"/>
        </w:rPr>
        <w:t>月</w:t>
      </w:r>
      <w:r>
        <w:rPr>
          <w:rFonts w:ascii="仿宋_GB2312" w:hAnsi="Times New Roman" w:eastAsia="仿宋_GB2312" w:cs="仿宋_GB2312"/>
          <w:kern w:val="2"/>
          <w:sz w:val="32"/>
          <w:szCs w:val="32"/>
          <w:lang w:bidi="ar"/>
        </w:rPr>
        <w:t>27</w:t>
      </w:r>
      <w:r>
        <w:rPr>
          <w:rFonts w:hint="eastAsia" w:ascii="仿宋_GB2312" w:hAnsi="Times New Roman" w:eastAsia="仿宋_GB2312" w:cs="仿宋_GB2312"/>
          <w:kern w:val="2"/>
          <w:sz w:val="32"/>
          <w:szCs w:val="32"/>
          <w:lang w:bidi="ar"/>
        </w:rPr>
        <w:t>日举行建宁县烟草制品零售点合理布局规定听证会，充分听取与会零售户、消费者及社会公众代表的意见和建议，现将调整和修改后的《建宁县烟草制品零售点合理布局规定》予以公告，自</w:t>
      </w:r>
      <w:r>
        <w:rPr>
          <w:rFonts w:ascii="仿宋_GB2312" w:hAnsi="Times New Roman" w:eastAsia="仿宋_GB2312" w:cs="仿宋_GB2312"/>
          <w:kern w:val="2"/>
          <w:sz w:val="32"/>
          <w:szCs w:val="32"/>
          <w:lang w:bidi="ar"/>
        </w:rPr>
        <w:t>202</w:t>
      </w:r>
      <w:r>
        <w:rPr>
          <w:rFonts w:hint="eastAsia" w:ascii="仿宋_GB2312" w:hAnsi="Times New Roman" w:eastAsia="仿宋_GB2312" w:cs="仿宋_GB2312"/>
          <w:kern w:val="2"/>
          <w:sz w:val="32"/>
          <w:szCs w:val="32"/>
          <w:lang w:val="en-US" w:eastAsia="zh-CN" w:bidi="ar"/>
        </w:rPr>
        <w:t>4</w:t>
      </w:r>
      <w:r>
        <w:rPr>
          <w:rFonts w:hint="eastAsia" w:ascii="仿宋_GB2312" w:hAnsi="Times New Roman" w:eastAsia="仿宋_GB2312" w:cs="仿宋_GB2312"/>
          <w:kern w:val="2"/>
          <w:sz w:val="32"/>
          <w:szCs w:val="32"/>
          <w:lang w:bidi="ar"/>
        </w:rPr>
        <w:t>年</w:t>
      </w:r>
      <w:r>
        <w:rPr>
          <w:rFonts w:hint="eastAsia" w:ascii="仿宋_GB2312" w:hAnsi="Times New Roman" w:eastAsia="仿宋_GB2312" w:cs="仿宋_GB2312"/>
          <w:kern w:val="2"/>
          <w:sz w:val="32"/>
          <w:szCs w:val="32"/>
          <w:lang w:val="en-US" w:eastAsia="zh-CN" w:bidi="ar"/>
        </w:rPr>
        <w:t>3</w:t>
      </w:r>
      <w:r>
        <w:rPr>
          <w:rFonts w:hint="eastAsia" w:ascii="仿宋_GB2312" w:hAnsi="Times New Roman" w:eastAsia="仿宋_GB2312" w:cs="仿宋_GB2312"/>
          <w:kern w:val="2"/>
          <w:sz w:val="32"/>
          <w:szCs w:val="32"/>
          <w:lang w:bidi="ar"/>
        </w:rPr>
        <w:t>月</w:t>
      </w:r>
      <w:r>
        <w:rPr>
          <w:rFonts w:ascii="仿宋_GB2312" w:hAnsi="Times New Roman" w:eastAsia="仿宋_GB2312" w:cs="仿宋_GB2312"/>
          <w:kern w:val="2"/>
          <w:sz w:val="32"/>
          <w:szCs w:val="32"/>
          <w:lang w:bidi="ar"/>
        </w:rPr>
        <w:t>2</w:t>
      </w:r>
      <w:r>
        <w:rPr>
          <w:rFonts w:hint="eastAsia" w:ascii="仿宋_GB2312" w:hAnsi="Times New Roman" w:eastAsia="仿宋_GB2312" w:cs="仿宋_GB2312"/>
          <w:kern w:val="2"/>
          <w:sz w:val="32"/>
          <w:szCs w:val="32"/>
          <w:lang w:val="en-US" w:eastAsia="zh-CN" w:bidi="ar"/>
        </w:rPr>
        <w:t>8</w:t>
      </w:r>
      <w:r>
        <w:rPr>
          <w:rFonts w:hint="eastAsia" w:ascii="仿宋_GB2312" w:hAnsi="Times New Roman" w:eastAsia="仿宋_GB2312" w:cs="仿宋_GB2312"/>
          <w:kern w:val="2"/>
          <w:sz w:val="32"/>
          <w:szCs w:val="32"/>
          <w:lang w:bidi="ar"/>
        </w:rPr>
        <w:t>日起施行。</w:t>
      </w:r>
    </w:p>
    <w:p>
      <w:pPr>
        <w:pStyle w:val="11"/>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简体" w:hAnsi="宋体" w:eastAsia="方正小标宋简体"/>
          <w:bCs/>
          <w:color w:val="auto"/>
          <w:kern w:val="2"/>
          <w:sz w:val="44"/>
          <w:szCs w:val="24"/>
          <w:highlight w:val="none"/>
        </w:rPr>
      </w:pPr>
    </w:p>
    <w:p>
      <w:pPr>
        <w:pStyle w:val="11"/>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kern w:val="2"/>
          <w:sz w:val="44"/>
          <w:szCs w:val="24"/>
          <w:highlight w:val="none"/>
        </w:rPr>
      </w:pPr>
    </w:p>
    <w:p>
      <w:pPr>
        <w:pStyle w:val="11"/>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kern w:val="2"/>
          <w:sz w:val="44"/>
          <w:szCs w:val="24"/>
          <w:highlight w:val="none"/>
        </w:rPr>
      </w:pPr>
      <w:r>
        <w:rPr>
          <w:rFonts w:hint="eastAsia" w:ascii="方正小标宋简体" w:hAnsi="宋体" w:eastAsia="方正小标宋简体"/>
          <w:bCs/>
          <w:color w:val="auto"/>
          <w:kern w:val="2"/>
          <w:sz w:val="44"/>
          <w:szCs w:val="24"/>
          <w:highlight w:val="none"/>
        </w:rPr>
        <w:t>建宁县烟草制品零售点合理布局规定</w:t>
      </w:r>
    </w:p>
    <w:p>
      <w:pPr>
        <w:pStyle w:val="11"/>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Calibri" w:eastAsia="黑体" w:cs="Times New Roman"/>
          <w:color w:val="auto"/>
          <w:sz w:val="44"/>
          <w:szCs w:val="44"/>
          <w:highlight w:val="none"/>
          <w:lang w:eastAsia="zh-CN"/>
        </w:rPr>
      </w:pPr>
    </w:p>
    <w:p>
      <w:pPr>
        <w:pStyle w:val="11"/>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仿宋_GB2312" w:eastAsia="仿宋_GB2312"/>
          <w:color w:val="auto"/>
          <w:highlight w:val="none"/>
        </w:rPr>
        <w:t xml:space="preserve"> </w:t>
      </w:r>
      <w:r>
        <w:rPr>
          <w:rFonts w:hint="eastAsia" w:ascii="黑体" w:hAnsi="黑体" w:eastAsia="黑体" w:cs="黑体"/>
          <w:color w:val="auto"/>
          <w:sz w:val="32"/>
          <w:szCs w:val="32"/>
          <w:highlight w:val="none"/>
        </w:rPr>
        <w:t>第一章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总则</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auto"/>
          <w:kern w:val="2"/>
          <w:sz w:val="32"/>
          <w:szCs w:val="32"/>
          <w:highlight w:val="none"/>
        </w:rPr>
      </w:pPr>
      <w:r>
        <w:rPr>
          <w:rFonts w:hint="default" w:ascii="Times New Roman" w:hAnsi="Times New Roman" w:eastAsia="仿宋_GB2312" w:cs="Times New Roman"/>
          <w:b/>
          <w:bCs w:val="0"/>
          <w:color w:val="auto"/>
          <w:kern w:val="2"/>
          <w:sz w:val="32"/>
          <w:szCs w:val="32"/>
          <w:highlight w:val="none"/>
        </w:rPr>
        <w:t>第一条</w:t>
      </w:r>
      <w:r>
        <w:rPr>
          <w:rFonts w:hint="default" w:ascii="Times New Roman" w:hAnsi="Times New Roman" w:eastAsia="仿宋_GB2312" w:cs="Times New Roman"/>
          <w:b w:val="0"/>
          <w:bCs/>
          <w:color w:val="auto"/>
          <w:kern w:val="2"/>
          <w:sz w:val="32"/>
          <w:szCs w:val="32"/>
          <w:highlight w:val="none"/>
          <w:lang w:val="en-US" w:eastAsia="zh-CN"/>
        </w:rPr>
        <w:t xml:space="preserve">  </w:t>
      </w:r>
      <w:r>
        <w:rPr>
          <w:rFonts w:hint="default" w:ascii="Times New Roman" w:hAnsi="Times New Roman" w:eastAsia="仿宋_GB2312" w:cs="Times New Roman"/>
          <w:b w:val="0"/>
          <w:bCs/>
          <w:color w:val="auto"/>
          <w:kern w:val="2"/>
          <w:sz w:val="32"/>
          <w:szCs w:val="32"/>
          <w:highlight w:val="none"/>
        </w:rPr>
        <w:t>为合理配置烟草市场资源</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规范烟草专卖许可证管理，保护公民</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法人和其他组织的合法权益，维护国家烟草专卖制度，根据《中华人民共和国行政许可法》</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《中华人民共和国未成年人保护法》</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《中华人民共和国烟草专卖法》</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《中华人民共和国烟草专卖法实施条例》</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《烟草专卖许可证管理办法》（中华人民共和国工业和信息化部第37号令）</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《烟草专卖许可证管理办法实施细则》（国烟法〔2020〕205号）等相关规定，结合建宁县实际情况</w:t>
      </w:r>
      <w:r>
        <w:rPr>
          <w:rFonts w:hint="default" w:ascii="Times New Roman" w:hAnsi="Times New Roman" w:eastAsia="仿宋_GB2312" w:cs="Times New Roman"/>
          <w:b w:val="0"/>
          <w:bCs/>
          <w:color w:val="auto"/>
          <w:kern w:val="2"/>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rPr>
        <w:t>制定本规定。</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auto"/>
          <w:kern w:val="2"/>
          <w:sz w:val="32"/>
          <w:szCs w:val="32"/>
          <w:highlight w:val="none"/>
        </w:rPr>
        <w:t>第</w:t>
      </w:r>
      <w:r>
        <w:rPr>
          <w:rFonts w:hint="default" w:ascii="Times New Roman" w:hAnsi="Times New Roman" w:eastAsia="仿宋_GB2312" w:cs="Times New Roman"/>
          <w:b/>
          <w:bCs w:val="0"/>
          <w:color w:val="auto"/>
          <w:kern w:val="2"/>
          <w:sz w:val="32"/>
          <w:szCs w:val="32"/>
          <w:highlight w:val="none"/>
          <w:lang w:eastAsia="zh-CN"/>
        </w:rPr>
        <w:t>二</w:t>
      </w:r>
      <w:r>
        <w:rPr>
          <w:rFonts w:hint="default" w:ascii="Times New Roman" w:hAnsi="Times New Roman" w:eastAsia="仿宋_GB2312" w:cs="Times New Roman"/>
          <w:b/>
          <w:bCs w:val="0"/>
          <w:color w:val="auto"/>
          <w:kern w:val="2"/>
          <w:sz w:val="32"/>
          <w:szCs w:val="32"/>
          <w:highlight w:val="none"/>
        </w:rPr>
        <w:t>条</w:t>
      </w:r>
      <w:r>
        <w:rPr>
          <w:rFonts w:hint="default" w:ascii="Times New Roman" w:hAnsi="Times New Roman" w:eastAsia="仿宋_GB2312" w:cs="Times New Roman"/>
          <w:b w:val="0"/>
          <w:bCs/>
          <w:color w:val="auto"/>
          <w:kern w:val="2"/>
          <w:sz w:val="32"/>
          <w:szCs w:val="32"/>
          <w:highlight w:val="none"/>
          <w:lang w:val="en-US" w:eastAsia="zh-CN"/>
        </w:rPr>
        <w:t xml:space="preserve">  </w:t>
      </w:r>
      <w:r>
        <w:rPr>
          <w:rFonts w:hint="default" w:ascii="Times New Roman" w:hAnsi="Times New Roman" w:eastAsia="仿宋_GB2312" w:cs="Times New Roman"/>
          <w:b w:val="0"/>
          <w:bCs/>
          <w:color w:val="auto"/>
          <w:kern w:val="2"/>
          <w:sz w:val="32"/>
          <w:szCs w:val="32"/>
          <w:highlight w:val="none"/>
        </w:rPr>
        <w:t>烟草制品零售点（以下简称零售点）是指依法取得烟草专卖零售许可证从事烟</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草制品零售业务的公民</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法人</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或者</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其他组织开展烟草制品零售业务的经营场所。</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default" w:ascii="Times New Roman" w:hAnsi="Times New Roman" w:eastAsia="仿宋_GB2312" w:cs="Times New Roman"/>
          <w:b/>
          <w:bCs w:val="0"/>
          <w:color w:val="000000" w:themeColor="text1"/>
          <w:kern w:val="2"/>
          <w:sz w:val="32"/>
          <w:szCs w:val="32"/>
          <w:highlight w:val="none"/>
          <w:lang w:eastAsia="zh-CN"/>
          <w14:textFill>
            <w14:solidFill>
              <w14:schemeClr w14:val="tx1"/>
            </w14:solidFill>
          </w14:textFill>
        </w:rPr>
        <w:t>三</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建宁县烟草专卖局实施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烟草专卖零售许可</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应遵</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循“</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总量控制、</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依法依规、公开公平公正、便民服务、科学规划、受理在先”的原则。</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default" w:ascii="Times New Roman" w:hAnsi="Times New Roman" w:eastAsia="仿宋_GB2312" w:cs="Times New Roman"/>
          <w:b/>
          <w:bCs w:val="0"/>
          <w:color w:val="000000" w:themeColor="text1"/>
          <w:kern w:val="2"/>
          <w:sz w:val="32"/>
          <w:szCs w:val="32"/>
          <w:highlight w:val="none"/>
          <w:lang w:eastAsia="zh-CN"/>
          <w14:textFill>
            <w14:solidFill>
              <w14:schemeClr w14:val="tx1"/>
            </w14:solidFill>
          </w14:textFill>
        </w:rPr>
        <w:t>四</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本规定适用于建宁县行政区划内零售点的设置与管理</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适用于实际且主要经营业态为食杂</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店、</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便利店</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烟酒商店</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超市及其他适宜设置零售点的的申请</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受理</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审查</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决定等。</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实施烟草专卖零售许可应当遵循本规定，并进行有效的监督管理。</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default" w:ascii="Times New Roman" w:hAnsi="Times New Roman" w:eastAsia="仿宋_GB2312" w:cs="Times New Roman"/>
          <w:b/>
          <w:bCs w:val="0"/>
          <w:color w:val="000000" w:themeColor="text1"/>
          <w:kern w:val="2"/>
          <w:sz w:val="32"/>
          <w:szCs w:val="32"/>
          <w:highlight w:val="none"/>
          <w:lang w:eastAsia="zh-CN"/>
          <w14:textFill>
            <w14:solidFill>
              <w14:schemeClr w14:val="tx1"/>
            </w14:solidFill>
          </w14:textFill>
        </w:rPr>
        <w:t>五</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本规定所称的合理布局是指综合考虑辖区内人口数量</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交通状况</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经济发展水平</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消费能力等因素</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将辖区划分为若干个区域单元，并规划确定各区域单元零售点数量。</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第六条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按照申请人提交申请的先后顺序，对申请材料</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申请人资格</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申请条件等内容进行审查。</w:t>
      </w:r>
    </w:p>
    <w:p>
      <w:pPr>
        <w:spacing w:line="560" w:lineRule="exact"/>
        <w:ind w:firstLine="640" w:firstLineChars="200"/>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对符合许可证发放条件且满足合理布局</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要求</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的</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新办</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申请，</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应</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依法审核发放烟草专卖零售许可证</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对符合许可证发放条件但不满足合理布局</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要求</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的申请，建宁县烟草专卖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应当依法作出不予许可决定并向申请人送达不予许可决定书</w:t>
      </w:r>
      <w:r>
        <w:rPr>
          <w:rFonts w:hint="eastAsia" w:cs="Times New Roman"/>
          <w:b w:val="0"/>
          <w:bCs/>
          <w:color w:val="000000" w:themeColor="text1"/>
          <w:kern w:val="2"/>
          <w:sz w:val="32"/>
          <w:szCs w:val="32"/>
          <w:highlight w:val="none"/>
          <w:lang w:eastAsia="zh-CN"/>
          <w14:textFill>
            <w14:solidFill>
              <w14:schemeClr w14:val="tx1"/>
            </w14:solidFill>
          </w14:textFill>
        </w:rPr>
        <w:t>。</w:t>
      </w:r>
    </w:p>
    <w:p>
      <w:pPr>
        <w:spacing w:line="560" w:lineRule="exact"/>
        <w:ind w:firstLine="643" w:firstLineChars="200"/>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lang w:val="en-US" w:eastAsia="zh-CN" w:bidi="ar-SA"/>
          <w14:textFill>
            <w14:solidFill>
              <w14:schemeClr w14:val="tx1"/>
            </w14:solidFill>
          </w14:textFill>
        </w:rPr>
        <w:t>第</w:t>
      </w:r>
      <w:r>
        <w:rPr>
          <w:rFonts w:hint="eastAsia" w:ascii="Times New Roman" w:hAnsi="Times New Roman" w:eastAsia="仿宋_GB2312" w:cs="Times New Roman"/>
          <w:b/>
          <w:bCs w:val="0"/>
          <w:color w:val="000000" w:themeColor="text1"/>
          <w:kern w:val="2"/>
          <w:sz w:val="32"/>
          <w:szCs w:val="32"/>
          <w:highlight w:val="none"/>
          <w:lang w:val="en-US" w:eastAsia="zh-CN" w:bidi="ar-SA"/>
          <w14:textFill>
            <w14:solidFill>
              <w14:schemeClr w14:val="tx1"/>
            </w14:solidFill>
          </w14:textFill>
        </w:rPr>
        <w:t>七</w:t>
      </w:r>
      <w:r>
        <w:rPr>
          <w:rFonts w:hint="default" w:ascii="Times New Roman" w:hAnsi="Times New Roman" w:eastAsia="仿宋_GB2312" w:cs="Times New Roman"/>
          <w:b/>
          <w:bCs w:val="0"/>
          <w:color w:val="000000" w:themeColor="text1"/>
          <w:kern w:val="2"/>
          <w:sz w:val="32"/>
          <w:szCs w:val="32"/>
          <w:highlight w:val="none"/>
          <w:lang w:val="en-US" w:eastAsia="zh-CN" w:bidi="ar-SA"/>
          <w14:textFill>
            <w14:solidFill>
              <w14:schemeClr w14:val="tx1"/>
            </w14:solidFill>
          </w14:textFill>
        </w:rPr>
        <w:t>条</w:t>
      </w:r>
      <w:r>
        <w:rPr>
          <w:rFonts w:hint="eastAsia" w:cs="Times New Roman"/>
          <w:b/>
          <w:bCs w:val="0"/>
          <w:color w:val="000000" w:themeColor="text1"/>
          <w:kern w:val="2"/>
          <w:sz w:val="32"/>
          <w:szCs w:val="32"/>
          <w:highlight w:val="non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当区域内零售点数量达到公布的合理规划</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上限</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，对符合申请烟草专卖零售许可证法定条件的申请人，因所处区域没有办证指标的，在作出不予许可决定后，按</w:t>
      </w:r>
      <w:r>
        <w:rPr>
          <w:rFonts w:hint="eastAsia" w:cs="Times New Roman"/>
          <w:color w:val="000000" w:themeColor="text1"/>
          <w:sz w:val="32"/>
          <w:szCs w:val="32"/>
          <w:highlight w:val="none"/>
          <w:lang w:eastAsia="zh-CN" w:bidi="ar"/>
          <w14:textFill>
            <w14:solidFill>
              <w14:schemeClr w14:val="tx1"/>
            </w14:solidFill>
          </w14:textFill>
        </w:rPr>
        <w:t>受理申请</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时间的先后顺序进行登记备案</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，登记备案参照《烟草专卖零售许可证办理轮候注意事项》（附件</w:t>
      </w:r>
      <w:r>
        <w:rPr>
          <w:rFonts w:hint="eastAsia" w:cs="Times New Roman"/>
          <w:color w:val="000000" w:themeColor="text1"/>
          <w:sz w:val="32"/>
          <w:szCs w:val="32"/>
          <w:highlight w:val="none"/>
          <w:lang w:val="en-US" w:eastAsia="zh-CN" w:bidi="ar"/>
          <w14:textFill>
            <w14:solidFill>
              <w14:schemeClr w14:val="tx1"/>
            </w14:solidFill>
          </w14:textFill>
        </w:rPr>
        <w:t>4</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。烟草制品零售点布局规划情况及登记备案情况应</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定期</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向社会公示</w:t>
      </w:r>
      <w:r>
        <w:rPr>
          <w:rFonts w:hint="eastAsia"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登记备案有效期限为</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两</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年</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，自登记之日起计算</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申请人经营场所位于未单独规划的新建小区，符合办证条件的</w:t>
      </w:r>
      <w:r>
        <w:rPr>
          <w:rFonts w:hint="eastAsia" w:cs="Times New Roman"/>
          <w:color w:val="000000" w:themeColor="text1"/>
          <w:sz w:val="32"/>
          <w:szCs w:val="32"/>
          <w:highlight w:val="none"/>
          <w:lang w:val="en-US"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应对申请人进行登记备案。</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eastAsia" w:cs="Times New Roman"/>
          <w:b/>
          <w:bCs w:val="0"/>
          <w:color w:val="000000" w:themeColor="text1"/>
          <w:kern w:val="2"/>
          <w:sz w:val="32"/>
          <w:szCs w:val="32"/>
          <w:highlight w:val="none"/>
          <w:lang w:eastAsia="zh-CN"/>
          <w14:textFill>
            <w14:solidFill>
              <w14:schemeClr w14:val="tx1"/>
            </w14:solidFill>
          </w14:textFill>
        </w:rPr>
        <w:t>八</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eastAsia" w:ascii="Times New Roman" w:hAnsi="Times New Roman" w:eastAsia="仿宋_GB2312" w:cs="Times New Roman"/>
          <w:b/>
          <w:bCs w:val="0"/>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登记备案有效期届满</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三十</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日前，申请人若有意愿继续备案</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登记</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的，应主动提出继续备案申请</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有效期届满后，建宁县烟草专卖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应当对申请人进行电话回访及实地核查。</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有下列情形之一的，申请人的原登记信息即时失效且不以原登记顺序进行再次登记：</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（一）无法按照申请人提供的联系方式联系到申请人的；</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（二）经建宁县烟草专卖局专卖管理人员实地核查，发现实际情况与原登记情况不符的。</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三</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经</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建宁县烟草专卖局</w:t>
      </w: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核实，登记经营场所不再经营的、营业执照注销的、经营主体发生变化的（包括实际经营、执照登记主体等）。</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（四）经</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建宁县烟草专卖局</w:t>
      </w: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核实发现存在其他不予许可的情形。</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针对能及时取得联系且实地核查通过的申请人，建宁县烟草专卖局应当按照申请人原先的登记顺序进行再次登记，同时原登记信息即时失效。</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有效备案登记中的申请人</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符合合理布局要求时，建宁县烟草专卖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应及时告知申请人再次提出</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新办</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申请，建宁县烟草专卖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局应</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再次进行复核，对符合办证</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要求</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的，</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应</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予以审批发证。</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eastAsia" w:cs="Times New Roman"/>
          <w:b/>
          <w:bCs w:val="0"/>
          <w:color w:val="000000" w:themeColor="text1"/>
          <w:kern w:val="2"/>
          <w:sz w:val="32"/>
          <w:szCs w:val="32"/>
          <w:highlight w:val="none"/>
          <w:lang w:eastAsia="zh-CN"/>
          <w14:textFill>
            <w14:solidFill>
              <w14:schemeClr w14:val="tx1"/>
            </w14:solidFill>
          </w14:textFill>
        </w:rPr>
        <w:t>九</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eastAsia" w:ascii="Times New Roman" w:hAnsi="Times New Roman" w:eastAsia="仿宋_GB2312" w:cs="Times New Roman"/>
          <w:b/>
          <w:bCs w:val="0"/>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在对存在两个或两个以上符合许可证发放条件且满足合理布局要求的申请时，应根据受理时间的先后顺序审核发放烟草专卖零售许可证。</w:t>
      </w:r>
    </w:p>
    <w:p>
      <w:pPr>
        <w:pStyle w:val="11"/>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eastAsia="zh-CN"/>
          <w14:textFill>
            <w14:solidFill>
              <w14:schemeClr w14:val="tx1"/>
            </w14:solidFill>
          </w14:textFill>
        </w:rPr>
        <w:t>二章</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基本条件</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eastAsia" w:ascii="Times New Roman" w:hAnsi="Times New Roman" w:eastAsia="仿宋_GB2312" w:cs="Times New Roman"/>
          <w:b/>
          <w:bCs w:val="0"/>
          <w:color w:val="000000" w:themeColor="text1"/>
          <w:kern w:val="2"/>
          <w:sz w:val="32"/>
          <w:szCs w:val="32"/>
          <w:highlight w:val="none"/>
          <w:lang w:eastAsia="zh-CN"/>
          <w14:textFill>
            <w14:solidFill>
              <w14:schemeClr w14:val="tx1"/>
            </w14:solidFill>
          </w14:textFill>
        </w:rPr>
        <w:t>十</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申请烟草专卖零售许可证，应当</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同时</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满足以下</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基本</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条件：</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（一）</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有与经营烟草制品零售业务相适应的资金；</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有与住所相独立的固定经营场所；</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（三）符合建宁县烟草制品零售点合理布局规划的要求</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（四）</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符合国务院烟草专卖行政主管部门规定的其他条件。</w:t>
      </w:r>
    </w:p>
    <w:p>
      <w:pPr>
        <w:pStyle w:val="11"/>
        <w:keepNext w:val="0"/>
        <w:keepLines w:val="0"/>
        <w:pageBreakBefore w:val="0"/>
        <w:kinsoku/>
        <w:wordWrap/>
        <w:overflowPunct/>
        <w:topLinePunct w:val="0"/>
        <w:bidi w:val="0"/>
        <w:snapToGrid/>
        <w:spacing w:line="240" w:lineRule="auto"/>
        <w:ind w:firstLine="640"/>
        <w:textAlignment w:val="auto"/>
        <w:rPr>
          <w:rFonts w:hint="eastAsia" w:ascii="仿宋_GB2312" w:hAnsi="仿宋_GB2312" w:eastAsia="仿宋_GB2312" w:cs="仿宋_GB2312"/>
          <w:b w:val="0"/>
          <w:bCs/>
          <w:color w:val="000000" w:themeColor="text1"/>
          <w:kern w:val="2"/>
          <w:sz w:val="32"/>
          <w:szCs w:val="32"/>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第三章 合理布局规划标准</w:t>
      </w:r>
    </w:p>
    <w:p>
      <w:pPr>
        <w:pStyle w:val="11"/>
        <w:keepNext w:val="0"/>
        <w:keepLines w:val="0"/>
        <w:pageBreakBefore w:val="0"/>
        <w:kinsoku/>
        <w:wordWrap/>
        <w:overflowPunct/>
        <w:topLinePunct w:val="0"/>
        <w:bidi w:val="0"/>
        <w:snapToGrid/>
        <w:spacing w:line="240" w:lineRule="auto"/>
        <w:ind w:firstLine="640"/>
        <w:textAlignment w:val="auto"/>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第</w:t>
      </w:r>
      <w:r>
        <w:rPr>
          <w:rFonts w:hint="eastAsia" w:ascii="Times New Roman" w:hAnsi="Times New Roman" w:eastAsia="仿宋_GB2312" w:cs="Times New Roman"/>
          <w:b/>
          <w:bCs w:val="0"/>
          <w:color w:val="000000" w:themeColor="text1"/>
          <w:kern w:val="2"/>
          <w:sz w:val="32"/>
          <w:szCs w:val="32"/>
          <w:highlight w:val="none"/>
          <w:lang w:eastAsia="zh-CN"/>
          <w14:textFill>
            <w14:solidFill>
              <w14:schemeClr w14:val="tx1"/>
            </w14:solidFill>
          </w14:textFill>
        </w:rPr>
        <w:t>十一</w:t>
      </w:r>
      <w:r>
        <w:rPr>
          <w:rFonts w:hint="default" w:ascii="Times New Roman" w:hAnsi="Times New Roman" w:eastAsia="仿宋_GB2312" w:cs="Times New Roman"/>
          <w:b/>
          <w:bCs w:val="0"/>
          <w:color w:val="000000" w:themeColor="text1"/>
          <w:kern w:val="2"/>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根据</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建宁县城镇居民居住区域的特点，结合城乡建设规划</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市场类型等因素，将烟草制品零售市场划分为城区</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乡（镇）所在地</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行政村（含自然村）</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三</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种区域类型。</w:t>
      </w:r>
    </w:p>
    <w:p>
      <w:pPr>
        <w:keepNext w:val="0"/>
        <w:keepLines w:val="0"/>
        <w:pageBreakBefore w:val="0"/>
        <w:shd w:val="clear" w:color="auto" w:fill="FFFFFF"/>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w:t>
      </w:r>
      <w:r>
        <w:rPr>
          <w:rFonts w:hint="eastAsia" w:cs="Times New Roman"/>
          <w:b/>
          <w:bCs w:val="0"/>
          <w:color w:val="000000" w:themeColor="text1"/>
          <w:sz w:val="32"/>
          <w:szCs w:val="32"/>
          <w:highlight w:val="none"/>
          <w:lang w:eastAsia="zh-CN"/>
          <w14:textFill>
            <w14:solidFill>
              <w14:schemeClr w14:val="tx1"/>
            </w14:solidFill>
          </w14:textFill>
        </w:rPr>
        <w:t>十二</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区域单元规划标准</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如下：</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（一）城区</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乡（镇）所在地</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行政村（含自然村）</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的</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规划</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。以</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第七次人口普查</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作为重要制定基数，</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结合城镇、农村等地理位置，</w:t>
      </w:r>
      <w:r>
        <w:rPr>
          <w:rFonts w:hint="eastAsia" w:cs="Times New Roman"/>
          <w:b w:val="0"/>
          <w:bCs/>
          <w:color w:val="000000" w:themeColor="text1"/>
          <w:sz w:val="32"/>
          <w:szCs w:val="32"/>
          <w:highlight w:val="none"/>
          <w:lang w:val="en-US" w:eastAsia="zh-CN"/>
          <w14:textFill>
            <w14:solidFill>
              <w14:schemeClr w14:val="tx1"/>
            </w14:solidFill>
          </w14:textFill>
        </w:rPr>
        <w:t>上一年度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辖区经济水平以及</w:t>
      </w:r>
      <w:r>
        <w:rPr>
          <w:rFonts w:hint="eastAsia" w:cs="Times New Roman"/>
          <w:b w:val="0"/>
          <w:bCs/>
          <w:color w:val="000000" w:themeColor="text1"/>
          <w:sz w:val="32"/>
          <w:szCs w:val="32"/>
          <w:highlight w:val="none"/>
          <w:lang w:eastAsia="zh-CN"/>
          <w14:textFill>
            <w14:solidFill>
              <w14:schemeClr w14:val="tx1"/>
            </w14:solidFill>
          </w14:textFill>
        </w:rPr>
        <w:t>近两</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年全县卷烟销量</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、结构等</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因素，</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得出各区域烟草制品零售点布局规划理论数量</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经</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“烟草制品零售点合理布局管理委员会”结合各区域</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其他</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因素，确定零售点布局规划数量</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（二）城区封闭式住宅小区的规划。每200户</w:t>
      </w:r>
      <w:r>
        <w:rPr>
          <w:rFonts w:hint="eastAsia" w:cs="Times New Roman"/>
          <w:b w:val="0"/>
          <w:bCs/>
          <w:color w:val="000000" w:themeColor="text1"/>
          <w:sz w:val="32"/>
          <w:szCs w:val="32"/>
          <w:highlight w:val="none"/>
          <w:lang w:eastAsia="zh-CN"/>
          <w14:textFill>
            <w14:solidFill>
              <w14:schemeClr w14:val="tx1"/>
            </w14:solidFill>
          </w14:textFill>
        </w:rPr>
        <w:t>可</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规划1个烟草制品零售点，不足200户的按200户计算，每增加</w:t>
      </w:r>
      <w:r>
        <w:rPr>
          <w:rFonts w:hint="eastAsia" w:cs="Times New Roman"/>
          <w:b w:val="0"/>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0户</w:t>
      </w:r>
      <w:r>
        <w:rPr>
          <w:rFonts w:hint="eastAsia" w:cs="Times New Roman"/>
          <w:b w:val="0"/>
          <w:bCs/>
          <w:color w:val="000000" w:themeColor="text1"/>
          <w:sz w:val="32"/>
          <w:szCs w:val="32"/>
          <w:highlight w:val="none"/>
          <w:lang w:eastAsia="zh-CN"/>
          <w14:textFill>
            <w14:solidFill>
              <w14:schemeClr w14:val="tx1"/>
            </w14:solidFill>
          </w14:textFill>
        </w:rPr>
        <w:t>可</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增设1户零售点</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（三）行政村办证覆盖率达100%</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分散自然村基于</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“满足消费</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方便购买</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服务便捷</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利于管理”</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的原则，根据实际情况布局。</w:t>
      </w:r>
    </w:p>
    <w:p>
      <w:pPr>
        <w:keepNext w:val="0"/>
        <w:keepLines w:val="0"/>
        <w:pageBreakBefore w:val="0"/>
        <w:shd w:val="clear" w:color="auto" w:fill="FFFFFF"/>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w:t>
      </w:r>
      <w:r>
        <w:rPr>
          <w:rFonts w:hint="eastAsia" w:cs="Times New Roman"/>
          <w:b/>
          <w:bCs w:val="0"/>
          <w:color w:val="000000" w:themeColor="text1"/>
          <w:sz w:val="32"/>
          <w:szCs w:val="32"/>
          <w:highlight w:val="none"/>
          <w:lang w:eastAsia="zh-CN"/>
          <w14:textFill>
            <w14:solidFill>
              <w14:schemeClr w14:val="tx1"/>
            </w14:solidFill>
          </w14:textFill>
        </w:rPr>
        <w:t>十三</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烟草制品零售点布局规划情况应定期公示，并实行定期评价</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动态管理。</w:t>
      </w:r>
      <w:r>
        <w:rPr>
          <w:rFonts w:hint="eastAsia" w:cs="Times New Roman"/>
          <w:b w:val="0"/>
          <w:bCs/>
          <w:color w:val="000000" w:themeColor="text1"/>
          <w:sz w:val="32"/>
          <w:szCs w:val="32"/>
          <w:highlight w:val="none"/>
          <w:lang w:eastAsia="zh-CN"/>
          <w14:textFill>
            <w14:solidFill>
              <w14:schemeClr w14:val="tx1"/>
            </w14:solidFill>
          </w14:textFill>
        </w:rPr>
        <w:t>建宁县烟草专卖局设立</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烟草制品零售点合理布局管理委员会</w:t>
      </w:r>
      <w:r>
        <w:rPr>
          <w:rFonts w:hint="eastAsia"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根据社会情形的变化，建宁县烟草专卖</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烟草制品零售点合理布局管理委员会</w:t>
      </w:r>
      <w:r>
        <w:rPr>
          <w:rFonts w:hint="eastAsia" w:cs="Times New Roman"/>
          <w:b w:val="0"/>
          <w:bCs/>
          <w:color w:val="000000" w:themeColor="text1"/>
          <w:sz w:val="32"/>
          <w:szCs w:val="32"/>
          <w:highlight w:val="none"/>
          <w:lang w:eastAsia="zh-CN"/>
          <w14:textFill>
            <w14:solidFill>
              <w14:schemeClr w14:val="tx1"/>
            </w14:solidFill>
          </w14:textFill>
        </w:rPr>
        <w:t>应当根据实际情况</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对辖区内局部区域零售点布局数量进行调整，并在建宁县人民政府网站公告实施。</w:t>
      </w:r>
    </w:p>
    <w:p>
      <w:pPr>
        <w:keepNext w:val="0"/>
        <w:keepLines w:val="0"/>
        <w:pageBreakBefore w:val="0"/>
        <w:shd w:val="clear" w:color="auto" w:fill="FFFFFF"/>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第十</w:t>
      </w:r>
      <w:r>
        <w:rPr>
          <w:rFonts w:hint="eastAsia" w:cs="Times New Roman"/>
          <w:b/>
          <w:bCs w:val="0"/>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以下情形不受区域单元规划的限制：</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（一）营业面积在</w:t>
      </w:r>
      <w:r>
        <w:rPr>
          <w:rFonts w:hint="eastAsia" w:cs="Times New Roman"/>
          <w:b w:val="0"/>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000平方米以上的酒店</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宾馆</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度假村等娱乐服务类经营场所（不含网吧</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影剧院等法律法规明令禁止吸烟的公共场所）</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（二）营业面积在</w:t>
      </w:r>
      <w:r>
        <w:rPr>
          <w:rFonts w:hint="eastAsia" w:cs="Times New Roman"/>
          <w:b w:val="0"/>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00平方米以上的烟酒茶专卖店</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（三）城区营业面积在1000平方米以上或乡镇营业面积在400平方米以上的综合商场</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超市或便利店</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（四）用工人数300人以上的厂矿，为满足员工需求，以便利店</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服务部等形式需从事烟草制品零售业务且</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仅</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对内经营的，可设置一个零售点</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（五）需从事烟草制品零售业务的火车站</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县级汽车客运站</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等公共交通枢纽点，在其候车区域内，可设置不超过1个零售点。</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4A级以上旅游景区</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高速公路服务区内设置的旅客服务点或便利店，可设置一个零售点</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）需从事烟草制品零售业务</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且</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具备安全保障措施的加油站</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点内设置的便利店</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）因道路规划</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城市建设等客观原因造成经营地址变化</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持证人可申请变更到建宁县辖区内其他地址经营，但只能申请变更一次</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中小学</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幼儿园周边持证人，可申请变更到建宁县辖区内其他地址经营。未提出申请</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变更经营地址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的，许可证到期后将不予延续</w:t>
      </w:r>
      <w:r>
        <w:rPr>
          <w:rFonts w:hint="eastAsia"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以上所列举的因客观原因导致经营地址变更，仅能在变更前原经营地址所在城区、乡镇、行政村内进行变更，不得跨城区、跨乡镇、跨行政村变更。</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八</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由至少</w:t>
      </w:r>
      <w:r>
        <w:rPr>
          <w:rFonts w:hint="eastAsia" w:cs="Times New Roman"/>
          <w:b w:val="0"/>
          <w:bCs/>
          <w:color w:val="000000" w:themeColor="text1"/>
          <w:sz w:val="32"/>
          <w:szCs w:val="32"/>
          <w:highlight w:val="none"/>
          <w:lang w:val="en-US" w:eastAsia="zh-CN"/>
          <w14:textFill>
            <w14:solidFill>
              <w14:schemeClr w14:val="tx1"/>
            </w14:solidFill>
          </w14:textFill>
        </w:rPr>
        <w:t>两</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个地市级以上人民政府部门或单位与同级烟草部门联合行文设立的</w:t>
      </w:r>
      <w:r>
        <w:rPr>
          <w:rFonts w:hint="eastAsia" w:cs="Times New Roman"/>
          <w:b w:val="0"/>
          <w:bCs/>
          <w:color w:val="000000" w:themeColor="text1"/>
          <w:sz w:val="32"/>
          <w:szCs w:val="32"/>
          <w:highlight w:val="none"/>
          <w:lang w:val="en-US" w:eastAsia="zh-CN"/>
          <w14:textFill>
            <w14:solidFill>
              <w14:schemeClr w14:val="tx1"/>
            </w14:solidFill>
          </w14:textFill>
        </w:rPr>
        <w:t>基于服务乡村振兴，提升农村生产生活设施便利程度，设置在发文单位下设机构的零售示范点</w:t>
      </w:r>
      <w:r>
        <w:rPr>
          <w:rFonts w:hint="eastAsia"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napToGrid/>
        <w:spacing w:line="240" w:lineRule="auto"/>
        <w:ind w:firstLine="643" w:firstLineChars="200"/>
        <w:textAlignment w:val="auto"/>
        <w:rPr>
          <w:rFonts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第十</w:t>
      </w:r>
      <w:r>
        <w:rPr>
          <w:rFonts w:hint="eastAsia" w:cs="Times New Roman"/>
          <w:b/>
          <w:bCs w:val="0"/>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eastAsia" w:cs="Times New Roman"/>
          <w:b/>
          <w:bCs w:val="0"/>
          <w:color w:val="000000" w:themeColor="text1"/>
          <w:sz w:val="32"/>
          <w:szCs w:val="32"/>
          <w:highlight w:val="none"/>
          <w:lang w:val="en-US" w:eastAsia="zh-CN"/>
          <w14:textFill>
            <w14:solidFill>
              <w14:schemeClr w14:val="tx1"/>
            </w14:solidFill>
          </w14:textFill>
        </w:rPr>
        <w:t xml:space="preserve">  </w:t>
      </w:r>
      <w:r>
        <w:rPr>
          <w:rFonts w:hint="eastAsia" w:cs="Times New Roman"/>
          <w:color w:val="000000" w:themeColor="text1"/>
          <w:sz w:val="32"/>
          <w:szCs w:val="32"/>
          <w:highlight w:val="none"/>
          <w:lang w:val="en-US" w:eastAsia="zh-CN" w:bidi="ar"/>
          <w14:textFill>
            <w14:solidFill>
              <w14:schemeClr w14:val="tx1"/>
            </w14:solidFill>
          </w14:textFill>
        </w:rPr>
        <w:t>申请人属于</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弱势群体或优抚对象</w:t>
      </w:r>
      <w:r>
        <w:rPr>
          <w:rFonts w:hint="eastAsia" w:cs="Times New Roman"/>
          <w:color w:val="000000" w:themeColor="text1"/>
          <w:sz w:val="32"/>
          <w:szCs w:val="32"/>
          <w:highlight w:val="none"/>
          <w:lang w:val="en-US" w:eastAsia="zh-CN" w:bidi="ar"/>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，如</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烈属</w:t>
      </w:r>
      <w:r>
        <w:rPr>
          <w:rFonts w:hint="eastAsia" w:cs="Times New Roman"/>
          <w:color w:val="000000" w:themeColor="text1"/>
          <w:sz w:val="32"/>
          <w:szCs w:val="32"/>
          <w:highlight w:val="none"/>
          <w:lang w:eastAsia="zh-CN" w:bidi="ar"/>
          <w14:textFill>
            <w14:solidFill>
              <w14:schemeClr w14:val="tx1"/>
            </w14:solidFill>
          </w14:textFill>
        </w:rPr>
        <w:t>的直系亲属（</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父母、配偶、子女</w:t>
      </w:r>
      <w:r>
        <w:rPr>
          <w:rFonts w:hint="eastAsia" w:cs="Times New Roman"/>
          <w:color w:val="000000" w:themeColor="text1"/>
          <w:sz w:val="32"/>
          <w:szCs w:val="32"/>
          <w:highlight w:val="none"/>
          <w:lang w:eastAsia="zh-CN" w:bidi="ar"/>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、残疾人（持有“中国残疾人联合会”核发的残疾人证或伤残军人证，且为</w:t>
      </w:r>
      <w:r>
        <w:rPr>
          <w:rFonts w:hint="eastAsia" w:cs="Times New Roman"/>
          <w:color w:val="000000" w:themeColor="text1"/>
          <w:sz w:val="32"/>
          <w:szCs w:val="32"/>
          <w:highlight w:val="none"/>
          <w:lang w:eastAsia="zh-CN" w:bidi="ar"/>
          <w14:textFill>
            <w14:solidFill>
              <w14:schemeClr w14:val="tx1"/>
            </w14:solidFill>
          </w14:textFill>
        </w:rPr>
        <w:t>一</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级残疾）</w:t>
      </w:r>
      <w:r>
        <w:rPr>
          <w:rFonts w:hint="eastAsia" w:cs="Times New Roman"/>
          <w:color w:val="000000" w:themeColor="text1"/>
          <w:sz w:val="32"/>
          <w:szCs w:val="32"/>
          <w:highlight w:val="none"/>
          <w:lang w:eastAsia="zh-CN" w:bidi="ar"/>
          <w14:textFill>
            <w14:solidFill>
              <w14:schemeClr w14:val="tx1"/>
            </w14:solidFill>
          </w14:textFill>
        </w:rPr>
        <w:t>以及</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特困户</w:t>
      </w:r>
      <w:r>
        <w:rPr>
          <w:rFonts w:hint="eastAsia" w:cs="Times New Roman"/>
          <w:color w:val="000000" w:themeColor="text1"/>
          <w:sz w:val="32"/>
          <w:szCs w:val="32"/>
          <w:highlight w:val="none"/>
          <w:lang w:eastAsia="zh-CN" w:bidi="ar"/>
          <w14:textFill>
            <w14:solidFill>
              <w14:schemeClr w14:val="tx1"/>
            </w14:solidFill>
          </w14:textFill>
        </w:rPr>
        <w:t>（特困户需持有县级以上政府相关部门出具的有效证明材料）</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在所处区域单元内有办证指标的情况下，凭有效证明</w:t>
      </w:r>
      <w:r>
        <w:rPr>
          <w:rFonts w:hint="eastAsia" w:cs="Times New Roman"/>
          <w:color w:val="000000" w:themeColor="text1"/>
          <w:kern w:val="0"/>
          <w:sz w:val="32"/>
          <w:szCs w:val="32"/>
          <w:highlight w:val="none"/>
          <w:lang w:eastAsia="zh-CN" w:bidi="ar"/>
          <w14:textFill>
            <w14:solidFill>
              <w14:schemeClr w14:val="tx1"/>
            </w14:solidFill>
          </w14:textFill>
        </w:rPr>
        <w:t>，可以在同等条件下对其新办申请予以优先发证</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，但经营场所</w:t>
      </w:r>
      <w:r>
        <w:rPr>
          <w:rFonts w:hint="eastAsia" w:cs="Times New Roman"/>
          <w:color w:val="000000" w:themeColor="text1"/>
          <w:sz w:val="32"/>
          <w:szCs w:val="32"/>
          <w:highlight w:val="none"/>
          <w:lang w:eastAsia="zh-CN" w:bidi="ar"/>
          <w14:textFill>
            <w14:solidFill>
              <w14:schemeClr w14:val="tx1"/>
            </w14:solidFill>
          </w14:textFill>
        </w:rPr>
        <w:t>基于</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安全要求和中小学、幼儿园周围的限制规定等不得放宽。</w:t>
      </w:r>
    </w:p>
    <w:p>
      <w:pPr>
        <w:keepNext w:val="0"/>
        <w:keepLines w:val="0"/>
        <w:pageBreakBefore w:val="0"/>
        <w:kinsoku/>
        <w:wordWrap/>
        <w:overflowPunct/>
        <w:topLinePunct w:val="0"/>
        <w:bidi w:val="0"/>
        <w:snapToGrid/>
        <w:spacing w:line="240" w:lineRule="auto"/>
        <w:ind w:firstLine="640" w:firstLineChars="200"/>
        <w:textAlignment w:val="auto"/>
        <w:rPr>
          <w:rFonts w:hint="eastAsia" w:cs="Times New Roman"/>
          <w:color w:val="000000" w:themeColor="text1"/>
          <w:sz w:val="32"/>
          <w:szCs w:val="32"/>
          <w:highlight w:val="none"/>
          <w:lang w:eastAsia="zh-CN" w:bidi="ar"/>
          <w14:textFill>
            <w14:solidFill>
              <w14:schemeClr w14:val="tx1"/>
            </w14:solidFill>
          </w14:textFill>
        </w:rPr>
      </w:pPr>
      <w:r>
        <w:rPr>
          <w:rFonts w:hint="eastAsia" w:cs="Times New Roman"/>
          <w:color w:val="000000" w:themeColor="text1"/>
          <w:sz w:val="32"/>
          <w:szCs w:val="32"/>
          <w:highlight w:val="none"/>
          <w:lang w:eastAsia="zh-CN" w:bidi="ar"/>
          <w14:textFill>
            <w14:solidFill>
              <w14:schemeClr w14:val="tx1"/>
            </w14:solidFill>
          </w14:textFill>
        </w:rPr>
        <w:t>第一款所述“同等条件下”，指的是符合申办许可证法定条件，材料齐全，手续完备，本烟草专卖局同一时间点受理的情况下。</w:t>
      </w:r>
    </w:p>
    <w:p>
      <w:pPr>
        <w:keepNext w:val="0"/>
        <w:keepLines w:val="0"/>
        <w:pageBreakBefore w:val="0"/>
        <w:kinsoku/>
        <w:wordWrap/>
        <w:overflowPunct/>
        <w:topLinePunct w:val="0"/>
        <w:bidi w:val="0"/>
        <w:snapToGrid/>
        <w:spacing w:line="240" w:lineRule="auto"/>
        <w:ind w:firstLine="640" w:firstLineChars="200"/>
        <w:textAlignment w:val="auto"/>
        <w:rPr>
          <w:rFonts w:hint="eastAsia" w:cs="Times New Roman"/>
          <w:color w:val="000000" w:themeColor="text1"/>
          <w:sz w:val="32"/>
          <w:szCs w:val="32"/>
          <w:highlight w:val="none"/>
          <w:lang w:eastAsia="zh-CN" w:bidi="ar"/>
          <w14:textFill>
            <w14:solidFill>
              <w14:schemeClr w14:val="tx1"/>
            </w14:solidFill>
          </w14:textFill>
        </w:rPr>
      </w:pPr>
      <w:r>
        <w:rPr>
          <w:rFonts w:hint="eastAsia" w:cs="Times New Roman"/>
          <w:color w:val="000000" w:themeColor="text1"/>
          <w:sz w:val="32"/>
          <w:szCs w:val="32"/>
          <w:highlight w:val="none"/>
          <w:lang w:eastAsia="zh-CN" w:bidi="ar"/>
          <w14:textFill>
            <w14:solidFill>
              <w14:schemeClr w14:val="tx1"/>
            </w14:solidFill>
          </w14:textFill>
        </w:rPr>
        <w:t>第一款所述“优先发证”，指的是本烟草专卖局在同时受理两个以上新办申请时，对以上弱势群体或优抚对象予以优先发证。对两个以上弱势群体或优抚对象同时申请，且均符合条件的，按受理在先原则审批发证。</w:t>
      </w:r>
    </w:p>
    <w:p>
      <w:pPr>
        <w:keepNext w:val="0"/>
        <w:keepLines w:val="0"/>
        <w:pageBreakBefore w:val="0"/>
        <w:shd w:val="clear" w:color="auto" w:fill="FFFFFF"/>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第十</w:t>
      </w:r>
      <w:r>
        <w:rPr>
          <w:rFonts w:hint="eastAsia" w:cs="Times New Roman"/>
          <w:b/>
          <w:bCs w:val="0"/>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建宁县烟草专卖</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局应</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将辖区现有持证户</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各区域零售点布局数量以及申请办证户情况</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及时</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向社会公示，并在烟草行政服务中心设置咨询台，</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以便</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群众查询。</w:t>
      </w:r>
    </w:p>
    <w:p>
      <w:pPr>
        <w:keepNext w:val="0"/>
        <w:keepLines w:val="0"/>
        <w:pageBreakBefore w:val="0"/>
        <w:shd w:val="clear" w:color="auto" w:fill="FFFFFF"/>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第十</w:t>
      </w:r>
      <w:r>
        <w:rPr>
          <w:rFonts w:hint="eastAsia" w:cs="Times New Roman"/>
          <w:b/>
          <w:bCs w:val="0"/>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有下列情形之一的，不予发放烟草专卖零售许可证（含不受区域单元规划限制的）：</w:t>
      </w:r>
    </w:p>
    <w:p>
      <w:pPr>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（一）</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申请人为未成年人、无民事行为能力人或限制民事行为能力人的</w:t>
      </w:r>
      <w:r>
        <w:rPr>
          <w:rFonts w:hint="eastAsia" w:cs="Times New Roman"/>
          <w:color w:val="000000" w:themeColor="text1"/>
          <w:sz w:val="32"/>
          <w:szCs w:val="32"/>
          <w:highlight w:val="none"/>
          <w:lang w:eastAsia="zh-CN" w:bidi="ar"/>
          <w14:textFill>
            <w14:solidFill>
              <w14:schemeClr w14:val="tx1"/>
            </w14:solidFill>
          </w14:textFill>
        </w:rPr>
        <w:t>；</w:t>
      </w:r>
    </w:p>
    <w:p>
      <w:pPr>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未领取营业执照或营业执照失效的</w:t>
      </w:r>
      <w:r>
        <w:rPr>
          <w:rFonts w:hint="eastAsia" w:cs="Times New Roman"/>
          <w:color w:val="000000" w:themeColor="text1"/>
          <w:sz w:val="32"/>
          <w:szCs w:val="32"/>
          <w:highlight w:val="none"/>
          <w:lang w:eastAsia="zh-CN" w:bidi="ar"/>
          <w14:textFill>
            <w14:solidFill>
              <w14:schemeClr w14:val="tx1"/>
            </w14:solidFill>
          </w14:textFill>
        </w:rPr>
        <w:t>；</w:t>
      </w:r>
    </w:p>
    <w:p>
      <w:pPr>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外商投资的商业企业或个体工商户，或者其以特许、吸纳加盟及其他再投资等形式变相从事烟草专卖品经营业务的（国家烟草专卖行政主管部门规定可以办理的情形除外）</w:t>
      </w:r>
      <w:r>
        <w:rPr>
          <w:rFonts w:hint="eastAsia" w:cs="Times New Roman"/>
          <w:color w:val="000000" w:themeColor="text1"/>
          <w:sz w:val="32"/>
          <w:szCs w:val="32"/>
          <w:highlight w:val="none"/>
          <w:lang w:eastAsia="zh-CN" w:bidi="ar"/>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经营场所与住所不相独立。</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如：</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经营场所与住所混同，或者经营场所与住所相连且无法通过程序和文书设计使二者进行区分</w:t>
      </w:r>
      <w:r>
        <w:rPr>
          <w:rFonts w:hint="eastAsia" w:cs="Times New Roman"/>
          <w:color w:val="000000" w:themeColor="text1"/>
          <w:sz w:val="32"/>
          <w:szCs w:val="32"/>
          <w:highlight w:val="none"/>
          <w:lang w:eastAsia="zh-CN" w:bidi="ar"/>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）经营农药</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化肥</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油漆等有毒有害</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易燃易爆物品的商店以及重点防火区域等经营场所基于安全因素不适宜经营卷烟的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）中</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小学校内及周围50米以内</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幼儿园内及周围20米以内的经营场所</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七</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）违章建筑</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临时建筑或简易搭盖地</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规划一年内将实施拆迁的建筑物所在地</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八</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无固定经营场所（认定标准为：无政府部门核发的门牌号或地址信息的场所；不能提供合法占地证明的场所，包括但不限于简易房、危险建筑、临时建筑、流动摊点、报刊亭、电话亭等）</w:t>
      </w:r>
      <w:r>
        <w:rPr>
          <w:rFonts w:hint="eastAsia" w:cs="Times New Roman"/>
          <w:color w:val="000000" w:themeColor="text1"/>
          <w:sz w:val="32"/>
          <w:szCs w:val="32"/>
          <w:highlight w:val="none"/>
          <w:lang w:eastAsia="zh-CN" w:bidi="ar"/>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主营</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范围与食杂</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预包装</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食品</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饮食</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娱乐等行业无关的经营场所</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）利用信息网络渠道或变相利用自动售货机（柜）</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游戏机</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博彩机等以无人售卖方式经营烟草制品的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党政机关内部、医疗机构所属区域等政府、所属行业行政主管部门明令禁止经营烟草制品的区域</w:t>
      </w:r>
      <w:r>
        <w:rPr>
          <w:rFonts w:hint="eastAsia" w:cs="Times New Roman"/>
          <w:color w:val="000000" w:themeColor="text1"/>
          <w:sz w:val="32"/>
          <w:szCs w:val="32"/>
          <w:highlight w:val="none"/>
          <w:lang w:eastAsia="zh-CN" w:bidi="ar"/>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十二</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eastAsia="zh-CN"/>
          <w14:textFill>
            <w14:solidFill>
              <w14:schemeClr w14:val="tx1"/>
            </w14:solidFill>
          </w14:textFill>
        </w:rPr>
        <w:t>申请的</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经营场所已经办理了仍在有效期内的烟草专卖零售许可证的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十三</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）申请人提出申办许可证，虽提交的申请材料齐全</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符合法定形式，但执法人员到达现场进行勘察时发现申请人尚未开展</w:t>
      </w:r>
      <w:r>
        <w:rPr>
          <w:rFonts w:hint="eastAsia" w:cs="Times New Roman"/>
          <w:b w:val="0"/>
          <w:bCs/>
          <w:color w:val="000000" w:themeColor="text1"/>
          <w:sz w:val="32"/>
          <w:szCs w:val="32"/>
          <w:highlight w:val="none"/>
          <w:lang w:eastAsia="zh-CN"/>
          <w14:textFill>
            <w14:solidFill>
              <w14:schemeClr w14:val="tx1"/>
            </w14:solidFill>
          </w14:textFill>
        </w:rPr>
        <w:t>实际</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经营活动的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（十</w:t>
      </w:r>
      <w:r>
        <w:rPr>
          <w:rFonts w:hint="eastAsia" w:cs="Times New Roman"/>
          <w:b w:val="0"/>
          <w:bCs/>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）在尚未规划布局的区域内，申请人提出申请办理烟草专卖零售许可证的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十五</w:t>
      </w:r>
      <w:r>
        <w:rPr>
          <w:rFonts w:hint="eastAsia" w:cs="Times New Roman"/>
          <w:b w:val="0"/>
          <w:bCs/>
          <w:color w:val="000000" w:themeColor="text1"/>
          <w:sz w:val="32"/>
          <w:szCs w:val="32"/>
          <w:highlight w:val="none"/>
          <w:lang w:eastAsia="zh-CN"/>
          <w14:textFill>
            <w14:solidFill>
              <w14:schemeClr w14:val="tx1"/>
            </w14:solidFill>
          </w14:textFill>
        </w:rPr>
        <w:t>）取消从事烟草专卖业务资格不满三年的；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十六</w:t>
      </w:r>
      <w:r>
        <w:rPr>
          <w:rFonts w:hint="eastAsia" w:cs="Times New Roman"/>
          <w:b w:val="0"/>
          <w:bCs/>
          <w:color w:val="000000" w:themeColor="text1"/>
          <w:sz w:val="32"/>
          <w:szCs w:val="32"/>
          <w:highlight w:val="none"/>
          <w:lang w:eastAsia="zh-CN"/>
          <w14:textFill>
            <w14:solidFill>
              <w14:schemeClr w14:val="tx1"/>
            </w14:solidFill>
          </w14:textFill>
        </w:rPr>
        <w:t>）因申请人隐瞒有关情况或者提供虚假材料，烟草专卖局作出不予受理或者不予发证决定后，申请人一年内再次提出申请的；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十七</w:t>
      </w:r>
      <w:r>
        <w:rPr>
          <w:rFonts w:hint="eastAsia" w:cs="Times New Roman"/>
          <w:b w:val="0"/>
          <w:bCs/>
          <w:color w:val="000000" w:themeColor="text1"/>
          <w:sz w:val="32"/>
          <w:szCs w:val="32"/>
          <w:highlight w:val="none"/>
          <w:lang w:eastAsia="zh-CN"/>
          <w14:textFill>
            <w14:solidFill>
              <w14:schemeClr w14:val="tx1"/>
            </w14:solidFill>
          </w14:textFill>
        </w:rPr>
        <w:t>）因申请人以欺骗、贿赂等不正当手段取得的烟草专卖许可证被撤销后，申请人三年内再次提出申请的；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十八</w:t>
      </w:r>
      <w:r>
        <w:rPr>
          <w:rFonts w:hint="eastAsia" w:cs="Times New Roman"/>
          <w:b w:val="0"/>
          <w:bCs/>
          <w:color w:val="000000" w:themeColor="text1"/>
          <w:sz w:val="32"/>
          <w:szCs w:val="32"/>
          <w:highlight w:val="none"/>
          <w:lang w:eastAsia="zh-CN"/>
          <w14:textFill>
            <w14:solidFill>
              <w14:schemeClr w14:val="tx1"/>
            </w14:solidFill>
          </w14:textFill>
        </w:rPr>
        <w:t>）未领取烟草专卖零售许可证经营烟草专卖品业务，并且一年内被执法机关处罚两次以上，在三年内申请领取烟草专卖零售许可证的；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十九</w:t>
      </w:r>
      <w:r>
        <w:rPr>
          <w:rFonts w:hint="eastAsia" w:cs="Times New Roman"/>
          <w:b w:val="0"/>
          <w:bCs/>
          <w:color w:val="000000" w:themeColor="text1"/>
          <w:sz w:val="32"/>
          <w:szCs w:val="32"/>
          <w:highlight w:val="none"/>
          <w:lang w:eastAsia="zh-CN"/>
          <w14:textFill>
            <w14:solidFill>
              <w14:schemeClr w14:val="tx1"/>
            </w14:solidFill>
          </w14:textFill>
        </w:rPr>
        <w:t>）未领取烟草专卖零售许可证经营烟草专卖品业务被追究刑事责任，在3年内申请领取烟草专卖零售许可证的；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cs="Times New Roman"/>
          <w:b w:val="0"/>
          <w:bCs/>
          <w:color w:val="000000" w:themeColor="text1"/>
          <w:sz w:val="32"/>
          <w:szCs w:val="32"/>
          <w:highlight w:val="none"/>
          <w:lang w:eastAsia="zh-CN"/>
          <w14:textFill>
            <w14:solidFill>
              <w14:schemeClr w14:val="tx1"/>
            </w14:solidFill>
          </w14:textFill>
        </w:rPr>
      </w:pPr>
      <w:r>
        <w:rPr>
          <w:rFonts w:hint="eastAsia" w:cs="Times New Roman"/>
          <w:b w:val="0"/>
          <w:bCs/>
          <w:color w:val="000000" w:themeColor="text1"/>
          <w:sz w:val="32"/>
          <w:szCs w:val="32"/>
          <w:highlight w:val="none"/>
          <w:lang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二十</w:t>
      </w:r>
      <w:r>
        <w:rPr>
          <w:rFonts w:hint="eastAsia" w:cs="Times New Roman"/>
          <w:b w:val="0"/>
          <w:bCs/>
          <w:color w:val="000000" w:themeColor="text1"/>
          <w:sz w:val="32"/>
          <w:szCs w:val="32"/>
          <w:highlight w:val="none"/>
          <w:lang w:eastAsia="zh-CN"/>
          <w14:textFill>
            <w14:solidFill>
              <w14:schemeClr w14:val="tx1"/>
            </w14:solidFill>
          </w14:textFill>
        </w:rPr>
        <w:t>）不符合</w:t>
      </w:r>
      <w:r>
        <w:rPr>
          <w:rFonts w:hint="eastAsia" w:cs="Times New Roman"/>
          <w:b w:val="0"/>
          <w:bCs/>
          <w:color w:val="000000" w:themeColor="text1"/>
          <w:sz w:val="32"/>
          <w:szCs w:val="32"/>
          <w:highlight w:val="none"/>
          <w:lang w:val="en-US" w:eastAsia="zh-CN"/>
          <w14:textFill>
            <w14:solidFill>
              <w14:schemeClr w14:val="tx1"/>
            </w14:solidFill>
          </w14:textFill>
        </w:rPr>
        <w:t>建宁县</w:t>
      </w:r>
      <w:r>
        <w:rPr>
          <w:rFonts w:hint="eastAsia" w:cs="Times New Roman"/>
          <w:b w:val="0"/>
          <w:bCs/>
          <w:color w:val="000000" w:themeColor="text1"/>
          <w:sz w:val="32"/>
          <w:szCs w:val="32"/>
          <w:highlight w:val="none"/>
          <w:lang w:eastAsia="zh-CN"/>
          <w14:textFill>
            <w14:solidFill>
              <w14:schemeClr w14:val="tx1"/>
            </w14:solidFill>
          </w14:textFill>
        </w:rPr>
        <w:t>烟草制品零售点合理布局要求的；</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二十一</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）法律</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法规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规章及国务院烟草专卖行政主管部门规定的其他不予发证的情形。</w:t>
      </w:r>
    </w:p>
    <w:p>
      <w:pPr>
        <w:spacing w:line="560" w:lineRule="exact"/>
        <w:ind w:firstLine="643" w:firstLineChars="200"/>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第十</w:t>
      </w:r>
      <w:r>
        <w:rPr>
          <w:rFonts w:hint="eastAsia" w:cs="Times New Roman"/>
          <w:b/>
          <w:bCs w:val="0"/>
          <w:color w:val="000000" w:themeColor="text1"/>
          <w:sz w:val="32"/>
          <w:szCs w:val="32"/>
          <w:highlight w:val="none"/>
          <w:lang w:eastAsia="zh-CN"/>
          <w14:textFill>
            <w14:solidFill>
              <w14:schemeClr w14:val="tx1"/>
            </w14:solidFill>
          </w14:textFill>
        </w:rPr>
        <w:t>八</w:t>
      </w:r>
      <w:r>
        <w:rPr>
          <w:rFonts w:hint="default"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eastAsia" w:cs="Times New Roman"/>
          <w:b/>
          <w:bCs w:val="0"/>
          <w:i w:val="0"/>
          <w:iCs w:val="0"/>
          <w:color w:val="000000" w:themeColor="text1"/>
          <w:sz w:val="32"/>
          <w:szCs w:val="32"/>
          <w:highlight w:val="none"/>
          <w:lang w:val="en-US" w:eastAsia="zh-CN"/>
          <w14:textFill>
            <w14:solidFill>
              <w14:schemeClr w14:val="tx1"/>
            </w14:solidFill>
          </w14:textFill>
        </w:rPr>
        <w:t xml:space="preserve">  </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持有烟草专卖零售许可证的国有企业，按照国家关于发展混合所有制经济的要求，经国家有关部门批准为国有控股的混合所有制企业，</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且</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继续从事卷烟零售业务</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的</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,原许可证依法注销后重新申领</w:t>
      </w:r>
      <w:r>
        <w:rPr>
          <w:rFonts w:hint="eastAsia" w:cs="Times New Roman"/>
          <w:color w:val="000000" w:themeColor="text1"/>
          <w:kern w:val="0"/>
          <w:sz w:val="32"/>
          <w:szCs w:val="32"/>
          <w:highlight w:val="none"/>
          <w:lang w:eastAsia="zh-CN" w:bidi="ar"/>
          <w14:textFill>
            <w14:solidFill>
              <w14:schemeClr w14:val="tx1"/>
            </w14:solidFill>
          </w14:textFill>
        </w:rPr>
        <w:t>，办证机构应当予以办理</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240" w:lineRule="auto"/>
        <w:ind w:firstLine="640" w:firstLineChars="200"/>
        <w:textAlignment w:val="auto"/>
        <w:rPr>
          <w:rFonts w:hint="eastAsia" w:ascii="Times New Roman" w:hAnsi="Times New Roman" w:eastAsia="仿宋_GB2312" w:cs="Times New Roman"/>
          <w:b w:val="0"/>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第四章 附则</w:t>
      </w:r>
    </w:p>
    <w:p>
      <w:pPr>
        <w:keepNext w:val="0"/>
        <w:keepLines w:val="0"/>
        <w:pageBreakBefore w:val="0"/>
        <w:kinsoku/>
        <w:wordWrap/>
        <w:overflowPunct/>
        <w:topLinePunct w:val="0"/>
        <w:autoSpaceDE w:val="0"/>
        <w:autoSpaceDN w:val="0"/>
        <w:bidi w:val="0"/>
        <w:adjustRightInd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第十</w:t>
      </w:r>
      <w:r>
        <w:rPr>
          <w:rFonts w:hint="eastAsia" w:cs="Times New Roman"/>
          <w:b/>
          <w:bCs w:val="0"/>
          <w:i w:val="0"/>
          <w:iCs w:val="0"/>
          <w:color w:val="000000" w:themeColor="text1"/>
          <w:sz w:val="32"/>
          <w:szCs w:val="32"/>
          <w:highlight w:val="none"/>
          <w:lang w:eastAsia="zh-CN"/>
          <w14:textFill>
            <w14:solidFill>
              <w14:schemeClr w14:val="tx1"/>
            </w14:solidFill>
          </w14:textFill>
        </w:rPr>
        <w:t>九</w:t>
      </w: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本规定所称的营业面积是指直接用于经营业务的面积（套内面积），不包括车库</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生活区等辅助设施的面积。</w:t>
      </w:r>
    </w:p>
    <w:p>
      <w:pPr>
        <w:keepNext w:val="0"/>
        <w:keepLines w:val="0"/>
        <w:pageBreakBefore w:val="0"/>
        <w:kinsoku/>
        <w:wordWrap/>
        <w:overflowPunct/>
        <w:topLinePunct w:val="0"/>
        <w:autoSpaceDE w:val="0"/>
        <w:autoSpaceDN w:val="0"/>
        <w:bidi w:val="0"/>
        <w:adjustRightInd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第</w:t>
      </w:r>
      <w:r>
        <w:rPr>
          <w:rFonts w:hint="eastAsia" w:cs="Times New Roman"/>
          <w:b/>
          <w:bCs w:val="0"/>
          <w:i w:val="0"/>
          <w:iCs w:val="0"/>
          <w:color w:val="000000" w:themeColor="text1"/>
          <w:sz w:val="32"/>
          <w:szCs w:val="32"/>
          <w:highlight w:val="none"/>
          <w:lang w:eastAsia="zh-CN"/>
          <w14:textFill>
            <w14:solidFill>
              <w14:schemeClr w14:val="tx1"/>
            </w14:solidFill>
          </w14:textFill>
        </w:rPr>
        <w:t>二十</w:t>
      </w: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本规定所称封闭式住宅小区应有门岗和院墙。</w:t>
      </w:r>
    </w:p>
    <w:p>
      <w:pPr>
        <w:keepNext w:val="0"/>
        <w:keepLines w:val="0"/>
        <w:pageBreakBefore w:val="0"/>
        <w:kinsoku/>
        <w:wordWrap/>
        <w:overflowPunct/>
        <w:topLinePunct w:val="0"/>
        <w:autoSpaceDE w:val="0"/>
        <w:autoSpaceDN w:val="0"/>
        <w:bidi w:val="0"/>
        <w:adjustRightInd w:val="0"/>
        <w:snapToGrid/>
        <w:spacing w:line="240" w:lineRule="auto"/>
        <w:ind w:firstLine="643"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第</w:t>
      </w:r>
      <w:r>
        <w:rPr>
          <w:rFonts w:hint="eastAsia" w:cs="Times New Roman"/>
          <w:b/>
          <w:bCs w:val="0"/>
          <w:i w:val="0"/>
          <w:iCs w:val="0"/>
          <w:color w:val="000000" w:themeColor="text1"/>
          <w:sz w:val="32"/>
          <w:szCs w:val="32"/>
          <w:highlight w:val="none"/>
          <w:lang w:eastAsia="zh-CN"/>
          <w14:textFill>
            <w14:solidFill>
              <w14:schemeClr w14:val="tx1"/>
            </w14:solidFill>
          </w14:textFill>
        </w:rPr>
        <w:t>二十一</w:t>
      </w: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本规定中的“中小学”，是指以未成年人为教育对象，实施中等和初等教育的学校，包括普通中小学</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特殊教育学校</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中等职业学校</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专门学校等。“幼儿园”是指教育行政部门批准的获得许可证的幼儿托管场所。</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“周围50米范围内”是指以行人不违反道路交通规则</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习惯性行走为前提，进出中</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小学校通道口中心点至从事烟草制品零售业务的</w:t>
      </w:r>
      <w:r>
        <w:rPr>
          <w:rFonts w:hint="default" w:ascii="Times New Roman" w:hAnsi="Times New Roman" w:eastAsia="仿宋_GB2312" w:cs="Times New Roman"/>
          <w:b w:val="0"/>
          <w:bCs/>
          <w:color w:val="auto"/>
          <w:sz w:val="32"/>
          <w:szCs w:val="32"/>
          <w:highlight w:val="none"/>
        </w:rPr>
        <w:t>经营场所出入口中心的最短直线距离在50米的范围内。</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“周围20米范围内”是指以行人不违反道路交通规则</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习惯性行走为前提，进出幼儿园通道口中心点至从事烟草制品零售业务的经营场所出入口中心的最短直线距离在20米的范围内。</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ascii="Times New Roman" w:hAnsi="Times New Roman" w:eastAsia="仿宋_GB2312" w:cs="Times New Roman"/>
          <w:color w:val="auto"/>
          <w:kern w:val="0"/>
          <w:sz w:val="32"/>
          <w:szCs w:val="32"/>
          <w:highlight w:val="none"/>
          <w:lang w:bidi="ar"/>
        </w:rPr>
        <w:t>若经营场所有一个以上出入口的，选择相互距离最近的出入口作为测量点。</w:t>
      </w:r>
      <w:r>
        <w:rPr>
          <w:rFonts w:hint="eastAsia" w:cs="Times New Roman"/>
          <w:b w:val="0"/>
          <w:bCs/>
          <w:color w:val="auto"/>
          <w:sz w:val="32"/>
          <w:szCs w:val="32"/>
          <w:highlight w:val="none"/>
          <w:lang w:val="en-US" w:eastAsia="zh-CN"/>
        </w:rPr>
        <w:t>勘验标准详见</w:t>
      </w:r>
      <w:r>
        <w:rPr>
          <w:rFonts w:hint="eastAsia" w:ascii="仿宋_GB2312" w:eastAsia="仿宋_GB2312"/>
          <w:color w:val="auto"/>
          <w:sz w:val="32"/>
          <w:szCs w:val="32"/>
          <w:highlight w:val="none"/>
        </w:rPr>
        <w:t>附</w:t>
      </w:r>
      <w:r>
        <w:rPr>
          <w:rFonts w:hint="eastAsia" w:ascii="仿宋_GB2312" w:eastAsia="仿宋_GB2312"/>
          <w:color w:val="000000" w:themeColor="text1"/>
          <w:sz w:val="32"/>
          <w:szCs w:val="32"/>
          <w:highlight w:val="none"/>
          <w14:textFill>
            <w14:solidFill>
              <w14:schemeClr w14:val="tx1"/>
            </w14:solidFill>
          </w14:textFill>
        </w:rPr>
        <w:t>件</w:t>
      </w:r>
      <w:r>
        <w:rPr>
          <w:rFonts w:hint="eastAsia" w:ascii="仿宋_GB2312"/>
          <w:color w:val="000000" w:themeColor="text1"/>
          <w:sz w:val="32"/>
          <w:szCs w:val="32"/>
          <w:highlight w:val="none"/>
          <w:lang w:val="en-US" w:eastAsia="zh-CN"/>
          <w14:textFill>
            <w14:solidFill>
              <w14:schemeClr w14:val="tx1"/>
            </w14:solidFill>
          </w14:textFill>
        </w:rPr>
        <w:t>5。</w:t>
      </w:r>
    </w:p>
    <w:p>
      <w:pPr>
        <w:keepNext w:val="0"/>
        <w:keepLines w:val="0"/>
        <w:pageBreakBefore w:val="0"/>
        <w:kinsoku/>
        <w:wordWrap/>
        <w:overflowPunct/>
        <w:topLinePunct w:val="0"/>
        <w:autoSpaceDE w:val="0"/>
        <w:autoSpaceDN w:val="0"/>
        <w:bidi w:val="0"/>
        <w:adjustRightInd w:val="0"/>
        <w:snapToGrid/>
        <w:spacing w:line="240" w:lineRule="auto"/>
        <w:ind w:firstLine="643"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第</w:t>
      </w:r>
      <w:r>
        <w:rPr>
          <w:rFonts w:hint="eastAsia" w:cs="Times New Roman"/>
          <w:b/>
          <w:bCs w:val="0"/>
          <w:i w:val="0"/>
          <w:iCs w:val="0"/>
          <w:color w:val="000000" w:themeColor="text1"/>
          <w:sz w:val="32"/>
          <w:szCs w:val="32"/>
          <w:highlight w:val="none"/>
          <w:lang w:eastAsia="zh-CN"/>
          <w14:textFill>
            <w14:solidFill>
              <w14:schemeClr w14:val="tx1"/>
            </w14:solidFill>
          </w14:textFill>
        </w:rPr>
        <w:t>二十二</w:t>
      </w:r>
      <w:r>
        <w:rPr>
          <w:rFonts w:hint="default" w:ascii="Times New Roman" w:hAnsi="Times New Roman" w:eastAsia="仿宋_GB2312" w:cs="Times New Roman"/>
          <w:b/>
          <w:bCs w:val="0"/>
          <w:i w:val="0"/>
          <w:iCs w:val="0"/>
          <w:color w:val="000000" w:themeColor="text1"/>
          <w:sz w:val="32"/>
          <w:szCs w:val="32"/>
          <w:highlight w:val="none"/>
          <w14:textFill>
            <w14:solidFill>
              <w14:schemeClr w14:val="tx1"/>
            </w14:solidFill>
          </w14:textFill>
        </w:rPr>
        <w:t>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rPr>
        <w:t>本规定中的“以上”含本数。</w:t>
      </w:r>
    </w:p>
    <w:p>
      <w:pPr>
        <w:keepNext w:val="0"/>
        <w:keepLines w:val="0"/>
        <w:pageBreakBefore w:val="0"/>
        <w:kinsoku/>
        <w:wordWrap/>
        <w:overflowPunct/>
        <w:topLinePunct w:val="0"/>
        <w:bidi w:val="0"/>
        <w:snapToGrid/>
        <w:spacing w:line="240" w:lineRule="auto"/>
        <w:ind w:firstLine="643"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bCs w:val="0"/>
          <w:i w:val="0"/>
          <w:iCs w:val="0"/>
          <w:color w:val="auto"/>
          <w:sz w:val="32"/>
          <w:szCs w:val="32"/>
          <w:highlight w:val="none"/>
        </w:rPr>
        <w:t>第</w:t>
      </w:r>
      <w:r>
        <w:rPr>
          <w:rFonts w:hint="eastAsia" w:cs="Times New Roman"/>
          <w:b/>
          <w:bCs w:val="0"/>
          <w:i w:val="0"/>
          <w:iCs w:val="0"/>
          <w:color w:val="auto"/>
          <w:sz w:val="32"/>
          <w:szCs w:val="32"/>
          <w:highlight w:val="none"/>
          <w:lang w:eastAsia="zh-CN"/>
        </w:rPr>
        <w:t>二十三</w:t>
      </w:r>
      <w:r>
        <w:rPr>
          <w:rFonts w:hint="default" w:ascii="Times New Roman" w:hAnsi="Times New Roman" w:eastAsia="仿宋_GB2312" w:cs="Times New Roman"/>
          <w:b/>
          <w:bCs w:val="0"/>
          <w:i w:val="0"/>
          <w:iCs w:val="0"/>
          <w:color w:val="auto"/>
          <w:sz w:val="32"/>
          <w:szCs w:val="32"/>
          <w:highlight w:val="none"/>
        </w:rPr>
        <w:t>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rPr>
        <w:t>本规定自</w:t>
      </w:r>
      <w:r>
        <w:rPr>
          <w:rFonts w:hint="default" w:ascii="Times New Roman" w:hAnsi="Times New Roman" w:eastAsia="仿宋_GB2312"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w:t>
      </w:r>
      <w:r>
        <w:rPr>
          <w:rFonts w:hint="eastAsia"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b w:val="0"/>
          <w:bCs/>
          <w:color w:val="auto"/>
          <w:sz w:val="32"/>
          <w:szCs w:val="32"/>
          <w:highlight w:val="none"/>
        </w:rPr>
        <w:t>起施行，由建宁县烟草专卖局负责解释</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遇上级政策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规定调整的，按上级规定标准执行。</w:t>
      </w:r>
      <w:r>
        <w:rPr>
          <w:rFonts w:hint="default" w:ascii="Times New Roman" w:hAnsi="Times New Roman" w:eastAsia="仿宋_GB2312" w:cs="Times New Roman"/>
          <w:b w:val="0"/>
          <w:bCs/>
          <w:color w:val="auto"/>
          <w:sz w:val="32"/>
          <w:szCs w:val="32"/>
          <w:highlight w:val="none"/>
        </w:rPr>
        <w:t>原20</w:t>
      </w:r>
      <w:r>
        <w:rPr>
          <w:rFonts w:hint="default" w:ascii="Times New Roman" w:hAnsi="Times New Roman" w:cs="Times New Roman"/>
          <w:b w:val="0"/>
          <w:bCs/>
          <w:color w:val="auto"/>
          <w:sz w:val="32"/>
          <w:szCs w:val="32"/>
          <w:highlight w:val="none"/>
          <w:lang w:val="en-US" w:eastAsia="zh-CN"/>
        </w:rPr>
        <w:t>2</w:t>
      </w:r>
      <w:r>
        <w:rPr>
          <w:rFonts w:hint="eastAsia" w:cs="Times New Roman"/>
          <w:b w:val="0"/>
          <w:bCs/>
          <w:color w:val="auto"/>
          <w:sz w:val="32"/>
          <w:szCs w:val="32"/>
          <w:highlight w:val="none"/>
          <w:lang w:val="en-US" w:eastAsia="zh-CN"/>
        </w:rPr>
        <w:t>3</w:t>
      </w:r>
      <w:r>
        <w:rPr>
          <w:rFonts w:hint="default" w:ascii="Times New Roman" w:hAnsi="Times New Roman" w:eastAsia="仿宋_GB2312" w:cs="Times New Roman"/>
          <w:b w:val="0"/>
          <w:bCs/>
          <w:color w:val="auto"/>
          <w:sz w:val="32"/>
          <w:szCs w:val="32"/>
          <w:highlight w:val="none"/>
        </w:rPr>
        <w:t>年</w:t>
      </w:r>
      <w:r>
        <w:rPr>
          <w:rFonts w:hint="eastAsia" w:cs="Times New Roman"/>
          <w:b w:val="0"/>
          <w:bCs/>
          <w:color w:val="auto"/>
          <w:sz w:val="32"/>
          <w:szCs w:val="32"/>
          <w:highlight w:val="none"/>
          <w:lang w:val="en-US" w:eastAsia="zh-CN"/>
        </w:rPr>
        <w:t>7</w:t>
      </w:r>
      <w:r>
        <w:rPr>
          <w:rFonts w:hint="default" w:ascii="Times New Roman" w:hAnsi="Times New Roman" w:eastAsia="仿宋_GB2312" w:cs="Times New Roman"/>
          <w:b w:val="0"/>
          <w:bCs/>
          <w:color w:val="auto"/>
          <w:sz w:val="32"/>
          <w:szCs w:val="32"/>
          <w:highlight w:val="none"/>
        </w:rPr>
        <w:t>月</w:t>
      </w:r>
      <w:r>
        <w:rPr>
          <w:rFonts w:hint="eastAsia"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日施行的《建宁县烟草专卖局关于印发建宁县烟草制品零售点合理布局规定的通知》同时废止。本规定效力不溯及既往，尊重历史，当片区现有户数大于控制数时保持现有户数规模，在现有户数退出名额时不再增补名额直至现有户数少于控制数时才视情况进行增补。</w:t>
      </w:r>
    </w:p>
    <w:p>
      <w:pPr>
        <w:keepNext w:val="0"/>
        <w:keepLines w:val="0"/>
        <w:pageBreakBefore w:val="0"/>
        <w:kinsoku/>
        <w:wordWrap/>
        <w:overflowPunct/>
        <w:topLinePunct w:val="0"/>
        <w:bidi w:val="0"/>
        <w:snapToGrid/>
        <w:spacing w:line="240" w:lineRule="auto"/>
        <w:ind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附件</w:t>
      </w:r>
      <w:r>
        <w:rPr>
          <w:rFonts w:hint="default" w:ascii="Times New Roman" w:hAnsi="Times New Roman" w:cs="Times New Roman"/>
          <w:color w:val="auto"/>
          <w:szCs w:val="32"/>
          <w:highlight w:val="none"/>
          <w:lang w:val="en-US" w:eastAsia="zh-CN"/>
        </w:rPr>
        <w:t>1</w:t>
      </w:r>
      <w:r>
        <w:rPr>
          <w:rFonts w:hint="default" w:ascii="Times New Roman" w:hAnsi="Times New Roman" w:cs="Times New Roman"/>
          <w:color w:val="auto"/>
          <w:szCs w:val="32"/>
          <w:highlight w:val="none"/>
        </w:rPr>
        <w:t>: 建宁县烟草制品零售点合理布局规划（城区）</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附件2</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建宁县烟草制品零售点合理布局规划（乡（镇））</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附件3</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建宁县烟草制品零售点合理布局规划（行政村（含自然村））</w:t>
      </w:r>
    </w:p>
    <w:p>
      <w:pPr>
        <w:ind w:firstLine="640" w:firstLineChars="200"/>
        <w:jc w:val="both"/>
        <w:rPr>
          <w:rFonts w:hint="eastAsia" w:ascii="Times New Roman" w:hAnsi="Times New Roman" w:eastAsia="仿宋_GB2312" w:cs="Times New Roman"/>
          <w:color w:val="auto"/>
          <w:szCs w:val="32"/>
          <w:highlight w:val="none"/>
          <w:lang w:val="en-US" w:eastAsia="zh-CN"/>
        </w:rPr>
      </w:pPr>
      <w:r>
        <w:rPr>
          <w:rFonts w:hint="default" w:ascii="Times New Roman" w:hAnsi="Times New Roman" w:cs="Times New Roman"/>
          <w:color w:val="auto"/>
          <w:szCs w:val="32"/>
          <w:highlight w:val="none"/>
        </w:rPr>
        <w:t>附件</w:t>
      </w:r>
      <w:r>
        <w:rPr>
          <w:rFonts w:hint="eastAsia" w:cs="Times New Roman"/>
          <w:color w:val="auto"/>
          <w:szCs w:val="32"/>
          <w:highlight w:val="none"/>
          <w:lang w:val="en-US" w:eastAsia="zh-CN"/>
        </w:rPr>
        <w:t>4</w:t>
      </w:r>
      <w:r>
        <w:rPr>
          <w:rFonts w:hint="default"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专卖零售许可证办理轮候注意事项</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default" w:ascii="Times New Roman" w:hAnsi="Times New Roman" w:cs="Times New Roman"/>
          <w:color w:val="auto"/>
          <w:szCs w:val="32"/>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default" w:ascii="Times New Roman" w:hAnsi="Times New Roman" w:cs="Times New Roman"/>
          <w:color w:val="auto"/>
          <w:szCs w:val="32"/>
          <w:highlight w:val="none"/>
        </w:rPr>
        <w:t>附件</w:t>
      </w:r>
      <w:r>
        <w:rPr>
          <w:rFonts w:hint="eastAsia" w:cs="Times New Roman"/>
          <w:color w:val="auto"/>
          <w:szCs w:val="32"/>
          <w:highlight w:val="none"/>
          <w:lang w:val="en-US" w:eastAsia="zh-CN"/>
        </w:rPr>
        <w:t>5：</w:t>
      </w:r>
      <w:r>
        <w:rPr>
          <w:rFonts w:hint="eastAsia" w:ascii="Times New Roman" w:hAnsi="Times New Roman" w:cs="Times New Roman"/>
          <w:color w:val="auto"/>
          <w:szCs w:val="32"/>
          <w:highlight w:val="none"/>
        </w:rPr>
        <w:t>烟草制品零售点现场测量规则</w:t>
      </w:r>
    </w:p>
    <w:p>
      <w:pPr>
        <w:rPr>
          <w:rFonts w:hint="eastAsia" w:ascii="仿宋_GB2312" w:hAnsi="宋体"/>
          <w:b/>
          <w:color w:val="auto"/>
          <w:sz w:val="28"/>
          <w:szCs w:val="28"/>
          <w:highlight w:val="none"/>
          <w:lang w:val="en-US" w:eastAsia="zh-CN"/>
        </w:rPr>
      </w:pPr>
      <w:r>
        <w:rPr>
          <w:rFonts w:hint="eastAsia" w:ascii="仿宋_GB2312" w:hAnsi="宋体" w:eastAsia="仿宋_GB2312"/>
          <w:b/>
          <w:color w:val="auto"/>
          <w:sz w:val="28"/>
          <w:szCs w:val="28"/>
          <w:highlight w:val="none"/>
        </w:rPr>
        <w:t>附件</w:t>
      </w:r>
      <w:r>
        <w:rPr>
          <w:rFonts w:hint="eastAsia" w:ascii="仿宋_GB2312" w:hAnsi="宋体"/>
          <w:b/>
          <w:color w:val="auto"/>
          <w:sz w:val="28"/>
          <w:szCs w:val="28"/>
          <w:highlight w:val="none"/>
          <w:lang w:val="en-US" w:eastAsia="zh-CN"/>
        </w:rPr>
        <w:t>1</w:t>
      </w:r>
    </w:p>
    <w:p>
      <w:pPr>
        <w:autoSpaceDN w:val="0"/>
        <w:jc w:val="center"/>
        <w:textAlignment w:val="center"/>
        <w:rPr>
          <w:rFonts w:hint="eastAsia" w:ascii="方正小标宋简体" w:hAnsi="方正小标宋简体" w:eastAsia="方正小标宋简体"/>
          <w:color w:val="auto"/>
          <w:sz w:val="30"/>
          <w:szCs w:val="30"/>
          <w:highlight w:val="none"/>
        </w:rPr>
      </w:pPr>
      <w:r>
        <w:rPr>
          <w:rFonts w:hint="eastAsia" w:ascii="方正小标宋简体" w:hAnsi="方正小标宋简体" w:eastAsia="方正小标宋简体"/>
          <w:color w:val="auto"/>
          <w:sz w:val="30"/>
          <w:szCs w:val="30"/>
          <w:highlight w:val="none"/>
        </w:rPr>
        <w:t>建宁县烟草制品零售点合理布局规划（</w:t>
      </w:r>
      <w:r>
        <w:rPr>
          <w:rFonts w:hint="eastAsia" w:ascii="方正小标宋简体" w:hAnsi="方正小标宋简体" w:eastAsia="方正小标宋简体"/>
          <w:color w:val="auto"/>
          <w:sz w:val="30"/>
          <w:szCs w:val="30"/>
          <w:highlight w:val="none"/>
          <w:lang w:eastAsia="zh-CN"/>
        </w:rPr>
        <w:t>新生、复兴</w:t>
      </w:r>
      <w:r>
        <w:rPr>
          <w:rFonts w:hint="eastAsia" w:ascii="方正小标宋简体" w:hAnsi="方正小标宋简体" w:eastAsia="方正小标宋简体"/>
          <w:color w:val="auto"/>
          <w:sz w:val="30"/>
          <w:szCs w:val="30"/>
          <w:highlight w:val="none"/>
          <w:lang w:val="en-US" w:eastAsia="zh-CN"/>
        </w:rPr>
        <w:t>社区</w:t>
      </w:r>
      <w:r>
        <w:rPr>
          <w:rFonts w:hint="eastAsia" w:ascii="方正小标宋简体" w:hAnsi="方正小标宋简体" w:eastAsia="方正小标宋简体"/>
          <w:color w:val="auto"/>
          <w:sz w:val="30"/>
          <w:szCs w:val="30"/>
          <w:highlight w:val="none"/>
        </w:rPr>
        <w:t>）</w:t>
      </w:r>
    </w:p>
    <w:tbl>
      <w:tblPr>
        <w:tblStyle w:val="7"/>
        <w:tblW w:w="11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586"/>
        <w:gridCol w:w="5564"/>
        <w:gridCol w:w="963"/>
        <w:gridCol w:w="1000"/>
        <w:gridCol w:w="85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645" w:type="dxa"/>
            <w:gridSpan w:val="7"/>
            <w:noWrap w:val="0"/>
            <w:vAlign w:val="center"/>
          </w:tcPr>
          <w:p>
            <w:pPr>
              <w:keepNext w:val="0"/>
              <w:keepLines w:val="0"/>
              <w:pageBreakBefore w:val="0"/>
              <w:widowControl/>
              <w:suppressLineNumbers w:val="0"/>
              <w:tabs>
                <w:tab w:val="left" w:pos="2187"/>
              </w:tabs>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制表单位：建宁县烟草专卖</w:t>
            </w:r>
            <w:r>
              <w:rPr>
                <w:rFonts w:hint="default" w:ascii="Times New Roman" w:hAnsi="Times New Roman" w:eastAsia="宋体" w:cs="Times New Roman"/>
                <w:b/>
                <w:bCs/>
                <w:color w:val="auto"/>
                <w:sz w:val="18"/>
                <w:szCs w:val="18"/>
                <w:highlight w:val="none"/>
                <w:lang w:eastAsia="zh-CN"/>
              </w:rPr>
              <w:t>局专卖监督</w:t>
            </w:r>
            <w:r>
              <w:rPr>
                <w:rFonts w:hint="default" w:ascii="Times New Roman" w:hAnsi="Times New Roman" w:eastAsia="宋体" w:cs="Times New Roman"/>
                <w:b/>
                <w:bCs/>
                <w:color w:val="auto"/>
                <w:sz w:val="18"/>
                <w:szCs w:val="18"/>
                <w:highlight w:val="none"/>
              </w:rPr>
              <w:t>管理办公室</w:t>
            </w:r>
            <w:r>
              <w:rPr>
                <w:rFonts w:hint="eastAsia" w:eastAsia="宋体" w:cs="Times New Roman"/>
                <w:b/>
                <w:bCs/>
                <w:color w:val="auto"/>
                <w:sz w:val="18"/>
                <w:szCs w:val="18"/>
                <w:highlight w:val="none"/>
                <w:lang w:val="en-US" w:eastAsia="zh-CN"/>
              </w:rPr>
              <w:t xml:space="preserve">                                                 统计时间：2024年3月12日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管理片区</w:t>
            </w:r>
          </w:p>
        </w:tc>
        <w:tc>
          <w:tcPr>
            <w:tcW w:w="58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号片</w:t>
            </w:r>
          </w:p>
        </w:tc>
        <w:tc>
          <w:tcPr>
            <w:tcW w:w="556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地理位置（视具体门牌号而定）</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现有户数</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规划户数</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控制数</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办证指标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下坊街</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青云小区入口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老公路局门口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老公路局门口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电力公司路口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电力公司路口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建莲北路路口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建莲北路路口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青源巷巷口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中山北路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青源巷巷口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老县医院（青山街路口）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青山街路口--</w:t>
            </w:r>
            <w:r>
              <w:rPr>
                <w:rFonts w:hint="eastAsia" w:ascii="宋体" w:hAnsi="宋体" w:eastAsia="宋体" w:cs="宋体"/>
                <w:i w:val="0"/>
                <w:color w:val="auto"/>
                <w:kern w:val="0"/>
                <w:sz w:val="18"/>
                <w:szCs w:val="18"/>
                <w:highlight w:val="none"/>
                <w:u w:val="none"/>
                <w:lang w:val="en-US" w:eastAsia="zh-CN" w:bidi="ar"/>
              </w:rPr>
              <w:t>民主街路口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中山南路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莲兴广场与刺桐红银行交界处</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实验小学</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实验小学</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青山南路路口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青山南路路口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第二实验幼儿园</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民主街</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刺桐红银行---</w:t>
            </w:r>
            <w:r>
              <w:rPr>
                <w:rFonts w:hint="eastAsia" w:ascii="宋体" w:hAnsi="宋体" w:eastAsia="宋体" w:cs="宋体"/>
                <w:i w:val="0"/>
                <w:color w:val="auto"/>
                <w:kern w:val="0"/>
                <w:sz w:val="18"/>
                <w:szCs w:val="18"/>
                <w:highlight w:val="none"/>
                <w:u w:val="none"/>
                <w:lang w:val="en-US" w:eastAsia="zh-CN" w:bidi="ar"/>
              </w:rPr>
              <w:t>衙前食府路口与新生巷口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衙前食府路口与新生巷口</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电信圆盘</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电信圆盘</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民主街与建莲南路分界处（防疫站路口和审计局）</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1</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青山北路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青山北路与中山南路分界处--电信圆盘</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青山南路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电信圆盘--青山南路与中山南路分界处</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建莲北路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智慧泉幼儿园门口----审计局门口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建莲南路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农贸市场出口--南坑路高家窠路口及第二实验幼儿园门口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南坑路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南坑路高家窠路口（觉慧寺）--一枝山</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西门市场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农贸市场入口--农贸市场内侧片--中间入口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农贸市场入口--农贸市场内侧片--第二入口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农贸市场入口--农贸市场外侧片--中间入口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农贸市场入口--农贸市场外侧片--中间入口--第二入口</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龙宝路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农贸市场路口--龙宝路--凤山</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凤祥路</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凤祥路口--西门莲塘--电力公司</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89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eastAsia" w:ascii="Times New Roman" w:hAnsi="Times New Roman" w:eastAsia="宋体" w:cs="Times New Roman"/>
                <w:b w:val="0"/>
                <w:bCs w:val="0"/>
                <w:i w:val="0"/>
                <w:iCs w:val="0"/>
                <w:color w:val="auto"/>
                <w:kern w:val="0"/>
                <w:sz w:val="18"/>
                <w:szCs w:val="18"/>
                <w:highlight w:val="none"/>
                <w:u w:val="none"/>
                <w:lang w:val="en-US" w:eastAsia="zh-CN" w:bidi="ar"/>
              </w:rPr>
              <w:t>合计</w:t>
            </w:r>
          </w:p>
        </w:tc>
        <w:tc>
          <w:tcPr>
            <w:tcW w:w="9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70</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91</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w:t>
            </w:r>
          </w:p>
        </w:tc>
      </w:tr>
    </w:tbl>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p>
    <w:p>
      <w:pPr>
        <w:autoSpaceDN w:val="0"/>
        <w:jc w:val="both"/>
        <w:textAlignment w:val="center"/>
        <w:rPr>
          <w:rFonts w:hint="eastAsia" w:ascii="方正小标宋简体" w:hAnsi="方正小标宋简体" w:eastAsia="方正小标宋简体"/>
          <w:color w:val="auto"/>
          <w:sz w:val="30"/>
          <w:szCs w:val="30"/>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r>
        <w:rPr>
          <w:rFonts w:hint="eastAsia" w:ascii="方正小标宋简体" w:hAnsi="方正小标宋简体" w:eastAsia="方正小标宋简体"/>
          <w:color w:val="auto"/>
          <w:sz w:val="30"/>
          <w:szCs w:val="30"/>
          <w:highlight w:val="none"/>
        </w:rPr>
        <w:t>建宁县烟草制品零售点合理布局规划（</w:t>
      </w:r>
      <w:r>
        <w:rPr>
          <w:rFonts w:hint="eastAsia" w:ascii="方正小标宋简体" w:hAnsi="方正小标宋简体" w:eastAsia="方正小标宋简体"/>
          <w:color w:val="auto"/>
          <w:sz w:val="30"/>
          <w:szCs w:val="30"/>
          <w:highlight w:val="none"/>
          <w:lang w:eastAsia="zh-CN"/>
        </w:rPr>
        <w:t>水南</w:t>
      </w:r>
      <w:r>
        <w:rPr>
          <w:rFonts w:hint="eastAsia" w:ascii="方正小标宋简体" w:hAnsi="方正小标宋简体" w:eastAsia="方正小标宋简体"/>
          <w:color w:val="auto"/>
          <w:sz w:val="30"/>
          <w:szCs w:val="30"/>
          <w:highlight w:val="none"/>
          <w:lang w:val="en-US" w:eastAsia="zh-CN"/>
        </w:rPr>
        <w:t>社区</w:t>
      </w:r>
      <w:r>
        <w:rPr>
          <w:rFonts w:hint="eastAsia" w:ascii="方正小标宋简体" w:hAnsi="方正小标宋简体" w:eastAsia="方正小标宋简体"/>
          <w:color w:val="auto"/>
          <w:sz w:val="30"/>
          <w:szCs w:val="30"/>
          <w:highlight w:val="none"/>
        </w:rPr>
        <w:t>）</w:t>
      </w:r>
    </w:p>
    <w:tbl>
      <w:tblPr>
        <w:tblStyle w:val="7"/>
        <w:tblpPr w:leftFromText="180" w:rightFromText="180" w:vertAnchor="text" w:horzAnchor="page" w:tblpX="2665" w:tblpY="501"/>
        <w:tblOverlap w:val="never"/>
        <w:tblW w:w="11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600"/>
        <w:gridCol w:w="5550"/>
        <w:gridCol w:w="962"/>
        <w:gridCol w:w="1013"/>
        <w:gridCol w:w="86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1638" w:type="dxa"/>
            <w:gridSpan w:val="7"/>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制表单位：建宁县烟草专卖</w:t>
            </w:r>
            <w:r>
              <w:rPr>
                <w:rFonts w:hint="default" w:ascii="Times New Roman" w:hAnsi="Times New Roman" w:eastAsia="宋体" w:cs="Times New Roman"/>
                <w:b/>
                <w:bCs/>
                <w:color w:val="auto"/>
                <w:sz w:val="18"/>
                <w:szCs w:val="18"/>
                <w:highlight w:val="none"/>
                <w:lang w:eastAsia="zh-CN"/>
              </w:rPr>
              <w:t>局专卖监督</w:t>
            </w:r>
            <w:r>
              <w:rPr>
                <w:rFonts w:hint="default" w:ascii="Times New Roman" w:hAnsi="Times New Roman" w:eastAsia="宋体" w:cs="Times New Roman"/>
                <w:b/>
                <w:bCs/>
                <w:color w:val="auto"/>
                <w:sz w:val="18"/>
                <w:szCs w:val="18"/>
                <w:highlight w:val="none"/>
              </w:rPr>
              <w:t>管理办公室</w:t>
            </w:r>
            <w:r>
              <w:rPr>
                <w:rFonts w:hint="eastAsia" w:eastAsia="宋体" w:cs="Times New Roman"/>
                <w:b/>
                <w:bCs/>
                <w:color w:val="auto"/>
                <w:sz w:val="18"/>
                <w:szCs w:val="18"/>
                <w:highlight w:val="none"/>
                <w:lang w:val="en-US" w:eastAsia="zh-CN"/>
              </w:rPr>
              <w:t xml:space="preserve">                                                 统计时间：2024年3月12日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noWrap w:val="0"/>
            <w:vAlign w:val="top"/>
          </w:tcPr>
          <w:p>
            <w:pPr>
              <w:keepNext w:val="0"/>
              <w:keepLines w:val="0"/>
              <w:pageBreakBefore w:val="0"/>
              <w:kinsoku/>
              <w:wordWrap/>
              <w:overflowPunct/>
              <w:topLinePunct w:val="0"/>
              <w:autoSpaceDE/>
              <w:autoSpaceDN/>
              <w:bidi w:val="0"/>
              <w:adjustRightInd/>
              <w:snapToGrid/>
              <w:spacing w:line="320" w:lineRule="exact"/>
              <w:jc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管理片区</w:t>
            </w:r>
          </w:p>
        </w:tc>
        <w:tc>
          <w:tcPr>
            <w:tcW w:w="600" w:type="dxa"/>
            <w:noWrap w:val="0"/>
            <w:vAlign w:val="top"/>
          </w:tcPr>
          <w:p>
            <w:pPr>
              <w:keepNext w:val="0"/>
              <w:keepLines w:val="0"/>
              <w:pageBreakBefore w:val="0"/>
              <w:kinsoku/>
              <w:wordWrap/>
              <w:overflowPunct/>
              <w:topLinePunct w:val="0"/>
              <w:autoSpaceDE/>
              <w:autoSpaceDN/>
              <w:bidi w:val="0"/>
              <w:adjustRightInd/>
              <w:snapToGrid/>
              <w:spacing w:line="320" w:lineRule="exact"/>
              <w:jc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号片</w:t>
            </w:r>
          </w:p>
        </w:tc>
        <w:tc>
          <w:tcPr>
            <w:tcW w:w="5550" w:type="dxa"/>
            <w:noWrap w:val="0"/>
            <w:vAlign w:val="top"/>
          </w:tcPr>
          <w:p>
            <w:pPr>
              <w:keepNext w:val="0"/>
              <w:keepLines w:val="0"/>
              <w:pageBreakBefore w:val="0"/>
              <w:kinsoku/>
              <w:wordWrap/>
              <w:overflowPunct/>
              <w:topLinePunct w:val="0"/>
              <w:autoSpaceDE/>
              <w:autoSpaceDN/>
              <w:bidi w:val="0"/>
              <w:adjustRightInd/>
              <w:snapToGrid/>
              <w:spacing w:line="320" w:lineRule="exact"/>
              <w:jc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地理位置（视具体门牌号而定）</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现有户数</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规划户数</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控制数</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办证指标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水南路（水南桥-水南圆盘-龙源加油站）</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水南路3号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水南路4号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水南路5号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水南路6号（财政局）</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水南路7号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8</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水南路8号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9</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水南路9号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10</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水南路10号（聚祥瑞）</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11</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水南路11号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12</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水南路12号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13</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水南路13号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14</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水南路14号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15</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水南路15号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16</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水南路16号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17</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水南路17号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18</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水南路18号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19</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水南路20号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20</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水南路22号</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21</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水南路23号（水南加油站）</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22</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水南路25号（联通加油站）</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23</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水南路26号（孟宗笋业）</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24</w:t>
            </w:r>
          </w:p>
        </w:tc>
        <w:tc>
          <w:tcPr>
            <w:tcW w:w="55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水南路36号（龙源加油站）</w:t>
            </w:r>
          </w:p>
        </w:tc>
        <w:tc>
          <w:tcPr>
            <w:tcW w:w="9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河南东路（水南圆盘-气象局-万安桥）</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河南东路1号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河南东路2号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河南东路3号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河南东路4号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河南东路6号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河南东路13号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河南东路15号（林业局）</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河南西路（水南圆盘-万星首府）</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万星首府（河南西路36号）1-</w:t>
            </w:r>
            <w:r>
              <w:rPr>
                <w:rFonts w:hint="eastAsia" w:ascii="宋体" w:hAnsi="宋体" w:eastAsia="宋体" w:cs="宋体"/>
                <w:i w:val="0"/>
                <w:color w:val="auto"/>
                <w:kern w:val="0"/>
                <w:sz w:val="18"/>
                <w:szCs w:val="18"/>
                <w:highlight w:val="none"/>
                <w:u w:val="none"/>
                <w:lang w:val="en-US" w:eastAsia="zh-CN" w:bidi="ar"/>
              </w:rPr>
              <w:t>4</w:t>
            </w:r>
            <w:r>
              <w:rPr>
                <w:rFonts w:hint="default"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万星首府（河南西路36号）5-</w:t>
            </w:r>
            <w:r>
              <w:rPr>
                <w:rFonts w:hint="eastAsia" w:ascii="宋体" w:hAnsi="宋体" w:eastAsia="宋体" w:cs="宋体"/>
                <w:i w:val="0"/>
                <w:color w:val="auto"/>
                <w:kern w:val="0"/>
                <w:sz w:val="18"/>
                <w:szCs w:val="18"/>
                <w:highlight w:val="none"/>
                <w:u w:val="none"/>
                <w:lang w:val="en-US" w:eastAsia="zh-CN" w:bidi="ar"/>
              </w:rPr>
              <w:t>8</w:t>
            </w:r>
            <w:r>
              <w:rPr>
                <w:rFonts w:hint="default"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河南西路（水南圆盘-万星首府）</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河南西路1号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河南西路2号.4号.6号.8号.10号.12号.14号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河南西路5号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河南西路18号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河南西路20号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河南西路22号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河南西路25号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8</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河南西路27号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9</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河南西路</w:t>
            </w:r>
            <w:r>
              <w:rPr>
                <w:rFonts w:hint="eastAsia" w:ascii="宋体" w:hAnsi="宋体" w:eastAsia="宋体" w:cs="宋体"/>
                <w:i w:val="0"/>
                <w:color w:val="auto"/>
                <w:kern w:val="0"/>
                <w:sz w:val="18"/>
                <w:szCs w:val="18"/>
                <w:highlight w:val="none"/>
                <w:u w:val="none"/>
                <w:lang w:val="en-US" w:eastAsia="zh-CN" w:bidi="ar"/>
              </w:rPr>
              <w:t>3</w:t>
            </w:r>
            <w:r>
              <w:rPr>
                <w:rFonts w:hint="default" w:ascii="宋体" w:hAnsi="宋体" w:eastAsia="宋体" w:cs="宋体"/>
                <w:i w:val="0"/>
                <w:color w:val="auto"/>
                <w:kern w:val="0"/>
                <w:sz w:val="18"/>
                <w:szCs w:val="18"/>
                <w:highlight w:val="none"/>
                <w:u w:val="none"/>
                <w:lang w:val="en-US" w:eastAsia="zh-CN" w:bidi="ar"/>
              </w:rPr>
              <w:t>7号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金钩山小区</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健翔锦苑（河南西路51号）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荷花东路（法院-亿兴大厦-司法局）</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荷花东路2号（商会大厦大门往城关幼儿园方向）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荷花东路2号（商会大厦大门往水南加油站方向）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荷花东路3号（旅游大酒店大门往法院方向）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荷花东路3号（旅游大酒店大门往富贵世家方向）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荷花东路4号（国有林场）</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万家财富广场A区（1幢.2幢.3幢.5幢.6幢）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万家财富广场A区（7幢.8幢.9幢.10幢.11幢.12幢）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万家财富广场B区（1幢.2幢.3幢.5幢）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万家财富广场B区（6幢.7幢.8幢.9幢）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亿兴大厦（荷花东路5号）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荷花西路（公路局-体育馆）</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荷花西路2</w:t>
            </w:r>
            <w:r>
              <w:rPr>
                <w:rFonts w:hint="eastAsia" w:ascii="宋体" w:hAnsi="宋体" w:eastAsia="宋体" w:cs="宋体"/>
                <w:i w:val="0"/>
                <w:color w:val="auto"/>
                <w:kern w:val="0"/>
                <w:sz w:val="18"/>
                <w:szCs w:val="18"/>
                <w:highlight w:val="none"/>
                <w:u w:val="none"/>
                <w:lang w:val="en-US" w:eastAsia="zh-CN" w:bidi="ar"/>
              </w:rPr>
              <w:t>号（城关公路站）</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荷花西路12</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荷花西路16</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荷花西路18</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荷花西路20</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学苑东路（城关小学-</w:t>
            </w:r>
            <w:r>
              <w:rPr>
                <w:rFonts w:hint="eastAsia" w:ascii="宋体" w:hAnsi="宋体" w:eastAsia="宋体" w:cs="宋体"/>
                <w:i w:val="0"/>
                <w:color w:val="auto"/>
                <w:kern w:val="0"/>
                <w:sz w:val="18"/>
                <w:szCs w:val="18"/>
                <w:highlight w:val="none"/>
                <w:u w:val="none"/>
                <w:lang w:val="en-US" w:eastAsia="zh-CN" w:bidi="ar"/>
              </w:rPr>
              <w:t>南关桥）</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学苑东路8</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.9</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.11</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建翔路（豪源大酒店-碧桂园）</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健翔路1</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健翔路5</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.7</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.9</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.11</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容驷北路</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容驷北路2</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容驷南路</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容驷南路</w:t>
            </w:r>
            <w:r>
              <w:rPr>
                <w:rFonts w:hint="eastAsia" w:ascii="宋体" w:hAnsi="宋体" w:eastAsia="宋体" w:cs="宋体"/>
                <w:i w:val="0"/>
                <w:color w:val="auto"/>
                <w:kern w:val="0"/>
                <w:sz w:val="18"/>
                <w:szCs w:val="18"/>
                <w:highlight w:val="none"/>
                <w:u w:val="none"/>
                <w:lang w:val="en-US" w:eastAsia="zh-CN" w:bidi="ar"/>
              </w:rPr>
              <w:t>2号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江源水都-豪庭（江滨东路1号）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江滨东路1</w:t>
            </w:r>
            <w:r>
              <w:rPr>
                <w:rFonts w:hint="eastAsia" w:ascii="宋体" w:hAnsi="宋体" w:eastAsia="宋体" w:cs="宋体"/>
                <w:i w:val="0"/>
                <w:color w:val="auto"/>
                <w:kern w:val="0"/>
                <w:sz w:val="18"/>
                <w:szCs w:val="18"/>
                <w:highlight w:val="none"/>
                <w:u w:val="none"/>
                <w:lang w:val="en-US" w:eastAsia="zh-CN" w:bidi="ar"/>
              </w:rPr>
              <w:t>号（江源水都</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豪庭正大门往水南桥方向）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江滨东路1</w:t>
            </w:r>
            <w:r>
              <w:rPr>
                <w:rFonts w:hint="eastAsia" w:ascii="宋体" w:hAnsi="宋体" w:eastAsia="宋体" w:cs="宋体"/>
                <w:i w:val="0"/>
                <w:color w:val="auto"/>
                <w:kern w:val="0"/>
                <w:sz w:val="18"/>
                <w:szCs w:val="18"/>
                <w:highlight w:val="none"/>
                <w:u w:val="none"/>
                <w:lang w:val="en-US" w:eastAsia="zh-CN" w:bidi="ar"/>
              </w:rPr>
              <w:t>号（江源水都</w:t>
            </w:r>
            <w:r>
              <w:rPr>
                <w:rFonts w:hint="default" w:ascii="宋体" w:hAnsi="宋体" w:eastAsia="宋体" w:cs="宋体"/>
                <w:i w:val="0"/>
                <w:color w:val="auto"/>
                <w:kern w:val="0"/>
                <w:sz w:val="18"/>
                <w:szCs w:val="18"/>
                <w:highlight w:val="none"/>
                <w:u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豪庭正大门往江源水都方向）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江源水都（江滨东路2号）（江滨东路3号）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江滨东路2</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江滨东路3</w:t>
            </w:r>
            <w:r>
              <w:rPr>
                <w:rFonts w:hint="eastAsia" w:ascii="宋体" w:hAnsi="宋体" w:eastAsia="宋体" w:cs="宋体"/>
                <w:i w:val="0"/>
                <w:color w:val="auto"/>
                <w:kern w:val="0"/>
                <w:sz w:val="18"/>
                <w:szCs w:val="18"/>
                <w:highlight w:val="none"/>
                <w:u w:val="none"/>
                <w:lang w:val="en-US" w:eastAsia="zh-CN" w:bidi="ar"/>
              </w:rPr>
              <w:t>号（江源水都正大门沿河道方向到侧门）</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江滨东路3</w:t>
            </w:r>
            <w:r>
              <w:rPr>
                <w:rFonts w:hint="eastAsia" w:ascii="宋体" w:hAnsi="宋体" w:eastAsia="宋体" w:cs="宋体"/>
                <w:i w:val="0"/>
                <w:color w:val="auto"/>
                <w:kern w:val="0"/>
                <w:sz w:val="18"/>
                <w:szCs w:val="18"/>
                <w:highlight w:val="none"/>
                <w:u w:val="none"/>
                <w:lang w:val="en-US" w:eastAsia="zh-CN" w:bidi="ar"/>
              </w:rPr>
              <w:t>号（江源水都正大门沿道路方向到侧门）</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南方国际（学苑东路13号）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南方国际（学苑东路13</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南方国际（学苑东路13</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4</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南方国际（学苑东路13</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7</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福源佳苑（将军路18号）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福源佳苑（将军路18</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.2.3</w:t>
            </w:r>
            <w:r>
              <w:rPr>
                <w:rFonts w:hint="default"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福源佳苑（将军路18</w:t>
            </w:r>
            <w:r>
              <w:rPr>
                <w:rFonts w:hint="eastAsia" w:ascii="宋体" w:hAnsi="宋体" w:eastAsia="宋体" w:cs="宋体"/>
                <w:i w:val="0"/>
                <w:color w:val="auto"/>
                <w:kern w:val="0"/>
                <w:sz w:val="18"/>
                <w:szCs w:val="18"/>
                <w:highlight w:val="none"/>
                <w:u w:val="none"/>
                <w:lang w:val="en-US" w:eastAsia="zh-CN" w:bidi="ar"/>
              </w:rPr>
              <w:t>号）5.6.7</w:t>
            </w:r>
            <w:r>
              <w:rPr>
                <w:rFonts w:hint="default"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trPr>
        <w:tc>
          <w:tcPr>
            <w:tcW w:w="1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水岸嘉园（将军路25</w:t>
            </w:r>
            <w:r>
              <w:rPr>
                <w:rFonts w:hint="eastAsia" w:ascii="宋体" w:hAnsi="宋体" w:eastAsia="宋体" w:cs="宋体"/>
                <w:i w:val="0"/>
                <w:color w:val="auto"/>
                <w:kern w:val="0"/>
                <w:sz w:val="18"/>
                <w:szCs w:val="18"/>
                <w:highlight w:val="none"/>
                <w:u w:val="none"/>
                <w:lang w:val="en-US" w:eastAsia="zh-CN" w:bidi="ar"/>
              </w:rPr>
              <w:t>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水岸嘉园（将军路25</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.7</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.9</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.11</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.12</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.13</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15</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.16</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.17</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.18</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碧桂园（健翔路2</w:t>
            </w:r>
            <w:r>
              <w:rPr>
                <w:rFonts w:hint="eastAsia" w:ascii="宋体" w:hAnsi="宋体" w:eastAsia="宋体" w:cs="宋体"/>
                <w:i w:val="0"/>
                <w:color w:val="auto"/>
                <w:kern w:val="0"/>
                <w:sz w:val="18"/>
                <w:szCs w:val="18"/>
                <w:highlight w:val="none"/>
                <w:u w:val="none"/>
                <w:lang w:val="en-US" w:eastAsia="zh-CN" w:bidi="ar"/>
              </w:rPr>
              <w:t>号）</w:t>
            </w:r>
            <w:r>
              <w:rPr>
                <w:rFonts w:hint="default" w:ascii="宋体" w:hAnsi="宋体" w:eastAsia="宋体" w:cs="宋体"/>
                <w:i w:val="0"/>
                <w:color w:val="auto"/>
                <w:kern w:val="0"/>
                <w:sz w:val="18"/>
                <w:szCs w:val="18"/>
                <w:highlight w:val="none"/>
                <w:u w:val="none"/>
                <w:lang w:val="en-US" w:eastAsia="zh-CN" w:bidi="ar"/>
              </w:rPr>
              <w:t>19</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.20</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.21</w:t>
            </w:r>
            <w:r>
              <w:rPr>
                <w:rFonts w:hint="eastAsia" w:ascii="宋体" w:hAnsi="宋体" w:eastAsia="宋体" w:cs="宋体"/>
                <w:i w:val="0"/>
                <w:color w:val="auto"/>
                <w:kern w:val="0"/>
                <w:sz w:val="18"/>
                <w:szCs w:val="18"/>
                <w:highlight w:val="none"/>
                <w:u w:val="none"/>
                <w:lang w:val="en-US" w:eastAsia="zh-CN" w:bidi="ar"/>
              </w:rPr>
              <w:t>幢</w:t>
            </w:r>
            <w:r>
              <w:rPr>
                <w:rFonts w:hint="default" w:ascii="宋体" w:hAnsi="宋体" w:eastAsia="宋体" w:cs="宋体"/>
                <w:i w:val="0"/>
                <w:color w:val="auto"/>
                <w:kern w:val="0"/>
                <w:sz w:val="18"/>
                <w:szCs w:val="18"/>
                <w:highlight w:val="none"/>
                <w:u w:val="none"/>
                <w:lang w:val="en-US" w:eastAsia="zh-CN" w:bidi="ar"/>
              </w:rPr>
              <w:t>.22</w:t>
            </w:r>
            <w:r>
              <w:rPr>
                <w:rFonts w:hint="eastAsia" w:ascii="宋体" w:hAnsi="宋体" w:eastAsia="宋体" w:cs="宋体"/>
                <w:i w:val="0"/>
                <w:color w:val="auto"/>
                <w:kern w:val="0"/>
                <w:sz w:val="18"/>
                <w:szCs w:val="18"/>
                <w:highlight w:val="none"/>
                <w:u w:val="none"/>
                <w:lang w:val="en-US" w:eastAsia="zh-CN" w:bidi="ar"/>
              </w:rPr>
              <w:t>幢</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1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健翔佳苑（健翔路3</w:t>
            </w:r>
            <w:r>
              <w:rPr>
                <w:rFonts w:hint="eastAsia" w:ascii="宋体" w:hAnsi="宋体" w:eastAsia="宋体" w:cs="宋体"/>
                <w:i w:val="0"/>
                <w:color w:val="auto"/>
                <w:kern w:val="0"/>
                <w:sz w:val="18"/>
                <w:szCs w:val="18"/>
                <w:highlight w:val="none"/>
                <w:u w:val="none"/>
                <w:lang w:val="en-US" w:eastAsia="zh-CN" w:bidi="ar"/>
              </w:rPr>
              <w:t>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健翔佳苑（健翔路3</w:t>
            </w:r>
            <w:r>
              <w:rPr>
                <w:rFonts w:hint="eastAsia" w:ascii="宋体" w:hAnsi="宋体" w:eastAsia="宋体" w:cs="宋体"/>
                <w:i w:val="0"/>
                <w:color w:val="auto"/>
                <w:kern w:val="0"/>
                <w:sz w:val="18"/>
                <w:szCs w:val="18"/>
                <w:highlight w:val="none"/>
                <w:u w:val="none"/>
                <w:lang w:val="en-US" w:eastAsia="zh-CN" w:bidi="ar"/>
              </w:rPr>
              <w:t>号）</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富贵世家（A</w:t>
            </w:r>
            <w:r>
              <w:rPr>
                <w:rFonts w:hint="eastAsia" w:ascii="宋体" w:hAnsi="宋体" w:eastAsia="宋体" w:cs="宋体"/>
                <w:i w:val="0"/>
                <w:color w:val="auto"/>
                <w:kern w:val="0"/>
                <w:sz w:val="18"/>
                <w:szCs w:val="18"/>
                <w:highlight w:val="none"/>
                <w:u w:val="none"/>
                <w:lang w:val="en-US" w:eastAsia="zh-CN" w:bidi="ar"/>
              </w:rPr>
              <w:t>区）（容驷北路</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富贵世家（A</w:t>
            </w:r>
            <w:r>
              <w:rPr>
                <w:rFonts w:hint="eastAsia" w:ascii="宋体" w:hAnsi="宋体" w:eastAsia="宋体" w:cs="宋体"/>
                <w:i w:val="0"/>
                <w:color w:val="auto"/>
                <w:kern w:val="0"/>
                <w:sz w:val="18"/>
                <w:szCs w:val="18"/>
                <w:highlight w:val="none"/>
                <w:u w:val="none"/>
                <w:lang w:val="en-US" w:eastAsia="zh-CN" w:bidi="ar"/>
              </w:rPr>
              <w:t>区）（容驷北路</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号）（正大门往田园超市方向）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富贵世家（A</w:t>
            </w:r>
            <w:r>
              <w:rPr>
                <w:rFonts w:hint="eastAsia" w:ascii="宋体" w:hAnsi="宋体" w:eastAsia="宋体" w:cs="宋体"/>
                <w:i w:val="0"/>
                <w:color w:val="auto"/>
                <w:kern w:val="0"/>
                <w:sz w:val="18"/>
                <w:szCs w:val="18"/>
                <w:highlight w:val="none"/>
                <w:u w:val="none"/>
                <w:lang w:val="en-US" w:eastAsia="zh-CN" w:bidi="ar"/>
              </w:rPr>
              <w:t>区）（容驷北路</w:t>
            </w:r>
            <w:r>
              <w:rPr>
                <w:rFonts w:hint="default" w:ascii="宋体" w:hAnsi="宋体" w:eastAsia="宋体" w:cs="宋体"/>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号）（正大门往河南路方向）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富贵世家（B</w:t>
            </w:r>
            <w:r>
              <w:rPr>
                <w:rFonts w:hint="eastAsia" w:ascii="宋体" w:hAnsi="宋体" w:eastAsia="宋体" w:cs="宋体"/>
                <w:i w:val="0"/>
                <w:color w:val="auto"/>
                <w:kern w:val="0"/>
                <w:sz w:val="18"/>
                <w:szCs w:val="18"/>
                <w:highlight w:val="none"/>
                <w:u w:val="none"/>
                <w:lang w:val="en-US" w:eastAsia="zh-CN" w:bidi="ar"/>
              </w:rPr>
              <w:t>区）（容驷北路</w:t>
            </w:r>
            <w:r>
              <w:rPr>
                <w:rFonts w:hint="default" w:ascii="宋体" w:hAnsi="宋体" w:eastAsia="宋体" w:cs="宋体"/>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号）</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富贵世家（B</w:t>
            </w:r>
            <w:r>
              <w:rPr>
                <w:rFonts w:hint="eastAsia" w:ascii="宋体" w:hAnsi="宋体" w:eastAsia="宋体" w:cs="宋体"/>
                <w:i w:val="0"/>
                <w:color w:val="auto"/>
                <w:kern w:val="0"/>
                <w:sz w:val="18"/>
                <w:szCs w:val="18"/>
                <w:highlight w:val="none"/>
                <w:u w:val="none"/>
                <w:lang w:val="en-US" w:eastAsia="zh-CN" w:bidi="ar"/>
              </w:rPr>
              <w:t>区）（容驷北路</w:t>
            </w:r>
            <w:r>
              <w:rPr>
                <w:rFonts w:hint="default" w:ascii="宋体" w:hAnsi="宋体" w:eastAsia="宋体" w:cs="宋体"/>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号）（正大门往旅游酒店方向）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71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富贵世家（B</w:t>
            </w:r>
            <w:r>
              <w:rPr>
                <w:rFonts w:hint="eastAsia" w:ascii="宋体" w:hAnsi="宋体" w:eastAsia="宋体" w:cs="宋体"/>
                <w:i w:val="0"/>
                <w:color w:val="auto"/>
                <w:kern w:val="0"/>
                <w:sz w:val="18"/>
                <w:szCs w:val="18"/>
                <w:highlight w:val="none"/>
                <w:u w:val="none"/>
                <w:lang w:val="en-US" w:eastAsia="zh-CN" w:bidi="ar"/>
              </w:rPr>
              <w:t>区）（正大门往水南路方向）</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86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合计</w:t>
            </w:r>
          </w:p>
        </w:tc>
        <w:tc>
          <w:tcPr>
            <w:tcW w:w="9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53</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88</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85</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49</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eastAsia" w:ascii="Times New Roman" w:hAnsi="Times New Roman" w:eastAsia="宋体" w:cs="Times New Roman"/>
          <w:color w:val="auto"/>
          <w:sz w:val="18"/>
          <w:szCs w:val="18"/>
          <w:highlight w:val="none"/>
          <w:lang w:eastAsia="zh-CN"/>
        </w:rPr>
      </w:pPr>
    </w:p>
    <w:p>
      <w:pPr>
        <w:jc w:val="both"/>
        <w:rPr>
          <w:rFonts w:hint="default" w:ascii="Times New Roman" w:hAnsi="Times New Roman" w:eastAsia="宋体" w:cs="Times New Roman"/>
          <w:color w:val="auto"/>
          <w:sz w:val="18"/>
          <w:szCs w:val="18"/>
          <w:highlight w:val="none"/>
        </w:rPr>
      </w:pPr>
    </w:p>
    <w:p>
      <w:pPr>
        <w:autoSpaceDN w:val="0"/>
        <w:jc w:val="center"/>
        <w:textAlignment w:val="center"/>
        <w:rPr>
          <w:rFonts w:hint="eastAsia" w:ascii="方正小标宋简体" w:hAnsi="方正小标宋简体" w:eastAsia="方正小标宋简体"/>
          <w:color w:val="auto"/>
          <w:sz w:val="30"/>
          <w:szCs w:val="30"/>
          <w:highlight w:val="none"/>
        </w:rPr>
      </w:pPr>
      <w:r>
        <w:rPr>
          <w:rFonts w:hint="eastAsia" w:ascii="方正小标宋简体" w:hAnsi="方正小标宋简体" w:eastAsia="方正小标宋简体"/>
          <w:color w:val="auto"/>
          <w:sz w:val="30"/>
          <w:szCs w:val="30"/>
          <w:highlight w:val="none"/>
        </w:rPr>
        <w:t>建宁县烟草制品零售点合理布局规划（</w:t>
      </w:r>
      <w:r>
        <w:rPr>
          <w:rFonts w:hint="eastAsia" w:ascii="方正小标宋简体" w:hAnsi="方正小标宋简体" w:eastAsia="方正小标宋简体"/>
          <w:color w:val="auto"/>
          <w:sz w:val="30"/>
          <w:szCs w:val="30"/>
          <w:highlight w:val="none"/>
          <w:lang w:val="en-US" w:eastAsia="zh-CN"/>
        </w:rPr>
        <w:t>河东社区</w:t>
      </w:r>
      <w:r>
        <w:rPr>
          <w:rFonts w:hint="eastAsia" w:ascii="方正小标宋简体" w:hAnsi="方正小标宋简体" w:eastAsia="方正小标宋简体"/>
          <w:color w:val="auto"/>
          <w:sz w:val="30"/>
          <w:szCs w:val="30"/>
          <w:highlight w:val="none"/>
        </w:rPr>
        <w:t>）</w:t>
      </w:r>
    </w:p>
    <w:tbl>
      <w:tblPr>
        <w:tblStyle w:val="7"/>
        <w:tblW w:w="11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635"/>
        <w:gridCol w:w="2"/>
        <w:gridCol w:w="4980"/>
        <w:gridCol w:w="1107"/>
        <w:gridCol w:w="1107"/>
        <w:gridCol w:w="110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422" w:type="dxa"/>
            <w:gridSpan w:val="8"/>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rPr>
              <w:t>制表单位：建宁县烟草专卖</w:t>
            </w:r>
            <w:r>
              <w:rPr>
                <w:rFonts w:hint="default" w:ascii="Times New Roman" w:hAnsi="Times New Roman" w:eastAsia="宋体" w:cs="Times New Roman"/>
                <w:b/>
                <w:bCs/>
                <w:color w:val="auto"/>
                <w:sz w:val="18"/>
                <w:szCs w:val="18"/>
                <w:highlight w:val="none"/>
                <w:lang w:eastAsia="zh-CN"/>
              </w:rPr>
              <w:t>局专卖监督</w:t>
            </w:r>
            <w:r>
              <w:rPr>
                <w:rFonts w:hint="default" w:ascii="Times New Roman" w:hAnsi="Times New Roman" w:eastAsia="宋体" w:cs="Times New Roman"/>
                <w:b/>
                <w:bCs/>
                <w:color w:val="auto"/>
                <w:sz w:val="18"/>
                <w:szCs w:val="18"/>
                <w:highlight w:val="none"/>
              </w:rPr>
              <w:t>管理办公室</w:t>
            </w:r>
            <w:r>
              <w:rPr>
                <w:rFonts w:hint="eastAsia" w:eastAsia="宋体" w:cs="Times New Roman"/>
                <w:b/>
                <w:bCs/>
                <w:color w:val="auto"/>
                <w:sz w:val="18"/>
                <w:szCs w:val="18"/>
                <w:highlight w:val="none"/>
                <w:lang w:val="en-US" w:eastAsia="zh-CN"/>
              </w:rPr>
              <w:t xml:space="preserve">                                                 统计时间：2024年3月12日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管理片区</w:t>
            </w:r>
          </w:p>
        </w:tc>
        <w:tc>
          <w:tcPr>
            <w:tcW w:w="6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号片</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color w:val="auto"/>
                <w:sz w:val="18"/>
                <w:szCs w:val="18"/>
                <w:highlight w:val="none"/>
              </w:rPr>
              <w:t>地理位置（视具体门牌号而定）</w:t>
            </w:r>
          </w:p>
        </w:tc>
        <w:tc>
          <w:tcPr>
            <w:tcW w:w="11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现有户数</w:t>
            </w:r>
          </w:p>
        </w:tc>
        <w:tc>
          <w:tcPr>
            <w:tcW w:w="11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规划户数</w:t>
            </w:r>
          </w:p>
        </w:tc>
        <w:tc>
          <w:tcPr>
            <w:tcW w:w="11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控制数</w:t>
            </w:r>
          </w:p>
        </w:tc>
        <w:tc>
          <w:tcPr>
            <w:tcW w:w="134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办证指标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exact"/>
          <w:jc w:val="center"/>
        </w:trPr>
        <w:tc>
          <w:tcPr>
            <w:tcW w:w="11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御景豪庭（闽江源北路3号）</w:t>
            </w: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御景豪庭（闽江源北路3号）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闽江源北路（塔下大桥-港湾大酒店-文鑫莲业）</w:t>
            </w: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行政服务大厅整幢（闽江源北路5号）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中誉大厦（闽江源北路</w:t>
            </w:r>
            <w:r>
              <w:rPr>
                <w:rFonts w:hint="eastAsia" w:ascii="宋体" w:hAnsi="宋体" w:eastAsia="宋体" w:cs="宋体"/>
                <w:i w:val="0"/>
                <w:color w:val="auto"/>
                <w:kern w:val="0"/>
                <w:sz w:val="18"/>
                <w:szCs w:val="18"/>
                <w:highlight w:val="none"/>
                <w:u w:val="none"/>
                <w:lang w:val="en-US" w:eastAsia="zh-CN" w:bidi="ar"/>
              </w:rPr>
              <w:t>7</w:t>
            </w:r>
            <w:r>
              <w:rPr>
                <w:rFonts w:hint="default" w:ascii="宋体" w:hAnsi="宋体" w:eastAsia="宋体" w:cs="宋体"/>
                <w:i w:val="0"/>
                <w:color w:val="auto"/>
                <w:kern w:val="0"/>
                <w:sz w:val="18"/>
                <w:szCs w:val="18"/>
                <w:highlight w:val="none"/>
                <w:u w:val="none"/>
                <w:lang w:val="en-US" w:eastAsia="zh-CN" w:bidi="ar"/>
              </w:rPr>
              <w:t>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饶山和兴物流园（闽江源北路8号）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光辉物流（闽江源北路10号）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河东香苑1期（闽江源北路11号）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乘龙物流（（闽江源北路12号）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8</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永和汽贸（闽江源北路14号）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9</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河东村村民委员会（闽江源北路15号）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10</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和丰种业（闽江源北路16号）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11</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茶博园（闽江源北路18号）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双和公寓（闽江源北路20号）1-4幢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双和公寓（闽江源北路20号）5-8幢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中石油加油站（闽江源北路22号）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好地方（河东路18号）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16</w:t>
            </w:r>
          </w:p>
        </w:tc>
        <w:tc>
          <w:tcPr>
            <w:tcW w:w="4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河东香苑2期（河东路59号）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河塔路（绥安千年-彭家窠安置小区）</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绥安千年-教化坑路口（河塔路1号.2号.3号.6号.7号.9号.11号.13号.15号.17号.19号）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教化坑路口-河东幼儿园（河塔路21号.23号.25号.27号.29号.31号.32号.33号.35号.37号）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绥安千年-河东菜市场（河塔路5号.8号.10号.12号.14号.16号.18号.20号.22号.28号）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河东菜市场-彭家窠安置小区（河塔路26号.39号.40号.41号.42号.48号）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河塔路44号（彭家窠安置小区）1幢-4幢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河塔路44号（彭家窠安置小区）5幢-8幢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1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文庭雅苑（闽江源南路1-1号）</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文庭雅苑（闽江源南路1-1号）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尚和国际（1期）闽江源南路1号）</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1期大门-闽江源南路1-1081号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1期大门-闽江源南路1-1082号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与恒大建材城相连接的整幢楼房（即尚和1期外套房产）</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尚和国际（2期）（闽江源南路2号）</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2期大门-县医院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2期大门-农业银行</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农业银行-2期侧门</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2期侧门-文庭雅苑衔接处</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黄舟坊南路（溪口桥-下坊悬索桥-移动公司）</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黄舟坊南路5号+黄舟坊南路10号（建宁大饭店）</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黄舟坊南路3号+黄舟坊南路26号（景江苑）A幢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黄舟坊南路26号（景江苑）B幢+C幢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黄舟坊南路27号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大门-黄舟坊南路27号衔接处（黄舟坊南路28号景秀花园）</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大门-黄舟坊南路21号衔接处（黄舟坊南路28号景秀花园）</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黄舟坊南路21号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8</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黄舟坊南路24号.25号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9</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黄舟坊南路51号.53号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10</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黄舟坊南路33号.38号.55号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黄舟坊南路45号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黄舟坊南路34号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黄舟坊南路上坑</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黄舟坊南路46号（葫芦坑安置房）A幢.B幢.E幢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exact"/>
          <w:jc w:val="center"/>
        </w:trPr>
        <w:tc>
          <w:tcPr>
            <w:tcW w:w="11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鑫珑公馆（黄舟坊南路上坑66号）</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鑫珑公馆（黄舟坊南路上坑66号）1-</w:t>
            </w:r>
            <w:r>
              <w:rPr>
                <w:rFonts w:hint="eastAsia" w:ascii="宋体" w:hAnsi="宋体" w:eastAsia="宋体" w:cs="宋体"/>
                <w:i w:val="0"/>
                <w:color w:val="auto"/>
                <w:kern w:val="0"/>
                <w:sz w:val="18"/>
                <w:szCs w:val="18"/>
                <w:highlight w:val="none"/>
                <w:u w:val="none"/>
                <w:lang w:val="en-US" w:eastAsia="zh-CN" w:bidi="ar"/>
              </w:rPr>
              <w:t>13</w:t>
            </w:r>
            <w:r>
              <w:rPr>
                <w:rFonts w:hint="default" w:ascii="宋体" w:hAnsi="宋体" w:eastAsia="宋体" w:cs="宋体"/>
                <w:i w:val="0"/>
                <w:color w:val="auto"/>
                <w:kern w:val="0"/>
                <w:sz w:val="18"/>
                <w:szCs w:val="18"/>
                <w:highlight w:val="none"/>
                <w:u w:val="none"/>
                <w:lang w:val="en-US" w:eastAsia="zh-CN" w:bidi="ar"/>
              </w:rPr>
              <w:t>幢</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黄舟坊东路（溪口桥-塔下大桥）</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金溪旅社（黄舟坊东路1号）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黄舟坊东路25号.26号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长途汽车站（黄舟坊东路22号）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黄舟坊加油站（黄舟坊东路9号）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5</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新宏利汽配经营部（黄舟坊东路10号）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6</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黄舟坊东路11号.12号.13号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7</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五星米厂（黄舟坊东路16号）</w:t>
            </w:r>
            <w:r>
              <w:rPr>
                <w:rFonts w:hint="eastAsia" w:ascii="宋体" w:hAnsi="宋体" w:eastAsia="宋体" w:cs="宋体"/>
                <w:i w:val="0"/>
                <w:color w:val="auto"/>
                <w:kern w:val="0"/>
                <w:sz w:val="18"/>
                <w:szCs w:val="18"/>
                <w:highlight w:val="none"/>
                <w:u w:val="none"/>
                <w:lang w:val="en-US" w:eastAsia="zh-CN" w:bidi="ar"/>
              </w:rPr>
              <w:t>37号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黄舟坊中路（绿田实业-地藏寺）</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黄舟坊中路3号（汽修+洗车）</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2</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建兴宾馆（黄舟坊中路12号）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金川商务宾馆（黄舟坊中路15号）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3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4</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安福宾馆（黄舟坊中路16号）</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jc w:val="center"/>
        </w:trPr>
        <w:tc>
          <w:tcPr>
            <w:tcW w:w="11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黄舟坊北路（溪口桥-地藏寺）</w:t>
            </w:r>
          </w:p>
        </w:tc>
        <w:tc>
          <w:tcPr>
            <w:tcW w:w="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1</w:t>
            </w:r>
          </w:p>
        </w:tc>
        <w:tc>
          <w:tcPr>
            <w:tcW w:w="498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黄舟坊北路</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3</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default" w:ascii="宋体" w:hAnsi="宋体" w:eastAsia="宋体" w:cs="宋体"/>
                <w:i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75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合计</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54</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71</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60</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23</w:t>
            </w:r>
          </w:p>
        </w:tc>
      </w:tr>
    </w:tbl>
    <w:p>
      <w:pPr>
        <w:jc w:val="both"/>
        <w:rPr>
          <w:rFonts w:hint="default" w:ascii="Times New Roman" w:hAnsi="Times New Roman" w:eastAsia="宋体" w:cs="Times New Roman"/>
          <w:color w:val="auto"/>
          <w:sz w:val="18"/>
          <w:szCs w:val="18"/>
          <w:highlight w:val="none"/>
        </w:rPr>
      </w:pPr>
    </w:p>
    <w:p>
      <w:pPr>
        <w:jc w:val="both"/>
        <w:rPr>
          <w:rFonts w:hint="default" w:ascii="Times New Roman" w:hAnsi="Times New Roman" w:eastAsia="宋体" w:cs="Times New Roman"/>
          <w:color w:val="auto"/>
          <w:sz w:val="18"/>
          <w:szCs w:val="18"/>
          <w:highlight w:val="none"/>
        </w:rPr>
      </w:pPr>
    </w:p>
    <w:p>
      <w:pPr>
        <w:jc w:val="both"/>
        <w:rPr>
          <w:rFonts w:hint="default" w:ascii="Times New Roman" w:hAnsi="Times New Roman" w:eastAsia="宋体" w:cs="Times New Roman"/>
          <w:color w:val="auto"/>
          <w:sz w:val="18"/>
          <w:szCs w:val="18"/>
          <w:highlight w:val="none"/>
        </w:rPr>
      </w:pPr>
    </w:p>
    <w:p>
      <w:pPr>
        <w:jc w:val="both"/>
        <w:rPr>
          <w:rFonts w:hint="default" w:ascii="Times New Roman" w:hAnsi="Times New Roman" w:eastAsia="宋体" w:cs="Times New Roman"/>
          <w:color w:val="auto"/>
          <w:sz w:val="18"/>
          <w:szCs w:val="18"/>
          <w:highlight w:val="none"/>
        </w:rPr>
      </w:pPr>
    </w:p>
    <w:p>
      <w:pPr>
        <w:rPr>
          <w:rFonts w:hint="eastAsia" w:ascii="仿宋_GB2312" w:eastAsia="仿宋_GB2312"/>
          <w:b/>
          <w:color w:val="auto"/>
          <w:sz w:val="28"/>
          <w:szCs w:val="28"/>
          <w:highlight w:val="none"/>
          <w:lang w:eastAsia="zh-CN"/>
        </w:rPr>
      </w:pPr>
      <w:r>
        <w:rPr>
          <w:rFonts w:hint="eastAsia" w:ascii="仿宋_GB2312" w:hAnsi="宋体" w:eastAsia="仿宋_GB2312"/>
          <w:b/>
          <w:color w:val="auto"/>
          <w:sz w:val="28"/>
          <w:szCs w:val="28"/>
          <w:highlight w:val="none"/>
        </w:rPr>
        <w:t>附件</w:t>
      </w:r>
      <w:r>
        <w:rPr>
          <w:rFonts w:hint="eastAsia" w:ascii="仿宋_GB2312" w:hAnsi="宋体"/>
          <w:b/>
          <w:color w:val="auto"/>
          <w:sz w:val="28"/>
          <w:szCs w:val="28"/>
          <w:highlight w:val="none"/>
          <w:lang w:val="en-US" w:eastAsia="zh-CN"/>
        </w:rPr>
        <w:t>2</w:t>
      </w:r>
    </w:p>
    <w:p>
      <w:pPr>
        <w:autoSpaceDN w:val="0"/>
        <w:jc w:val="center"/>
        <w:textAlignment w:val="center"/>
        <w:rPr>
          <w:rFonts w:hint="eastAsia"/>
          <w:b/>
          <w:color w:val="auto"/>
          <w:sz w:val="36"/>
          <w:szCs w:val="36"/>
          <w:highlight w:val="none"/>
        </w:rPr>
      </w:pPr>
      <w:r>
        <w:rPr>
          <w:rFonts w:hint="eastAsia" w:ascii="方正小标宋简体" w:hAnsi="方正小标宋简体" w:eastAsia="方正小标宋简体"/>
          <w:color w:val="auto"/>
          <w:sz w:val="30"/>
          <w:szCs w:val="30"/>
          <w:highlight w:val="none"/>
        </w:rPr>
        <w:t>建宁县烟草制品零售点合理布局规划（乡（镇））</w:t>
      </w:r>
    </w:p>
    <w:tbl>
      <w:tblPr>
        <w:tblStyle w:val="7"/>
        <w:tblW w:w="11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83"/>
        <w:gridCol w:w="4167"/>
        <w:gridCol w:w="1233"/>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09" w:type="dxa"/>
            <w:gridSpan w:val="7"/>
            <w:noWrap w:val="0"/>
            <w:vAlign w:val="center"/>
          </w:tcPr>
          <w:p>
            <w:pPr>
              <w:jc w:val="both"/>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制表单位：建宁县烟草专卖</w:t>
            </w:r>
            <w:r>
              <w:rPr>
                <w:rFonts w:hint="default" w:ascii="Times New Roman" w:hAnsi="Times New Roman" w:eastAsia="宋体" w:cs="Times New Roman"/>
                <w:b/>
                <w:bCs/>
                <w:color w:val="auto"/>
                <w:sz w:val="21"/>
                <w:szCs w:val="21"/>
                <w:highlight w:val="none"/>
                <w:lang w:eastAsia="zh-CN"/>
              </w:rPr>
              <w:t>局专卖监督</w:t>
            </w:r>
            <w:r>
              <w:rPr>
                <w:rFonts w:hint="default" w:ascii="Times New Roman" w:hAnsi="Times New Roman" w:eastAsia="宋体" w:cs="Times New Roman"/>
                <w:b/>
                <w:bCs/>
                <w:color w:val="auto"/>
                <w:sz w:val="21"/>
                <w:szCs w:val="21"/>
                <w:highlight w:val="none"/>
              </w:rPr>
              <w:t>管理办公室</w:t>
            </w:r>
            <w:r>
              <w:rPr>
                <w:rFonts w:hint="eastAsia" w:ascii="Times New Roman" w:hAnsi="Times New Roman" w:eastAsia="宋体" w:cs="Times New Roman"/>
                <w:b/>
                <w:bCs/>
                <w:color w:val="auto"/>
                <w:sz w:val="21"/>
                <w:szCs w:val="21"/>
                <w:highlight w:val="none"/>
                <w:lang w:val="en-US" w:eastAsia="zh-CN"/>
              </w:rPr>
              <w:t xml:space="preserve">                  </w:t>
            </w:r>
            <w:r>
              <w:rPr>
                <w:rFonts w:hint="eastAsia" w:eastAsia="宋体" w:cs="Times New Roman"/>
                <w:b/>
                <w:bCs/>
                <w:color w:val="auto"/>
                <w:sz w:val="21"/>
                <w:szCs w:val="21"/>
                <w:highlight w:val="none"/>
                <w:lang w:val="en-US" w:eastAsia="zh-CN"/>
              </w:rPr>
              <w:t xml:space="preserve">         </w:t>
            </w:r>
            <w:r>
              <w:rPr>
                <w:rFonts w:hint="eastAsia" w:ascii="Times New Roman" w:hAnsi="Times New Roman" w:eastAsia="宋体" w:cs="Times New Roman"/>
                <w:b/>
                <w:bCs/>
                <w:color w:val="auto"/>
                <w:sz w:val="21"/>
                <w:szCs w:val="21"/>
                <w:highlight w:val="none"/>
                <w:lang w:val="en-US" w:eastAsia="zh-CN"/>
              </w:rPr>
              <w:t xml:space="preserve">       统计时间：2024年3月12日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管理片区</w:t>
            </w:r>
          </w:p>
        </w:tc>
        <w:tc>
          <w:tcPr>
            <w:tcW w:w="98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号片</w:t>
            </w:r>
          </w:p>
        </w:tc>
        <w:tc>
          <w:tcPr>
            <w:tcW w:w="4167"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地理位置（视具体门牌号而定）</w:t>
            </w:r>
          </w:p>
        </w:tc>
        <w:tc>
          <w:tcPr>
            <w:tcW w:w="123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现有户数</w:t>
            </w:r>
          </w:p>
        </w:tc>
        <w:tc>
          <w:tcPr>
            <w:tcW w:w="123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规划户数</w:t>
            </w:r>
          </w:p>
        </w:tc>
        <w:tc>
          <w:tcPr>
            <w:tcW w:w="123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控制数</w:t>
            </w:r>
          </w:p>
        </w:tc>
        <w:tc>
          <w:tcPr>
            <w:tcW w:w="123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办证指标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restart"/>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乡（镇）</w:t>
            </w: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溪口</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31</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31</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31</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溪源</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12</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12</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9</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黄坊</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7</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7</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黄埠</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14</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14</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客坊</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15</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15</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里心</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38</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r>
              <w:rPr>
                <w:rFonts w:hint="eastAsia" w:eastAsia="宋体" w:cs="Times New Roman"/>
                <w:i w:val="0"/>
                <w:iCs w:val="0"/>
                <w:color w:val="auto"/>
                <w:kern w:val="0"/>
                <w:sz w:val="18"/>
                <w:szCs w:val="18"/>
                <w:highlight w:val="none"/>
                <w:u w:val="none"/>
                <w:lang w:val="en-US" w:eastAsia="zh-CN" w:bidi="ar"/>
              </w:rPr>
              <w:t>8</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27</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均口</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31</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26</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16</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41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伊家</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16</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16</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7" w:type="dxa"/>
            <w:vMerge w:val="continue"/>
            <w:noWrap w:val="0"/>
            <w:vAlign w:val="center"/>
          </w:tcPr>
          <w:p>
            <w:pPr>
              <w:widowControl/>
              <w:jc w:val="center"/>
              <w:textAlignment w:val="center"/>
              <w:rPr>
                <w:rFonts w:hint="default" w:ascii="Times New Roman" w:hAnsi="Times New Roman" w:eastAsia="宋体" w:cs="Times New Roman"/>
                <w:b w:val="0"/>
                <w:bCs w:val="0"/>
                <w:color w:val="auto"/>
                <w:kern w:val="0"/>
                <w:sz w:val="21"/>
                <w:szCs w:val="21"/>
                <w:highlight w:val="none"/>
              </w:rPr>
            </w:pPr>
          </w:p>
        </w:tc>
        <w:tc>
          <w:tcPr>
            <w:tcW w:w="5150"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eastAsia="宋体" w:cs="Times New Roman"/>
                <w:b w:val="0"/>
                <w:bCs w:val="0"/>
                <w:i w:val="0"/>
                <w:color w:val="auto"/>
                <w:kern w:val="0"/>
                <w:sz w:val="21"/>
                <w:szCs w:val="21"/>
                <w:highlight w:val="none"/>
                <w:u w:val="none"/>
                <w:lang w:val="en-US" w:eastAsia="zh-CN" w:bidi="ar"/>
              </w:rPr>
              <w:t>合计</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164</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159</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111</w:t>
            </w:r>
          </w:p>
        </w:tc>
        <w:tc>
          <w:tcPr>
            <w:tcW w:w="1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0</w:t>
            </w:r>
          </w:p>
        </w:tc>
      </w:tr>
    </w:tbl>
    <w:p>
      <w:pPr>
        <w:rPr>
          <w:rFonts w:hint="eastAsia" w:ascii="仿宋_GB2312" w:hAnsi="宋体" w:eastAsia="仿宋_GB2312"/>
          <w:b/>
          <w:color w:val="auto"/>
          <w:sz w:val="28"/>
          <w:szCs w:val="28"/>
          <w:highlight w:val="none"/>
        </w:rPr>
      </w:pPr>
    </w:p>
    <w:p>
      <w:pPr>
        <w:rPr>
          <w:rFonts w:hint="eastAsia" w:ascii="仿宋_GB2312" w:hAnsi="宋体" w:eastAsia="仿宋_GB2312"/>
          <w:b/>
          <w:color w:val="auto"/>
          <w:sz w:val="28"/>
          <w:szCs w:val="28"/>
          <w:highlight w:val="none"/>
        </w:rPr>
      </w:pPr>
    </w:p>
    <w:p>
      <w:pPr>
        <w:rPr>
          <w:rFonts w:hint="eastAsia" w:ascii="方正小标宋简体" w:hAnsi="方正小标宋简体" w:eastAsia="方正小标宋简体"/>
          <w:color w:val="auto"/>
          <w:sz w:val="30"/>
          <w:szCs w:val="30"/>
          <w:highlight w:val="none"/>
        </w:rPr>
      </w:pPr>
      <w:r>
        <w:rPr>
          <w:rFonts w:hint="eastAsia" w:ascii="仿宋_GB2312" w:hAnsi="宋体" w:eastAsia="仿宋_GB2312"/>
          <w:b/>
          <w:color w:val="auto"/>
          <w:sz w:val="28"/>
          <w:szCs w:val="28"/>
          <w:highlight w:val="none"/>
        </w:rPr>
        <w:t>附件</w:t>
      </w:r>
      <w:r>
        <w:rPr>
          <w:rFonts w:hint="eastAsia" w:ascii="仿宋_GB2312" w:hAnsi="宋体"/>
          <w:b/>
          <w:color w:val="auto"/>
          <w:sz w:val="28"/>
          <w:szCs w:val="28"/>
          <w:highlight w:val="none"/>
          <w:lang w:val="en-US" w:eastAsia="zh-CN"/>
        </w:rPr>
        <w:t>3</w:t>
      </w:r>
    </w:p>
    <w:p>
      <w:pPr>
        <w:spacing w:after="156" w:afterLines="50"/>
        <w:jc w:val="center"/>
        <w:rPr>
          <w:rFonts w:hint="eastAsia" w:ascii="方正小标宋简体" w:hAnsi="方正小标宋简体" w:eastAsia="方正小标宋简体"/>
          <w:color w:val="auto"/>
          <w:sz w:val="30"/>
          <w:szCs w:val="30"/>
          <w:highlight w:val="none"/>
        </w:rPr>
      </w:pPr>
      <w:r>
        <w:rPr>
          <w:rFonts w:hint="eastAsia" w:ascii="方正小标宋简体" w:hAnsi="方正小标宋简体" w:eastAsia="方正小标宋简体"/>
          <w:color w:val="auto"/>
          <w:sz w:val="30"/>
          <w:szCs w:val="30"/>
          <w:highlight w:val="none"/>
        </w:rPr>
        <w:t>建宁县烟草制品零售点合理布局规划（行政村（含自然村））</w:t>
      </w:r>
    </w:p>
    <w:tbl>
      <w:tblPr>
        <w:tblStyle w:val="7"/>
        <w:tblW w:w="10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943"/>
        <w:gridCol w:w="3461"/>
        <w:gridCol w:w="1280"/>
        <w:gridCol w:w="1280"/>
        <w:gridCol w:w="12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0" w:type="dxa"/>
            <w:gridSpan w:val="7"/>
            <w:noWrap w:val="0"/>
            <w:vAlign w:val="center"/>
          </w:tcPr>
          <w:p>
            <w:pPr>
              <w:jc w:val="both"/>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制表单位：建宁县烟草专卖</w:t>
            </w:r>
            <w:r>
              <w:rPr>
                <w:rFonts w:hint="default" w:ascii="Times New Roman" w:hAnsi="Times New Roman" w:eastAsia="宋体" w:cs="Times New Roman"/>
                <w:b/>
                <w:bCs/>
                <w:color w:val="auto"/>
                <w:sz w:val="21"/>
                <w:szCs w:val="21"/>
                <w:highlight w:val="none"/>
                <w:lang w:eastAsia="zh-CN"/>
              </w:rPr>
              <w:t>局专卖监督</w:t>
            </w:r>
            <w:r>
              <w:rPr>
                <w:rFonts w:hint="default" w:ascii="Times New Roman" w:hAnsi="Times New Roman" w:eastAsia="宋体" w:cs="Times New Roman"/>
                <w:b/>
                <w:bCs/>
                <w:color w:val="auto"/>
                <w:sz w:val="21"/>
                <w:szCs w:val="21"/>
                <w:highlight w:val="none"/>
              </w:rPr>
              <w:t>管理办公室</w:t>
            </w:r>
            <w:r>
              <w:rPr>
                <w:rFonts w:hint="eastAsia" w:ascii="Times New Roman" w:hAnsi="Times New Roman" w:eastAsia="宋体" w:cs="Times New Roman"/>
                <w:b/>
                <w:bCs/>
                <w:color w:val="auto"/>
                <w:sz w:val="21"/>
                <w:szCs w:val="21"/>
                <w:highlight w:val="none"/>
                <w:lang w:val="en-US" w:eastAsia="zh-CN"/>
              </w:rPr>
              <w:t xml:space="preserve">        </w:t>
            </w:r>
            <w:r>
              <w:rPr>
                <w:rFonts w:hint="eastAsia" w:eastAsia="宋体" w:cs="Times New Roman"/>
                <w:b/>
                <w:bCs/>
                <w:color w:val="auto"/>
                <w:sz w:val="21"/>
                <w:szCs w:val="21"/>
                <w:highlight w:val="none"/>
                <w:lang w:val="en-US" w:eastAsia="zh-CN"/>
              </w:rPr>
              <w:t xml:space="preserve">   </w:t>
            </w:r>
            <w:r>
              <w:rPr>
                <w:rFonts w:hint="eastAsia" w:ascii="Times New Roman" w:hAnsi="Times New Roman" w:eastAsia="宋体" w:cs="Times New Roman"/>
                <w:b/>
                <w:bCs/>
                <w:color w:val="auto"/>
                <w:sz w:val="21"/>
                <w:szCs w:val="21"/>
                <w:highlight w:val="none"/>
                <w:lang w:val="en-US" w:eastAsia="zh-CN"/>
              </w:rPr>
              <w:t xml:space="preserve">            </w:t>
            </w:r>
            <w:r>
              <w:rPr>
                <w:rFonts w:hint="eastAsia" w:eastAsia="宋体" w:cs="Times New Roman"/>
                <w:b/>
                <w:bCs/>
                <w:color w:val="auto"/>
                <w:sz w:val="21"/>
                <w:szCs w:val="21"/>
                <w:highlight w:val="none"/>
                <w:lang w:val="en-US" w:eastAsia="zh-CN"/>
              </w:rPr>
              <w:t xml:space="preserve">  </w:t>
            </w:r>
            <w:r>
              <w:rPr>
                <w:rFonts w:hint="eastAsia" w:ascii="Times New Roman" w:hAnsi="Times New Roman" w:eastAsia="宋体" w:cs="Times New Roman"/>
                <w:b/>
                <w:bCs/>
                <w:color w:val="auto"/>
                <w:sz w:val="21"/>
                <w:szCs w:val="21"/>
                <w:highlight w:val="none"/>
                <w:lang w:val="en-US" w:eastAsia="zh-CN"/>
              </w:rPr>
              <w:t xml:space="preserve">    统计时间：2024年3月12日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管理片区</w:t>
            </w:r>
          </w:p>
        </w:tc>
        <w:tc>
          <w:tcPr>
            <w:tcW w:w="943"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号片</w:t>
            </w:r>
          </w:p>
        </w:tc>
        <w:tc>
          <w:tcPr>
            <w:tcW w:w="3461"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地理位置（视具体门牌号而定）</w:t>
            </w:r>
          </w:p>
        </w:tc>
        <w:tc>
          <w:tcPr>
            <w:tcW w:w="1280"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现有户数</w:t>
            </w:r>
          </w:p>
        </w:tc>
        <w:tc>
          <w:tcPr>
            <w:tcW w:w="1280"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规划户数</w:t>
            </w:r>
          </w:p>
        </w:tc>
        <w:tc>
          <w:tcPr>
            <w:tcW w:w="1280"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控制数</w:t>
            </w:r>
          </w:p>
        </w:tc>
        <w:tc>
          <w:tcPr>
            <w:tcW w:w="1280" w:type="dxa"/>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办证指标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jc w:val="center"/>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rPr>
              <w:t>濉溪</w:t>
            </w:r>
            <w:r>
              <w:rPr>
                <w:rFonts w:hint="default" w:ascii="Times New Roman" w:hAnsi="Times New Roman" w:eastAsia="宋体" w:cs="Times New Roman"/>
                <w:b w:val="0"/>
                <w:bCs w:val="0"/>
                <w:color w:val="auto"/>
                <w:sz w:val="21"/>
                <w:szCs w:val="21"/>
                <w:highlight w:val="none"/>
                <w:lang w:eastAsia="zh-CN"/>
              </w:rPr>
              <w:t>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河东村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9</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水南村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长吉村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水西村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圳头村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大元村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高峰村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斗埕村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10</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9</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器村村</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10</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国营综合农场</w:t>
            </w:r>
          </w:p>
        </w:tc>
        <w:tc>
          <w:tcPr>
            <w:tcW w:w="1280" w:type="dxa"/>
            <w:noWrap w:val="0"/>
            <w:vAlign w:val="center"/>
          </w:tcPr>
          <w:p>
            <w:pPr>
              <w:keepNext w:val="0"/>
              <w:keepLines w:val="0"/>
              <w:widowControl/>
              <w:suppressLineNumbers w:val="0"/>
              <w:jc w:val="center"/>
              <w:textAlignment w:val="center"/>
              <w:rPr>
                <w:rFonts w:hint="default"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溪口村级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艾阳村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桐元村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马元村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半元村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枫元村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杨林村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溪枫村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渠村村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9</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杉溪村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10</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高圳村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枧头村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8</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8</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高山村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溪源村级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东溪村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大岭村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鲇坑村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蒋坊村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楚尾村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桐荣村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都团村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上坪村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黄坊村级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毛坊村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仍田村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武调村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10</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陈岭村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将上村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安寅村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芦岭村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黄埠村级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桂阳村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陈余村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大余村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贤河村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友兰村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罗源村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竹薮村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山下村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widowControl/>
              <w:jc w:val="center"/>
              <w:textAlignment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9</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封头村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客坊村级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龙溪村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湾坊村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里元村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张溪村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严田村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中畲村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7</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水尾村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里心村级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汪家村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滩角村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双溪村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新圩村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戴家村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芦田村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宁源村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大南村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6</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4</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9</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上黎村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5</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10</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岩上村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靖安村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3</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花排村</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2</w:t>
            </w:r>
          </w:p>
        </w:tc>
        <w:tc>
          <w:tcPr>
            <w:tcW w:w="1280" w:type="dxa"/>
            <w:noWrap w:val="0"/>
            <w:vAlign w:val="center"/>
          </w:tcPr>
          <w:p>
            <w:pPr>
              <w:widowControl/>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eastAsia="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均口村级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黄岭村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修竹村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8</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岭腰村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焦坑村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官常村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台田村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半寮村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8</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芰坑村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9</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洋坑村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10</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龙头村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隆下村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5</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12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垅源村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restart"/>
            <w:noWrap w:val="0"/>
            <w:vAlign w:val="center"/>
          </w:tcPr>
          <w:p>
            <w:pPr>
              <w:spacing w:after="156" w:afterLines="5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伊家村级</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1</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兰溪村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2</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沙洲村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3</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陈家村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4</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双坑村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5</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东风村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6</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笔架村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6" w:type="dxa"/>
            <w:vMerge w:val="continue"/>
            <w:noWrap w:val="0"/>
            <w:vAlign w:val="top"/>
          </w:tcPr>
          <w:p>
            <w:pPr>
              <w:spacing w:after="156" w:afterLines="50"/>
              <w:jc w:val="center"/>
              <w:rPr>
                <w:rFonts w:hint="default" w:ascii="Times New Roman" w:hAnsi="Times New Roman" w:eastAsia="宋体" w:cs="Times New Roman"/>
                <w:b w:val="0"/>
                <w:bCs w:val="0"/>
                <w:color w:val="auto"/>
                <w:sz w:val="21"/>
                <w:szCs w:val="21"/>
                <w:highlight w:val="none"/>
              </w:rPr>
            </w:pP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7</w:t>
            </w:r>
          </w:p>
        </w:tc>
        <w:tc>
          <w:tcPr>
            <w:tcW w:w="3461"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隘上村</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90" w:type="dxa"/>
            <w:gridSpan w:val="3"/>
            <w:noWrap w:val="0"/>
            <w:vAlign w:val="top"/>
          </w:tcPr>
          <w:p>
            <w:pPr>
              <w:keepNext w:val="0"/>
              <w:keepLines w:val="0"/>
              <w:widowControl/>
              <w:suppressLineNumbers w:val="0"/>
              <w:jc w:val="center"/>
              <w:textAlignment w:val="center"/>
              <w:rPr>
                <w:rFonts w:hint="eastAsia" w:ascii="Times New Roman" w:hAnsi="Times New Roman" w:eastAsia="宋体" w:cs="Times New Roman"/>
                <w:b w:val="0"/>
                <w:bCs w:val="0"/>
                <w:i w:val="0"/>
                <w:color w:val="auto"/>
                <w:kern w:val="0"/>
                <w:sz w:val="21"/>
                <w:szCs w:val="21"/>
                <w:highlight w:val="none"/>
                <w:u w:val="none"/>
                <w:lang w:val="en-US" w:eastAsia="zh-CN" w:bidi="ar"/>
              </w:rPr>
            </w:pPr>
            <w:r>
              <w:rPr>
                <w:rFonts w:hint="eastAsia" w:eastAsia="宋体" w:cs="Times New Roman"/>
                <w:b w:val="0"/>
                <w:bCs w:val="0"/>
                <w:i w:val="0"/>
                <w:color w:val="auto"/>
                <w:kern w:val="0"/>
                <w:sz w:val="21"/>
                <w:szCs w:val="21"/>
                <w:highlight w:val="none"/>
                <w:u w:val="none"/>
                <w:lang w:val="en-US" w:eastAsia="zh-CN" w:bidi="ar"/>
              </w:rPr>
              <w:t>合计</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330</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329</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eastAsia="宋体" w:cs="Times New Roman"/>
                <w:i w:val="0"/>
                <w:iCs w:val="0"/>
                <w:color w:val="auto"/>
                <w:kern w:val="0"/>
                <w:sz w:val="18"/>
                <w:szCs w:val="18"/>
                <w:highlight w:val="none"/>
                <w:u w:val="none"/>
                <w:lang w:val="en-US" w:eastAsia="zh-CN" w:bidi="ar"/>
              </w:rPr>
              <w:t>242</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color w:val="auto"/>
          <w:sz w:val="24"/>
          <w:highlight w:val="none"/>
          <w:lang w:eastAsia="zh-CN"/>
        </w:rPr>
      </w:pPr>
      <w:r>
        <w:rPr>
          <w:rFonts w:hint="eastAsia"/>
          <w:color w:val="auto"/>
          <w:sz w:val="24"/>
          <w:highlight w:val="none"/>
        </w:rPr>
        <w:t>备注：以上控制数均以第七次人口普查情况作为重要制定基数，结合城镇、农村等地理位置，</w:t>
      </w:r>
      <w:r>
        <w:rPr>
          <w:rFonts w:hint="eastAsia"/>
          <w:color w:val="auto"/>
          <w:sz w:val="24"/>
          <w:highlight w:val="none"/>
          <w:lang w:val="en-US" w:eastAsia="zh-CN"/>
        </w:rPr>
        <w:t>2022</w:t>
      </w:r>
      <w:r>
        <w:rPr>
          <w:rFonts w:hint="eastAsia"/>
          <w:color w:val="auto"/>
          <w:sz w:val="24"/>
          <w:highlight w:val="none"/>
        </w:rPr>
        <w:t>年辖区经济水平以及202</w:t>
      </w:r>
      <w:r>
        <w:rPr>
          <w:rFonts w:hint="eastAsia"/>
          <w:color w:val="auto"/>
          <w:sz w:val="24"/>
          <w:highlight w:val="none"/>
          <w:lang w:val="en-US" w:eastAsia="zh-CN"/>
        </w:rPr>
        <w:t>2</w:t>
      </w:r>
      <w:r>
        <w:rPr>
          <w:rFonts w:hint="eastAsia"/>
          <w:color w:val="auto"/>
          <w:sz w:val="24"/>
          <w:highlight w:val="none"/>
        </w:rPr>
        <w:t>年、202</w:t>
      </w:r>
      <w:r>
        <w:rPr>
          <w:rFonts w:hint="eastAsia"/>
          <w:color w:val="auto"/>
          <w:sz w:val="24"/>
          <w:highlight w:val="none"/>
          <w:lang w:val="en-US" w:eastAsia="zh-CN"/>
        </w:rPr>
        <w:t>3</w:t>
      </w:r>
      <w:r>
        <w:rPr>
          <w:rFonts w:hint="eastAsia"/>
          <w:color w:val="auto"/>
          <w:sz w:val="24"/>
          <w:highlight w:val="none"/>
        </w:rPr>
        <w:t>年全县卷烟销量、结构等因素，得出各区域烟草制品零售点布局规划理论数量。经建宁县烟草专卖局“烟草制品零售点合理布局管理委员会”结合各区域其他因素，确定零售点布局规划数量</w:t>
      </w:r>
      <w:r>
        <w:rPr>
          <w:rFonts w:hint="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color w:val="auto"/>
          <w:sz w:val="24"/>
          <w:highlight w:val="none"/>
          <w:lang w:eastAsia="zh-CN"/>
        </w:rPr>
      </w:pP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rPr>
          <w:rFonts w:hint="eastAsia" w:ascii="仿宋_GB2312" w:eastAsia="仿宋_GB2312"/>
          <w:color w:val="auto"/>
          <w:sz w:val="32"/>
          <w:szCs w:val="32"/>
          <w:highlight w:val="none"/>
        </w:rPr>
        <w:sectPr>
          <w:headerReference r:id="rId5" w:type="default"/>
          <w:footerReference r:id="rId6" w:type="default"/>
          <w:pgSz w:w="16838" w:h="11906" w:orient="landscape"/>
          <w:pgMar w:top="1588" w:right="2098" w:bottom="1474" w:left="1985" w:header="851" w:footer="1418" w:gutter="0"/>
          <w:cols w:space="720" w:num="1"/>
          <w:docGrid w:type="linesAndChars" w:linePitch="579" w:charSpace="0"/>
        </w:sectPr>
      </w:pPr>
    </w:p>
    <w:p>
      <w:pP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附件</w:t>
      </w:r>
      <w:r>
        <w:rPr>
          <w:rFonts w:hint="eastAsia" w:ascii="仿宋_GB2312"/>
          <w:color w:val="auto"/>
          <w:sz w:val="32"/>
          <w:szCs w:val="32"/>
          <w:highlight w:val="none"/>
          <w:lang w:val="en-US" w:eastAsia="zh-CN"/>
        </w:rPr>
        <w:t>4</w:t>
      </w:r>
    </w:p>
    <w:p>
      <w:pPr>
        <w:ind w:firstLine="720" w:firstLineChars="200"/>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专卖零售许可证办理轮候注意事项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发证机关应对新办申请材料的完整性进行审查，对申请材料不齐全或不符合法定形式的，应当场一次性书面告知需要补正的全部内容。申请材料齐全、符合法定形式应及时作出不予行政许可决定，并建议申请人主动参加申办证件的排队轮候。线上与线下同一天提出申请的，依提供完整材料的时间先后顺序引导排队轮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申请人排队到号应当在收到办理通知之日起三个工作日内提交办证申请材料，逾期未提交、未按要求补正材料或在三个工作日内按照其提供的联系方式无法联系通知办理的，视同放弃申请，并由下一位排号人递补申请。</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三、发证机关应</w:t>
      </w:r>
      <w:r>
        <w:rPr>
          <w:rFonts w:hint="eastAsia" w:ascii="仿宋_GB2312" w:eastAsia="仿宋_GB2312"/>
          <w:color w:val="auto"/>
          <w:sz w:val="32"/>
          <w:szCs w:val="32"/>
          <w:highlight w:val="none"/>
          <w:lang w:eastAsia="zh-CN"/>
        </w:rPr>
        <w:t>定期</w:t>
      </w:r>
      <w:r>
        <w:rPr>
          <w:rFonts w:hint="eastAsia" w:ascii="仿宋_GB2312" w:eastAsia="仿宋_GB2312"/>
          <w:color w:val="auto"/>
          <w:sz w:val="32"/>
          <w:szCs w:val="32"/>
          <w:highlight w:val="none"/>
        </w:rPr>
        <w:t>对排队轮候情况进行公示，保障公众知情权。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四、轮候实行“谁申请谁排号、排号转让无效、过号失效、公开透明”的原则，登记默认有效期限二年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轮候</w:t>
      </w:r>
      <w:r>
        <w:rPr>
          <w:rFonts w:hint="eastAsia" w:ascii="仿宋_GB2312" w:eastAsia="仿宋_GB2312"/>
          <w:color w:val="auto"/>
          <w:sz w:val="32"/>
          <w:szCs w:val="32"/>
          <w:highlight w:val="none"/>
        </w:rPr>
        <w:t>到期前30日</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，申请人应重新提交申请，</w:t>
      </w:r>
      <w:r>
        <w:rPr>
          <w:rFonts w:hint="eastAsia" w:ascii="仿宋_GB2312" w:eastAsia="仿宋_GB2312"/>
          <w:color w:val="auto"/>
          <w:sz w:val="32"/>
          <w:szCs w:val="32"/>
          <w:highlight w:val="none"/>
          <w:lang w:val="en-US" w:eastAsia="zh-CN"/>
        </w:rPr>
        <w:t>符合条件的，</w:t>
      </w:r>
      <w:r>
        <w:rPr>
          <w:rFonts w:hint="eastAsia" w:ascii="仿宋_GB2312" w:eastAsia="仿宋_GB2312"/>
          <w:color w:val="auto"/>
          <w:sz w:val="32"/>
          <w:szCs w:val="32"/>
          <w:highlight w:val="none"/>
        </w:rPr>
        <w:t>排队顺序不变。逾期未重新提交申请的，视为放弃排队资格。轮候公示以办证服务</w:t>
      </w:r>
      <w:r>
        <w:rPr>
          <w:rFonts w:hint="eastAsia" w:ascii="仿宋_GB2312" w:eastAsia="仿宋_GB2312"/>
          <w:color w:val="auto"/>
          <w:sz w:val="32"/>
          <w:szCs w:val="32"/>
          <w:highlight w:val="none"/>
          <w:lang w:val="en-US" w:eastAsia="zh-CN"/>
        </w:rPr>
        <w:t>中心</w:t>
      </w:r>
      <w:r>
        <w:rPr>
          <w:rFonts w:hint="eastAsia" w:ascii="仿宋_GB2312" w:eastAsia="仿宋_GB2312"/>
          <w:color w:val="auto"/>
          <w:sz w:val="32"/>
          <w:szCs w:val="32"/>
          <w:highlight w:val="none"/>
        </w:rPr>
        <w:t>窗口、政府网站等多种方式对外公示。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发证机关应当提供咨询和投诉举报渠道，及时处理投诉举报。</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五、排队轮候期间，除企业名称、经营地址名称信息变更外，申请人登记的法定代表人或其他组织负责人、企业住所、经营地址等登记事项应与营业执照登记信息相一致。</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申请人如客观原因需更改企业名称、经营地址名称或更正身份信息的，应当在到号前向发证机关申请作出相应修改。</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六、申请人在排队轮候期间，书面提出取消排队轮候申请的，发证机关应当及时终止其申请。</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七、有下列情形之一的，排号人的原登记信息即时失效且不得以原登记顺序进行再次登记：</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（一）无法按照其提供的联系方式联系到排号人的；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（二）经发证机关实地核查，发现实际情况与原登记事项不符的。</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（三）经发证机关核实，登记经营场所不再经营的、营业执照注销的、经营主体发生变化的（包括实际经营、执照登记主体等）</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rPr>
          <w:rFonts w:ascii="仿宋_GB2312" w:eastAsia="仿宋_GB2312"/>
          <w:color w:val="auto"/>
          <w:sz w:val="32"/>
          <w:szCs w:val="32"/>
          <w:highlight w:val="none"/>
        </w:rPr>
      </w:pPr>
      <w:r>
        <w:rPr>
          <w:rFonts w:ascii="仿宋_GB2312" w:eastAsia="仿宋_GB2312"/>
          <w:color w:val="auto"/>
          <w:sz w:val="32"/>
          <w:szCs w:val="32"/>
          <w:highlight w:val="none"/>
        </w:rPr>
        <w:br w:type="page"/>
      </w:r>
    </w:p>
    <w:p>
      <w:pPr>
        <w:ind w:firstLine="720" w:firstLineChars="200"/>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烟草专卖零售许可证申请排认轮候告知书</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为贯彻落实烟草行业法律法规，进一步提升行政管理服务质量，保障烟草专卖零售许可证申请人知情权，根据烟草专卖零售许可证办理轮制度规定，现将相关事宜告知如下:</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一、申请人提出办证申请，由于所在市场单元零售点数量满额，将进入排队轮候。轮候不是准予许可，轮候登记是排队资格的记录。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二、进入排队轮候的申请人到号后，发证机关将依法进入受理、审查（含实地核查）、审批、决定等程序。</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三、由于城市建设、周边现有持证户经营状态、中小学幼儿园新建、搬离等情况变化，均会影响申请人实地核查结果，为保障申请人的合法权益，实地核查工作将在申请人到号后开展。</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w:t>
      </w:r>
      <w:r>
        <w:rPr>
          <w:rFonts w:hint="eastAsia" w:ascii="仿宋_GB2312" w:eastAsia="仿宋_GB2312"/>
          <w:color w:val="auto"/>
          <w:sz w:val="32"/>
          <w:szCs w:val="32"/>
          <w:highlight w:val="none"/>
          <w:lang w:val="en-US" w:eastAsia="zh-CN"/>
        </w:rPr>
        <w:t>申请人的登记信息应当与身份信息、营业执照信息等保持一致。</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、排队有效期两年，请于</w:t>
      </w:r>
      <w:r>
        <w:rPr>
          <w:rFonts w:hint="eastAsia" w:ascii="仿宋_GB2312" w:eastAsia="仿宋_GB2312"/>
          <w:color w:val="auto"/>
          <w:sz w:val="32"/>
          <w:szCs w:val="32"/>
          <w:highlight w:val="none"/>
          <w:lang w:val="en-US" w:eastAsia="zh-CN"/>
        </w:rPr>
        <w:t>到期</w:t>
      </w:r>
      <w:r>
        <w:rPr>
          <w:rFonts w:hint="eastAsia" w:ascii="仿宋_GB2312" w:eastAsia="仿宋_GB2312"/>
          <w:color w:val="auto"/>
          <w:sz w:val="32"/>
          <w:szCs w:val="32"/>
          <w:highlight w:val="none"/>
        </w:rPr>
        <w:t>前</w:t>
      </w:r>
      <w:r>
        <w:rPr>
          <w:rFonts w:hint="eastAsia" w:ascii="仿宋_GB2312" w:eastAsia="仿宋_GB2312"/>
          <w:color w:val="auto"/>
          <w:sz w:val="32"/>
          <w:szCs w:val="32"/>
          <w:highlight w:val="none"/>
          <w:lang w:val="en-US" w:eastAsia="zh-CN"/>
        </w:rPr>
        <w:t>30日内</w:t>
      </w:r>
      <w:r>
        <w:rPr>
          <w:rFonts w:hint="eastAsia" w:ascii="仿宋_GB2312" w:eastAsia="仿宋_GB2312"/>
          <w:color w:val="auto"/>
          <w:sz w:val="32"/>
          <w:szCs w:val="32"/>
          <w:highlight w:val="none"/>
        </w:rPr>
        <w:t>重新提交申请。</w:t>
      </w:r>
    </w:p>
    <w:p>
      <w:pPr>
        <w:rPr>
          <w:rFonts w:ascii="仿宋_GB2312" w:eastAsia="仿宋_GB2312"/>
          <w:color w:val="auto"/>
          <w:sz w:val="32"/>
          <w:szCs w:val="32"/>
          <w:highlight w:val="none"/>
        </w:rPr>
      </w:pPr>
    </w:p>
    <w:p>
      <w:pP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申请人：                      县（市、区）烟草专卖局</w:t>
      </w:r>
    </w:p>
    <w:p>
      <w:pPr>
        <w:jc w:val="right"/>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（签章）</w:t>
      </w:r>
    </w:p>
    <w:p>
      <w:pPr>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年    月    日</w:t>
      </w:r>
    </w:p>
    <w:p>
      <w:pPr>
        <w:ind w:firstLine="640" w:firstLineChars="200"/>
        <w:rPr>
          <w:rFonts w:ascii="仿宋_GB2312" w:eastAsia="仿宋_GB2312"/>
          <w:color w:val="auto"/>
          <w:sz w:val="32"/>
          <w:szCs w:val="32"/>
          <w:highlight w:val="none"/>
        </w:rPr>
      </w:pPr>
    </w:p>
    <w:p>
      <w:pPr>
        <w:ind w:firstLine="720" w:firstLineChars="200"/>
        <w:jc w:val="center"/>
        <w:rPr>
          <w:rFonts w:hint="eastAsia" w:ascii="方正小标宋简体" w:hAnsi="方正小标宋简体" w:eastAsia="方正小标宋简体" w:cs="方正小标宋简体"/>
          <w:color w:val="auto"/>
          <w:sz w:val="36"/>
          <w:szCs w:val="36"/>
          <w:highlight w:val="none"/>
        </w:rPr>
      </w:pPr>
    </w:p>
    <w:p>
      <w:pPr>
        <w:ind w:firstLine="720" w:firstLineChars="200"/>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烟草专卖零售许可证申请排队轮候情况确认表</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申请人：                    企业名称：</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排队所在单元：              经营地址：</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排队号：</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情形：口申请人自愿提出取消排队轮候的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口申请人排队到号后逾期未提出新办申请的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口申请人排队到号后无法联系到申请人的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口申请人轮候期间被发现涉及违法违规经营的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口其他情形：</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实地核查情况：</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备注：轮候二年后重新核查填写该表。</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申请人 (签名)：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检查人员(签名、检查证号)：</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color w:val="auto"/>
          <w:sz w:val="32"/>
          <w:szCs w:val="32"/>
          <w:highlight w:val="none"/>
          <w:lang w:val="en-US" w:eastAsia="zh-CN"/>
        </w:rPr>
        <w:t>5</w:t>
      </w:r>
    </w:p>
    <w:p>
      <w:pPr>
        <w:ind w:firstLine="880" w:firstLineChars="200"/>
        <w:jc w:val="center"/>
        <w:rPr>
          <w:rFonts w:ascii="仿宋_GB2312" w:eastAsia="仿宋_GB2312"/>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烟草制品零售点现场测量规则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一、烟草制品零售点现场测量是指申请人的经营场所与最近零售点的经营场所各自最近一侧门沿之间行人可正常安全通行的无障碍可行最短距离测量认定。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二、可行间距距离测量使用的测量工具应符合国家统一标准。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三、测量标准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1.申请人的经营场所与最近零售点的经营场所位于同侧的,测量最短直线距离。（如图1所示）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285740" cy="1889760"/>
            <wp:effectExtent l="0" t="0" r="10160" b="2540"/>
            <wp:docPr id="5" name="图片 1" descr="C:\Users\wujinglu\AppData\Local\Temp\ksohtml1227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wujinglu\AppData\Local\Temp\ksohtml12276\wps1.png"/>
                    <pic:cNvPicPr>
                      <a:picLocks noChangeAspect="1"/>
                    </pic:cNvPicPr>
                  </pic:nvPicPr>
                  <pic:blipFill>
                    <a:blip r:embed="rId8"/>
                    <a:stretch>
                      <a:fillRect/>
                    </a:stretch>
                  </pic:blipFill>
                  <pic:spPr>
                    <a:xfrm>
                      <a:off x="0" y="0"/>
                      <a:ext cx="5285740" cy="1889760"/>
                    </a:xfrm>
                    <a:prstGeom prst="rect">
                      <a:avLst/>
                    </a:prstGeom>
                    <a:noFill/>
                    <a:ln>
                      <a:noFill/>
                    </a:ln>
                  </pic:spPr>
                </pic:pic>
              </a:graphicData>
            </a:graphic>
          </wp:inline>
        </w:drawing>
      </w:r>
      <w:r>
        <w:rPr>
          <w:rFonts w:hint="eastAsia" w:ascii="仿宋_GB2312" w:eastAsia="仿宋_GB2312"/>
          <w:color w:val="auto"/>
          <w:sz w:val="32"/>
          <w:szCs w:val="32"/>
          <w:highlight w:val="none"/>
        </w:rPr>
        <w:t>（图1）</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2.申请人的经营场所与最近零售点的经营场所位于同侧且存在障碍物的，测量按直角分段绕过障碍物测量，分段距离之和即为申请人的经营场所与最近零售点的经营场所间的距离。（如图2所示）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238115" cy="1855470"/>
            <wp:effectExtent l="0" t="0" r="6985" b="11430"/>
            <wp:docPr id="3" name="图片 2" descr="C:\Users\wujinglu\AppData\Local\Temp\ksohtml1227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wujinglu\AppData\Local\Temp\ksohtml12276\wps2.png"/>
                    <pic:cNvPicPr>
                      <a:picLocks noChangeAspect="1"/>
                    </pic:cNvPicPr>
                  </pic:nvPicPr>
                  <pic:blipFill>
                    <a:blip r:embed="rId9"/>
                    <a:stretch>
                      <a:fillRect/>
                    </a:stretch>
                  </pic:blipFill>
                  <pic:spPr>
                    <a:xfrm>
                      <a:off x="0" y="0"/>
                      <a:ext cx="5238115" cy="1855470"/>
                    </a:xfrm>
                    <a:prstGeom prst="rect">
                      <a:avLst/>
                    </a:prstGeom>
                    <a:noFill/>
                    <a:ln>
                      <a:noFill/>
                    </a:ln>
                  </pic:spPr>
                </pic:pic>
              </a:graphicData>
            </a:graphic>
          </wp:inline>
        </w:drawing>
      </w:r>
      <w:r>
        <w:rPr>
          <w:rFonts w:hint="eastAsia"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（图2）</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政府有关部门在街道或道路中已经设置的行人隔离带（栏）、绿化带等视为障碍物，认定为不可正常安全通行。</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在通行道路上临时设置的安全设施，临时放置的建筑材料、物品，擅自设立、建造的建筑、物体，以及因阶段性施工影响通行等不视为障碍物。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3.申请人的经营场所与最近零售点的经营场所位于异侧，道路无交通标识的,测量按两点之间直线最短距离测量。（如图3所示） </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191125" cy="2804160"/>
            <wp:effectExtent l="0" t="0" r="3175" b="2540"/>
            <wp:docPr id="10" name="图片 10"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捕获"/>
                    <pic:cNvPicPr>
                      <a:picLocks noChangeAspect="1"/>
                    </pic:cNvPicPr>
                  </pic:nvPicPr>
                  <pic:blipFill>
                    <a:blip r:embed="rId10"/>
                    <a:stretch>
                      <a:fillRect/>
                    </a:stretch>
                  </pic:blipFill>
                  <pic:spPr>
                    <a:xfrm>
                      <a:off x="0" y="0"/>
                      <a:ext cx="5191125" cy="2804160"/>
                    </a:xfrm>
                    <a:prstGeom prst="rect">
                      <a:avLst/>
                    </a:prstGeom>
                  </pic:spPr>
                </pic:pic>
              </a:graphicData>
            </a:graphic>
          </wp:inline>
        </w:drawing>
      </w:r>
      <w:r>
        <w:rPr>
          <w:rFonts w:hint="eastAsia"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（图3）</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4. 申请人的经营场所与最近零售点的经营场所位于异侧,道路中间有护栏等隔离设施的，测量按交通标识直角分段测量，分段距离之和即为申请人的经营场所与最近零售点的经营场所的距离。（如图4所示）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138420" cy="2926715"/>
            <wp:effectExtent l="0" t="0" r="5080" b="6985"/>
            <wp:docPr id="6" name="图片 4" descr="C:\Users\wujinglu\AppData\Local\Temp\ksohtml12276\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wujinglu\AppData\Local\Temp\ksohtml12276\wps4.png"/>
                    <pic:cNvPicPr>
                      <a:picLocks noChangeAspect="1"/>
                    </pic:cNvPicPr>
                  </pic:nvPicPr>
                  <pic:blipFill>
                    <a:blip r:embed="rId11"/>
                    <a:stretch>
                      <a:fillRect/>
                    </a:stretch>
                  </pic:blipFill>
                  <pic:spPr>
                    <a:xfrm>
                      <a:off x="0" y="0"/>
                      <a:ext cx="5138420" cy="2926715"/>
                    </a:xfrm>
                    <a:prstGeom prst="rect">
                      <a:avLst/>
                    </a:prstGeom>
                    <a:noFill/>
                    <a:ln>
                      <a:noFill/>
                    </a:ln>
                  </pic:spPr>
                </pic:pic>
              </a:graphicData>
            </a:graphic>
          </wp:inline>
        </w:drawing>
      </w:r>
      <w:r>
        <w:rPr>
          <w:rFonts w:hint="eastAsia"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（图4）</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5.申请人的经营场所与最近零售点的经营场所异侧存在障碍物的，测量按直角分段绕过障碍物测量，分段距离之和即为申请人的经营场所与最近零售点的经营场所间的距离。（如图5所示）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266690" cy="2476500"/>
            <wp:effectExtent l="0" t="0" r="3810" b="0"/>
            <wp:docPr id="2" name="图片 5" descr="C:\Users\wujinglu\AppData\Local\Temp\ksohtml12276\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wujinglu\AppData\Local\Temp\ksohtml12276\wps5.png"/>
                    <pic:cNvPicPr>
                      <a:picLocks noChangeAspect="1"/>
                    </pic:cNvPicPr>
                  </pic:nvPicPr>
                  <pic:blipFill>
                    <a:blip r:embed="rId12"/>
                    <a:stretch>
                      <a:fillRect/>
                    </a:stretch>
                  </pic:blipFill>
                  <pic:spPr>
                    <a:xfrm>
                      <a:off x="0" y="0"/>
                      <a:ext cx="5266690" cy="2476500"/>
                    </a:xfrm>
                    <a:prstGeom prst="rect">
                      <a:avLst/>
                    </a:prstGeom>
                    <a:noFill/>
                    <a:ln>
                      <a:noFill/>
                    </a:ln>
                  </pic:spPr>
                </pic:pic>
              </a:graphicData>
            </a:graphic>
          </wp:inline>
        </w:drawing>
      </w:r>
      <w:r>
        <w:rPr>
          <w:rFonts w:hint="eastAsia"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（图5）</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6.申请人的经营场所与最近零售点的经营场所之间道路存在有转角的，按直角分段测量最短距离。（如图6所示）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076190" cy="3301365"/>
            <wp:effectExtent l="0" t="0" r="3810" b="635"/>
            <wp:docPr id="7" name="图片 6" descr="C:\Users\wujinglu\AppData\Local\Temp\ksohtml12276\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wujinglu\AppData\Local\Temp\ksohtml12276\wps6.png"/>
                    <pic:cNvPicPr>
                      <a:picLocks noChangeAspect="1"/>
                    </pic:cNvPicPr>
                  </pic:nvPicPr>
                  <pic:blipFill>
                    <a:blip r:embed="rId13"/>
                    <a:stretch>
                      <a:fillRect/>
                    </a:stretch>
                  </pic:blipFill>
                  <pic:spPr>
                    <a:xfrm>
                      <a:off x="0" y="0"/>
                      <a:ext cx="5076190" cy="3301365"/>
                    </a:xfrm>
                    <a:prstGeom prst="rect">
                      <a:avLst/>
                    </a:prstGeom>
                    <a:noFill/>
                    <a:ln>
                      <a:noFill/>
                    </a:ln>
                  </pic:spPr>
                </pic:pic>
              </a:graphicData>
            </a:graphic>
          </wp:inline>
        </w:drawing>
      </w:r>
      <w:r>
        <w:rPr>
          <w:rFonts w:hint="eastAsia" w:ascii="仿宋_GB2312" w:eastAsia="仿宋_GB2312"/>
          <w:color w:val="auto"/>
          <w:sz w:val="32"/>
          <w:szCs w:val="32"/>
          <w:highlight w:val="none"/>
        </w:rPr>
        <w:t xml:space="preserve"> </w:t>
      </w:r>
      <w:bookmarkStart w:id="0" w:name="_GoBack"/>
      <w:bookmarkEnd w:id="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（图6）</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7.中小学、幼儿园校园以学校进出通道口门线任意点可视直线最短距离范围内为准。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8.申请人的经营场所门面为多面（多间）贯通且多面经营的，取与最近零售点各自最近一侧门沿之间进行测量。</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9.市场、广场等区域零售点间距测量方法均以原设计道路、人行通道行人正常安全行走的最短距离进行测量。</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10.特殊地形测量：因地形、地貌或设计等原因导致道路、通道成不规则形态，通过前述方法无法测量的，取可安全通行路径最近距离进行测量。</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11.申请人的经营场所与最近零售点的经营场所之间有台阶、楼梯的，以其平面坡长进行测量（如图7所示）；有电梯的，以层高进行测量；楼梯与电梯并存的，以最短距离的为准。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5247640" cy="2580640"/>
            <wp:effectExtent l="0" t="0" r="10160" b="10160"/>
            <wp:docPr id="4" name="图片 7" descr="C:\Users\wujinglu\AppData\Local\Temp\ksohtml12276\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C:\Users\wujinglu\AppData\Local\Temp\ksohtml12276\wps7.png"/>
                    <pic:cNvPicPr>
                      <a:picLocks noChangeAspect="1"/>
                    </pic:cNvPicPr>
                  </pic:nvPicPr>
                  <pic:blipFill>
                    <a:blip r:embed="rId14"/>
                    <a:stretch>
                      <a:fillRect/>
                    </a:stretch>
                  </pic:blipFill>
                  <pic:spPr>
                    <a:xfrm>
                      <a:off x="0" y="0"/>
                      <a:ext cx="5247640" cy="2580640"/>
                    </a:xfrm>
                    <a:prstGeom prst="rect">
                      <a:avLst/>
                    </a:prstGeom>
                    <a:noFill/>
                    <a:ln>
                      <a:noFill/>
                    </a:ln>
                  </pic:spPr>
                </pic:pic>
              </a:graphicData>
            </a:graphic>
          </wp:inline>
        </w:drawing>
      </w:r>
      <w:r>
        <w:rPr>
          <w:rFonts w:hint="eastAsia"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（图7）                                </w:t>
      </w:r>
    </w:p>
    <w:p>
      <w:pPr>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24"/>
          <w:highlight w:val="none"/>
          <w:lang w:eastAsia="zh-CN"/>
        </w:rPr>
      </w:pPr>
    </w:p>
    <w:sectPr>
      <w:pgSz w:w="11906" w:h="16838"/>
      <w:pgMar w:top="2098" w:right="1474" w:bottom="1985" w:left="1588" w:header="851" w:footer="1418"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宋体" w:hAnsi="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ZWNlYjAzYjc2NDcyNGNlMTVlNWE0ZGU3ZWE1OTgifQ=="/>
  </w:docVars>
  <w:rsids>
    <w:rsidRoot w:val="00C74F70"/>
    <w:rsid w:val="0002201B"/>
    <w:rsid w:val="0007214D"/>
    <w:rsid w:val="000A0ECD"/>
    <w:rsid w:val="000B6A66"/>
    <w:rsid w:val="000E16A0"/>
    <w:rsid w:val="00135C3A"/>
    <w:rsid w:val="001A6DB3"/>
    <w:rsid w:val="001B2ECB"/>
    <w:rsid w:val="00211102"/>
    <w:rsid w:val="0024046B"/>
    <w:rsid w:val="00253F95"/>
    <w:rsid w:val="002562ED"/>
    <w:rsid w:val="002A0B87"/>
    <w:rsid w:val="002B5E8C"/>
    <w:rsid w:val="00381E73"/>
    <w:rsid w:val="003C1B8F"/>
    <w:rsid w:val="003E51AE"/>
    <w:rsid w:val="00460FA9"/>
    <w:rsid w:val="00503102"/>
    <w:rsid w:val="00573E0D"/>
    <w:rsid w:val="00575A5C"/>
    <w:rsid w:val="005876FD"/>
    <w:rsid w:val="005B4EAF"/>
    <w:rsid w:val="00657D3B"/>
    <w:rsid w:val="006707B0"/>
    <w:rsid w:val="006874F2"/>
    <w:rsid w:val="00712759"/>
    <w:rsid w:val="00714B58"/>
    <w:rsid w:val="00764861"/>
    <w:rsid w:val="007B4F94"/>
    <w:rsid w:val="008006C6"/>
    <w:rsid w:val="00891064"/>
    <w:rsid w:val="008F481D"/>
    <w:rsid w:val="00914FC1"/>
    <w:rsid w:val="00942CD4"/>
    <w:rsid w:val="0096304F"/>
    <w:rsid w:val="00970EC6"/>
    <w:rsid w:val="00972939"/>
    <w:rsid w:val="009A3B23"/>
    <w:rsid w:val="00A122E0"/>
    <w:rsid w:val="00A34A09"/>
    <w:rsid w:val="00A8542D"/>
    <w:rsid w:val="00A97457"/>
    <w:rsid w:val="00B70C8B"/>
    <w:rsid w:val="00B8739A"/>
    <w:rsid w:val="00C31D65"/>
    <w:rsid w:val="00C74F70"/>
    <w:rsid w:val="00CB588C"/>
    <w:rsid w:val="00D3605B"/>
    <w:rsid w:val="00D417A6"/>
    <w:rsid w:val="00D769E8"/>
    <w:rsid w:val="00D9012B"/>
    <w:rsid w:val="00DD5EDD"/>
    <w:rsid w:val="00E61C71"/>
    <w:rsid w:val="00E66609"/>
    <w:rsid w:val="00EE2988"/>
    <w:rsid w:val="00EF0B42"/>
    <w:rsid w:val="00F16DC4"/>
    <w:rsid w:val="00F80C41"/>
    <w:rsid w:val="00F84BF6"/>
    <w:rsid w:val="00FC021A"/>
    <w:rsid w:val="00FC7570"/>
    <w:rsid w:val="00FE42CC"/>
    <w:rsid w:val="044D6EAF"/>
    <w:rsid w:val="04B04D4E"/>
    <w:rsid w:val="057B5855"/>
    <w:rsid w:val="062A6FF9"/>
    <w:rsid w:val="06CD4239"/>
    <w:rsid w:val="08D058D4"/>
    <w:rsid w:val="0B047E7B"/>
    <w:rsid w:val="0BF343D3"/>
    <w:rsid w:val="0C4311A1"/>
    <w:rsid w:val="0F6D7FD6"/>
    <w:rsid w:val="1059559F"/>
    <w:rsid w:val="10BC1ABB"/>
    <w:rsid w:val="12522482"/>
    <w:rsid w:val="1267411A"/>
    <w:rsid w:val="12C563CB"/>
    <w:rsid w:val="13D51B74"/>
    <w:rsid w:val="13EA252C"/>
    <w:rsid w:val="144E4FB7"/>
    <w:rsid w:val="14F05A1B"/>
    <w:rsid w:val="175C4F11"/>
    <w:rsid w:val="17634C4C"/>
    <w:rsid w:val="18F605CB"/>
    <w:rsid w:val="1A0A4D42"/>
    <w:rsid w:val="1B90004D"/>
    <w:rsid w:val="1BA838C4"/>
    <w:rsid w:val="1C7720F8"/>
    <w:rsid w:val="1D362687"/>
    <w:rsid w:val="1D8D4081"/>
    <w:rsid w:val="1F35205B"/>
    <w:rsid w:val="1F5D48C9"/>
    <w:rsid w:val="20236450"/>
    <w:rsid w:val="20863B19"/>
    <w:rsid w:val="209438EC"/>
    <w:rsid w:val="22590D46"/>
    <w:rsid w:val="22D01999"/>
    <w:rsid w:val="25F7051B"/>
    <w:rsid w:val="26307F40"/>
    <w:rsid w:val="26AB3C92"/>
    <w:rsid w:val="27570663"/>
    <w:rsid w:val="278307C7"/>
    <w:rsid w:val="27C35C3D"/>
    <w:rsid w:val="27DF7187"/>
    <w:rsid w:val="28DD7225"/>
    <w:rsid w:val="2A1C7B6E"/>
    <w:rsid w:val="2A61640B"/>
    <w:rsid w:val="2AFB0BA8"/>
    <w:rsid w:val="2B4B5023"/>
    <w:rsid w:val="2C5B28B4"/>
    <w:rsid w:val="2E0354B3"/>
    <w:rsid w:val="2F36519D"/>
    <w:rsid w:val="2F6F37B8"/>
    <w:rsid w:val="2FF7BFD7"/>
    <w:rsid w:val="30B266B2"/>
    <w:rsid w:val="30DD63D3"/>
    <w:rsid w:val="30EB90A9"/>
    <w:rsid w:val="31C9112A"/>
    <w:rsid w:val="337041EC"/>
    <w:rsid w:val="344276C0"/>
    <w:rsid w:val="355B12A9"/>
    <w:rsid w:val="35900B4B"/>
    <w:rsid w:val="36197FD3"/>
    <w:rsid w:val="36217649"/>
    <w:rsid w:val="37327746"/>
    <w:rsid w:val="37E549B9"/>
    <w:rsid w:val="39324606"/>
    <w:rsid w:val="39405C8F"/>
    <w:rsid w:val="39752798"/>
    <w:rsid w:val="39A173C2"/>
    <w:rsid w:val="39C45EFF"/>
    <w:rsid w:val="3ADD0391"/>
    <w:rsid w:val="3AF16F57"/>
    <w:rsid w:val="3DB0087F"/>
    <w:rsid w:val="3DDD5EE5"/>
    <w:rsid w:val="3DFF31A4"/>
    <w:rsid w:val="3E1D4CFC"/>
    <w:rsid w:val="3E543696"/>
    <w:rsid w:val="3EBB222E"/>
    <w:rsid w:val="3EE5531C"/>
    <w:rsid w:val="3EFDAA59"/>
    <w:rsid w:val="3F164DE4"/>
    <w:rsid w:val="3F1B3A9A"/>
    <w:rsid w:val="3F9D17DB"/>
    <w:rsid w:val="3FE529EE"/>
    <w:rsid w:val="3FF70439"/>
    <w:rsid w:val="3FFC8F67"/>
    <w:rsid w:val="4043691D"/>
    <w:rsid w:val="428019CE"/>
    <w:rsid w:val="45614849"/>
    <w:rsid w:val="46AFD96A"/>
    <w:rsid w:val="470591F2"/>
    <w:rsid w:val="47893061"/>
    <w:rsid w:val="47AD75DD"/>
    <w:rsid w:val="47E708FB"/>
    <w:rsid w:val="48D803E0"/>
    <w:rsid w:val="49267782"/>
    <w:rsid w:val="4A362112"/>
    <w:rsid w:val="4DB87DF8"/>
    <w:rsid w:val="4E511739"/>
    <w:rsid w:val="4EA504D7"/>
    <w:rsid w:val="4EA754E4"/>
    <w:rsid w:val="4EFD9A16"/>
    <w:rsid w:val="4F7339C6"/>
    <w:rsid w:val="4FCF043A"/>
    <w:rsid w:val="4FF60D0E"/>
    <w:rsid w:val="50752361"/>
    <w:rsid w:val="50AB405B"/>
    <w:rsid w:val="50B454E3"/>
    <w:rsid w:val="50D85B5D"/>
    <w:rsid w:val="51D14258"/>
    <w:rsid w:val="52653C19"/>
    <w:rsid w:val="54FD719A"/>
    <w:rsid w:val="55DC0551"/>
    <w:rsid w:val="5707B451"/>
    <w:rsid w:val="574B6B0D"/>
    <w:rsid w:val="57964C9C"/>
    <w:rsid w:val="58BE17EC"/>
    <w:rsid w:val="59355912"/>
    <w:rsid w:val="596C049F"/>
    <w:rsid w:val="59D10D25"/>
    <w:rsid w:val="5A637EEF"/>
    <w:rsid w:val="5A925FEF"/>
    <w:rsid w:val="5CCC0644"/>
    <w:rsid w:val="5DE12B14"/>
    <w:rsid w:val="5E7E58F8"/>
    <w:rsid w:val="5ECAC540"/>
    <w:rsid w:val="5EDB2F99"/>
    <w:rsid w:val="5EE7A807"/>
    <w:rsid w:val="5F182D44"/>
    <w:rsid w:val="5FF02CD7"/>
    <w:rsid w:val="5FFBF962"/>
    <w:rsid w:val="5FFF48DD"/>
    <w:rsid w:val="5FFFD811"/>
    <w:rsid w:val="606C1333"/>
    <w:rsid w:val="612524D1"/>
    <w:rsid w:val="61CB1E63"/>
    <w:rsid w:val="638216C7"/>
    <w:rsid w:val="66417A34"/>
    <w:rsid w:val="68B45183"/>
    <w:rsid w:val="68D03599"/>
    <w:rsid w:val="690019F8"/>
    <w:rsid w:val="69923EA8"/>
    <w:rsid w:val="6A3F238E"/>
    <w:rsid w:val="6A5DAE26"/>
    <w:rsid w:val="6BB64AE1"/>
    <w:rsid w:val="6BBEDD1F"/>
    <w:rsid w:val="6BD717A4"/>
    <w:rsid w:val="6BF1386D"/>
    <w:rsid w:val="6CB42CF7"/>
    <w:rsid w:val="6CF3A0B9"/>
    <w:rsid w:val="6D687226"/>
    <w:rsid w:val="6D7B0347"/>
    <w:rsid w:val="6DF7DA4F"/>
    <w:rsid w:val="6EF29533"/>
    <w:rsid w:val="6F1F6647"/>
    <w:rsid w:val="6F3264E6"/>
    <w:rsid w:val="6F4658F2"/>
    <w:rsid w:val="6FBDB80B"/>
    <w:rsid w:val="6FDE39A3"/>
    <w:rsid w:val="723467FA"/>
    <w:rsid w:val="72AB5619"/>
    <w:rsid w:val="72CF5C0E"/>
    <w:rsid w:val="72E524F0"/>
    <w:rsid w:val="737F954B"/>
    <w:rsid w:val="74284D24"/>
    <w:rsid w:val="761102D8"/>
    <w:rsid w:val="76E5D3D9"/>
    <w:rsid w:val="76F5CAE7"/>
    <w:rsid w:val="777C4C4B"/>
    <w:rsid w:val="77D34884"/>
    <w:rsid w:val="780C414C"/>
    <w:rsid w:val="78107EA2"/>
    <w:rsid w:val="78C778DD"/>
    <w:rsid w:val="79C75833"/>
    <w:rsid w:val="7A7F3ADF"/>
    <w:rsid w:val="7AFF34AE"/>
    <w:rsid w:val="7BCB2A7C"/>
    <w:rsid w:val="7BD72336"/>
    <w:rsid w:val="7BF433B9"/>
    <w:rsid w:val="7BFBC4C4"/>
    <w:rsid w:val="7BFE2D20"/>
    <w:rsid w:val="7C31FF6D"/>
    <w:rsid w:val="7CB00694"/>
    <w:rsid w:val="7CBF7F76"/>
    <w:rsid w:val="7CFFEBB0"/>
    <w:rsid w:val="7D61A692"/>
    <w:rsid w:val="7DBC6B84"/>
    <w:rsid w:val="7DC72337"/>
    <w:rsid w:val="7DD30D64"/>
    <w:rsid w:val="7DF44321"/>
    <w:rsid w:val="7E377795"/>
    <w:rsid w:val="7E6F8590"/>
    <w:rsid w:val="7E72099D"/>
    <w:rsid w:val="7E8EAA98"/>
    <w:rsid w:val="7EB08F75"/>
    <w:rsid w:val="7EBE9928"/>
    <w:rsid w:val="7EE6D50D"/>
    <w:rsid w:val="7EFD3678"/>
    <w:rsid w:val="7EFF1ACF"/>
    <w:rsid w:val="7F5D4D8A"/>
    <w:rsid w:val="7F6BEC4D"/>
    <w:rsid w:val="7F7D4BE3"/>
    <w:rsid w:val="7F7E70F2"/>
    <w:rsid w:val="7F92781B"/>
    <w:rsid w:val="7F9F112E"/>
    <w:rsid w:val="7FEDF39F"/>
    <w:rsid w:val="7FF85F0D"/>
    <w:rsid w:val="7FF96438"/>
    <w:rsid w:val="7FFF1B3C"/>
    <w:rsid w:val="95E1CB90"/>
    <w:rsid w:val="96FB5311"/>
    <w:rsid w:val="9BFB012E"/>
    <w:rsid w:val="9F1F7C7C"/>
    <w:rsid w:val="A9FF2465"/>
    <w:rsid w:val="AF7F3B82"/>
    <w:rsid w:val="B6F37925"/>
    <w:rsid w:val="B6FFDADE"/>
    <w:rsid w:val="B7779E26"/>
    <w:rsid w:val="B9FF45A3"/>
    <w:rsid w:val="BAEE0EA3"/>
    <w:rsid w:val="BDF03ABF"/>
    <w:rsid w:val="BEF3C032"/>
    <w:rsid w:val="BEFFF985"/>
    <w:rsid w:val="C7BE6164"/>
    <w:rsid w:val="CFAFBE5A"/>
    <w:rsid w:val="D04DF9BD"/>
    <w:rsid w:val="DC7FE0C2"/>
    <w:rsid w:val="DDA7F983"/>
    <w:rsid w:val="DDF5FE28"/>
    <w:rsid w:val="DEFF69A4"/>
    <w:rsid w:val="DF3F74E3"/>
    <w:rsid w:val="DFDF1E2D"/>
    <w:rsid w:val="DFFB5FE5"/>
    <w:rsid w:val="E3DFF1F2"/>
    <w:rsid w:val="E3F71C1D"/>
    <w:rsid w:val="E67F71EC"/>
    <w:rsid w:val="E6FB9E68"/>
    <w:rsid w:val="E99C0153"/>
    <w:rsid w:val="EB7FCF65"/>
    <w:rsid w:val="EBDA5EF0"/>
    <w:rsid w:val="EBDF3D1B"/>
    <w:rsid w:val="ED4E499D"/>
    <w:rsid w:val="ED971FB4"/>
    <w:rsid w:val="EEAD670F"/>
    <w:rsid w:val="EEBDCCAA"/>
    <w:rsid w:val="EEFF3B12"/>
    <w:rsid w:val="EF8CDAEA"/>
    <w:rsid w:val="EFDCE5D2"/>
    <w:rsid w:val="F1FF1F27"/>
    <w:rsid w:val="F2FDA9DB"/>
    <w:rsid w:val="F3FE76B4"/>
    <w:rsid w:val="F3FF2660"/>
    <w:rsid w:val="F7776E50"/>
    <w:rsid w:val="F77FA177"/>
    <w:rsid w:val="F7AFB95D"/>
    <w:rsid w:val="F7FF3675"/>
    <w:rsid w:val="F8FBC7B5"/>
    <w:rsid w:val="FA7640D1"/>
    <w:rsid w:val="FAE5E84E"/>
    <w:rsid w:val="FB6F5950"/>
    <w:rsid w:val="FBFF3ADF"/>
    <w:rsid w:val="FD5F5F99"/>
    <w:rsid w:val="FD7F64AF"/>
    <w:rsid w:val="FD889A2E"/>
    <w:rsid w:val="FDEB1727"/>
    <w:rsid w:val="FE379F40"/>
    <w:rsid w:val="FE6F1E3F"/>
    <w:rsid w:val="FE9F1247"/>
    <w:rsid w:val="FECB5B50"/>
    <w:rsid w:val="FEF69C7E"/>
    <w:rsid w:val="FEFE34D6"/>
    <w:rsid w:val="FF3E238A"/>
    <w:rsid w:val="FF665275"/>
    <w:rsid w:val="FF9F8743"/>
    <w:rsid w:val="FFA608DC"/>
    <w:rsid w:val="FFD397FE"/>
    <w:rsid w:val="FFD4BC15"/>
    <w:rsid w:val="FFD727A4"/>
    <w:rsid w:val="FFEBE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character" w:customStyle="1" w:styleId="10">
    <w:name w:val=" Char Char"/>
    <w:basedOn w:val="8"/>
    <w:link w:val="3"/>
    <w:qFormat/>
    <w:uiPriority w:val="0"/>
    <w:rPr>
      <w:rFonts w:ascii="Times New Roman" w:hAnsi="Times New Roman" w:eastAsia="宋体" w:cs="Times New Roman"/>
      <w:sz w:val="18"/>
      <w:szCs w:val="18"/>
    </w:rPr>
  </w:style>
  <w:style w:type="paragraph" w:customStyle="1" w:styleId="11">
    <w:name w:val="p0"/>
    <w:basedOn w:val="1"/>
    <w:qFormat/>
    <w:uiPriority w:val="0"/>
    <w:pPr>
      <w:widowControl/>
    </w:pPr>
    <w:rPr>
      <w:rFonts w:ascii="Calibri" w:hAnsi="Calibri" w:eastAsia="宋体"/>
      <w:kern w:val="0"/>
      <w:sz w:val="21"/>
      <w:szCs w:val="21"/>
    </w:rPr>
  </w:style>
  <w:style w:type="character" w:customStyle="1" w:styleId="12">
    <w:name w:val="font11"/>
    <w:basedOn w:val="8"/>
    <w:qFormat/>
    <w:uiPriority w:val="0"/>
    <w:rPr>
      <w:rFonts w:hint="eastAsia" w:ascii="宋体" w:hAnsi="宋体" w:eastAsia="宋体" w:cs="宋体"/>
      <w:color w:val="000000"/>
      <w:sz w:val="24"/>
      <w:szCs w:val="24"/>
      <w:u w:val="none"/>
    </w:rPr>
  </w:style>
  <w:style w:type="character" w:customStyle="1" w:styleId="13">
    <w:name w:val="font21"/>
    <w:basedOn w:val="8"/>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8981</Words>
  <Characters>9448</Characters>
  <Lines>0</Lines>
  <Paragraphs>0</Paragraphs>
  <TotalTime>0</TotalTime>
  <ScaleCrop>false</ScaleCrop>
  <LinksUpToDate>false</LinksUpToDate>
  <CharactersWithSpaces>9709</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2022-03-16T00:01:00Z</dcterms:created>
  <dc:creator>Maze</dc:creator>
  <cp:lastModifiedBy>郑榆铮</cp:lastModifiedBy>
  <cp:lastPrinted>2023-06-27T23:25:00Z</cp:lastPrinted>
  <dcterms:modified xsi:type="dcterms:W3CDTF">2024-03-27T07:55:19Z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0660F8592A5DEE806014F165411FE883_43</vt:lpwstr>
  </property>
</Properties>
</file>