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仿宋_GB2312" w:hAnsi="仿宋_GB2312" w:eastAsia="仿宋_GB2312" w:cs="仿宋_GB2312"/>
          <w:kern w:val="0"/>
          <w:sz w:val="28"/>
          <w:szCs w:val="28"/>
          <w:lang w:val="zh-CN" w:bidi="zh-CN"/>
        </w:rPr>
      </w:pPr>
    </w:p>
    <w:p>
      <w:pPr>
        <w:adjustRightInd w:val="0"/>
        <w:snapToGrid w:val="0"/>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福建铙山纸业集团有限公司清算组</w:t>
      </w:r>
    </w:p>
    <w:p>
      <w:pPr>
        <w:adjustRightInd w:val="0"/>
        <w:snapToGrid w:val="0"/>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社会中介机构遴选评分表</w:t>
      </w:r>
    </w:p>
    <w:p>
      <w:pPr>
        <w:pStyle w:val="2"/>
        <w:spacing w:line="360" w:lineRule="exact"/>
        <w:ind w:left="20" w:firstLine="643"/>
        <w:jc w:val="center"/>
        <w:rPr>
          <w:rFonts w:ascii="仿宋_GB2312" w:hAnsi="仿宋_GB2312" w:eastAsia="仿宋_GB2312" w:cs="仿宋_GB2312"/>
          <w:b/>
          <w:bCs/>
          <w:sz w:val="32"/>
          <w:szCs w:val="32"/>
        </w:rPr>
      </w:pPr>
    </w:p>
    <w:p>
      <w:pPr>
        <w:pStyle w:val="2"/>
        <w:spacing w:line="360" w:lineRule="exact"/>
        <w:ind w:left="20" w:firstLine="643"/>
        <w:jc w:val="center"/>
        <w:rPr>
          <w:rFonts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第一阶段：前置评价</w:t>
      </w:r>
    </w:p>
    <w:p>
      <w:pPr>
        <w:pStyle w:val="2"/>
        <w:spacing w:line="360" w:lineRule="exact"/>
        <w:ind w:left="20" w:firstLine="643"/>
        <w:jc w:val="center"/>
        <w:rPr>
          <w:rFonts w:ascii="仿宋_GB2312" w:hAnsi="仿宋_GB2312" w:eastAsia="仿宋_GB2312" w:cs="仿宋_GB2312"/>
          <w:b/>
          <w:bCs/>
          <w:sz w:val="32"/>
          <w:szCs w:val="32"/>
        </w:rPr>
      </w:pPr>
    </w:p>
    <w:p>
      <w:pPr>
        <w:pStyle w:val="2"/>
        <w:spacing w:line="360" w:lineRule="exact"/>
        <w:ind w:left="20"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（注：申报机构前置评价结果必须全部为“是”；如有 “否”的，则不再进入下一阶段的申报机构遴选）</w:t>
      </w:r>
    </w:p>
    <w:tbl>
      <w:tblPr>
        <w:tblStyle w:val="6"/>
        <w:tblW w:w="831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4"/>
        <w:gridCol w:w="5292"/>
        <w:gridCol w:w="1308"/>
        <w:gridCol w:w="9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04" w:type="dxa"/>
            <w:vAlign w:val="center"/>
          </w:tcPr>
          <w:p>
            <w:pPr>
              <w:pStyle w:val="14"/>
              <w:spacing w:line="360" w:lineRule="exact"/>
              <w:ind w:right="122"/>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5292" w:type="dxa"/>
            <w:vAlign w:val="center"/>
          </w:tcPr>
          <w:p>
            <w:pPr>
              <w:pStyle w:val="14"/>
              <w:spacing w:line="360" w:lineRule="exact"/>
              <w:ind w:right="1849"/>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rPr>
              <w:t xml:space="preserve">            前置</w:t>
            </w:r>
            <w:r>
              <w:rPr>
                <w:rFonts w:hint="eastAsia" w:ascii="仿宋_GB2312" w:hAnsi="仿宋_GB2312" w:eastAsia="仿宋_GB2312" w:cs="仿宋_GB2312"/>
                <w:b/>
                <w:bCs/>
                <w:sz w:val="24"/>
                <w:szCs w:val="24"/>
              </w:rPr>
              <w:t>评价要素</w:t>
            </w:r>
          </w:p>
        </w:tc>
        <w:tc>
          <w:tcPr>
            <w:tcW w:w="1308" w:type="dxa"/>
            <w:vAlign w:val="center"/>
          </w:tcPr>
          <w:p>
            <w:pPr>
              <w:pStyle w:val="14"/>
              <w:spacing w:line="36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评价结果</w:t>
            </w:r>
          </w:p>
        </w:tc>
        <w:tc>
          <w:tcPr>
            <w:tcW w:w="911" w:type="dxa"/>
            <w:vAlign w:val="center"/>
          </w:tcPr>
          <w:p>
            <w:pPr>
              <w:pStyle w:val="14"/>
              <w:spacing w:line="36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7" w:hRule="atLeast"/>
        </w:trPr>
        <w:tc>
          <w:tcPr>
            <w:tcW w:w="804" w:type="dxa"/>
            <w:shd w:val="clear" w:color="auto" w:fill="FFFFFF" w:themeFill="background1"/>
            <w:vAlign w:val="center"/>
          </w:tcPr>
          <w:p>
            <w:pPr>
              <w:pStyle w:val="14"/>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5292" w:type="dxa"/>
            <w:shd w:val="clear" w:color="auto" w:fill="FFFFFF" w:themeFill="background1"/>
            <w:vAlign w:val="center"/>
          </w:tcPr>
          <w:p>
            <w:pPr>
              <w:pStyle w:val="14"/>
              <w:spacing w:line="360" w:lineRule="exact"/>
              <w:ind w:left="210" w:leftChars="100" w:right="73"/>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申报机构是否具备</w:t>
            </w:r>
            <w:r>
              <w:rPr>
                <w:rFonts w:hint="eastAsia" w:ascii="仿宋_GB2312" w:hAnsi="仿宋_GB2312" w:eastAsia="仿宋_GB2312" w:cs="仿宋_GB2312"/>
                <w:sz w:val="24"/>
                <w:szCs w:val="24"/>
                <w:lang w:val="en-US"/>
              </w:rPr>
              <w:t>福建省高级人民法院或市级</w:t>
            </w:r>
            <w:r>
              <w:rPr>
                <w:rFonts w:hint="eastAsia" w:ascii="仿宋_GB2312" w:hAnsi="仿宋_GB2312" w:eastAsia="仿宋_GB2312" w:cs="仿宋_GB2312"/>
                <w:sz w:val="24"/>
                <w:szCs w:val="24"/>
              </w:rPr>
              <w:t>中级人民法院</w:t>
            </w:r>
            <w:r>
              <w:rPr>
                <w:rFonts w:hint="eastAsia" w:ascii="仿宋_GB2312" w:hAnsi="仿宋_GB2312" w:eastAsia="仿宋_GB2312" w:cs="仿宋_GB2312"/>
                <w:sz w:val="24"/>
                <w:szCs w:val="24"/>
                <w:lang w:val="en-US"/>
              </w:rPr>
              <w:t>公布的</w:t>
            </w:r>
            <w:r>
              <w:rPr>
                <w:rFonts w:hint="eastAsia" w:ascii="仿宋_GB2312" w:hAnsi="仿宋_GB2312" w:eastAsia="仿宋_GB2312" w:cs="仿宋_GB2312"/>
                <w:sz w:val="24"/>
                <w:szCs w:val="24"/>
              </w:rPr>
              <w:t>《企业破产管理人名册》</w:t>
            </w:r>
            <w:r>
              <w:rPr>
                <w:rFonts w:hint="eastAsia" w:ascii="仿宋_GB2312" w:hAnsi="仿宋_GB2312" w:eastAsia="仿宋_GB2312" w:cs="仿宋_GB2312"/>
                <w:sz w:val="24"/>
                <w:szCs w:val="24"/>
                <w:lang w:val="en-US"/>
              </w:rPr>
              <w:t>入册管理人资质</w:t>
            </w:r>
          </w:p>
        </w:tc>
        <w:tc>
          <w:tcPr>
            <w:tcW w:w="1308" w:type="dxa"/>
            <w:shd w:val="clear" w:color="auto" w:fill="FFFFFF" w:themeFill="background1"/>
            <w:vAlign w:val="center"/>
          </w:tcPr>
          <w:p>
            <w:pPr>
              <w:pStyle w:val="14"/>
              <w:spacing w:line="360" w:lineRule="exact"/>
              <w:ind w:right="73"/>
              <w:jc w:val="center"/>
              <w:rPr>
                <w:rFonts w:ascii="仿宋_GB2312" w:hAnsi="仿宋_GB2312" w:eastAsia="仿宋_GB2312" w:cs="仿宋_GB2312"/>
                <w:sz w:val="24"/>
                <w:szCs w:val="24"/>
                <w:lang w:val="en-US"/>
              </w:rPr>
            </w:pPr>
          </w:p>
        </w:tc>
        <w:tc>
          <w:tcPr>
            <w:tcW w:w="911" w:type="dxa"/>
            <w:shd w:val="clear" w:color="auto" w:fill="FFFFFF" w:themeFill="background1"/>
            <w:vAlign w:val="center"/>
          </w:tcPr>
          <w:p>
            <w:pPr>
              <w:pStyle w:val="14"/>
              <w:spacing w:line="360" w:lineRule="exact"/>
              <w:jc w:val="center"/>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804" w:type="dxa"/>
            <w:shd w:val="clear" w:color="auto" w:fill="FFFFFF" w:themeFill="background1"/>
            <w:vAlign w:val="center"/>
          </w:tcPr>
          <w:p>
            <w:pPr>
              <w:pStyle w:val="14"/>
              <w:spacing w:line="360" w:lineRule="exact"/>
              <w:ind w:left="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5292" w:type="dxa"/>
            <w:shd w:val="clear" w:color="auto" w:fill="FFFFFF" w:themeFill="background1"/>
            <w:vAlign w:val="center"/>
          </w:tcPr>
          <w:p>
            <w:pPr>
              <w:pStyle w:val="14"/>
              <w:spacing w:line="360" w:lineRule="exact"/>
              <w:ind w:left="210" w:leftChars="100" w:right="73"/>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申报机构是否单独报名而非两个以上机构联合报名（注：本项目不接受联合体报名）</w:t>
            </w:r>
          </w:p>
        </w:tc>
        <w:tc>
          <w:tcPr>
            <w:tcW w:w="1308" w:type="dxa"/>
            <w:shd w:val="clear" w:color="auto" w:fill="FFFFFF" w:themeFill="background1"/>
            <w:vAlign w:val="center"/>
          </w:tcPr>
          <w:p>
            <w:pPr>
              <w:pStyle w:val="14"/>
              <w:spacing w:line="360" w:lineRule="exact"/>
              <w:jc w:val="center"/>
              <w:rPr>
                <w:rFonts w:ascii="仿宋_GB2312" w:hAnsi="仿宋_GB2312" w:eastAsia="仿宋_GB2312" w:cs="仿宋_GB2312"/>
                <w:sz w:val="24"/>
                <w:szCs w:val="24"/>
              </w:rPr>
            </w:pPr>
          </w:p>
        </w:tc>
        <w:tc>
          <w:tcPr>
            <w:tcW w:w="911" w:type="dxa"/>
            <w:shd w:val="clear" w:color="auto" w:fill="FFFFFF" w:themeFill="background1"/>
            <w:vAlign w:val="center"/>
          </w:tcPr>
          <w:p>
            <w:pPr>
              <w:pStyle w:val="14"/>
              <w:spacing w:line="360" w:lineRule="exact"/>
              <w:jc w:val="center"/>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804" w:type="dxa"/>
            <w:shd w:val="clear" w:color="auto" w:fill="FFFFFF" w:themeFill="background1"/>
            <w:vAlign w:val="center"/>
          </w:tcPr>
          <w:p>
            <w:pPr>
              <w:pStyle w:val="14"/>
              <w:spacing w:line="360" w:lineRule="exact"/>
              <w:ind w:left="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5292" w:type="dxa"/>
            <w:shd w:val="clear" w:color="auto" w:fill="FFFFFF" w:themeFill="background1"/>
            <w:vAlign w:val="center"/>
          </w:tcPr>
          <w:p>
            <w:pPr>
              <w:pStyle w:val="14"/>
              <w:spacing w:line="360" w:lineRule="exact"/>
              <w:ind w:left="210" w:leftChars="100" w:right="73"/>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申报机构是否作出近3年未受到行政处罚或行业惩戒记录及与本项目不存在利益冲突的承诺</w:t>
            </w:r>
          </w:p>
        </w:tc>
        <w:tc>
          <w:tcPr>
            <w:tcW w:w="1308" w:type="dxa"/>
            <w:shd w:val="clear" w:color="auto" w:fill="FFFFFF" w:themeFill="background1"/>
            <w:vAlign w:val="center"/>
          </w:tcPr>
          <w:p>
            <w:pPr>
              <w:pStyle w:val="14"/>
              <w:spacing w:line="360" w:lineRule="exact"/>
              <w:jc w:val="center"/>
              <w:rPr>
                <w:rFonts w:ascii="仿宋_GB2312" w:hAnsi="仿宋_GB2312" w:eastAsia="仿宋_GB2312" w:cs="仿宋_GB2312"/>
                <w:sz w:val="24"/>
                <w:szCs w:val="24"/>
              </w:rPr>
            </w:pPr>
          </w:p>
        </w:tc>
        <w:tc>
          <w:tcPr>
            <w:tcW w:w="911" w:type="dxa"/>
            <w:shd w:val="clear" w:color="auto" w:fill="FFFFFF" w:themeFill="background1"/>
            <w:vAlign w:val="center"/>
          </w:tcPr>
          <w:p>
            <w:pPr>
              <w:pStyle w:val="14"/>
              <w:spacing w:line="360" w:lineRule="exact"/>
              <w:jc w:val="center"/>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804" w:type="dxa"/>
            <w:shd w:val="clear" w:color="auto" w:fill="FFFFFF" w:themeFill="background1"/>
            <w:vAlign w:val="center"/>
          </w:tcPr>
          <w:p>
            <w:pPr>
              <w:pStyle w:val="14"/>
              <w:spacing w:line="360" w:lineRule="exact"/>
              <w:ind w:left="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5292" w:type="dxa"/>
            <w:shd w:val="clear" w:color="auto" w:fill="FFFFFF" w:themeFill="background1"/>
            <w:vAlign w:val="center"/>
          </w:tcPr>
          <w:p>
            <w:pPr>
              <w:pStyle w:val="14"/>
              <w:spacing w:line="360" w:lineRule="exact"/>
              <w:ind w:left="210" w:leftChars="100" w:right="73"/>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申报机构是否</w:t>
            </w:r>
            <w:r>
              <w:rPr>
                <w:rFonts w:hint="eastAsia" w:ascii="仿宋_GB2312" w:hAnsi="仿宋_GB2312" w:eastAsia="仿宋_GB2312" w:cs="仿宋_GB2312"/>
                <w:sz w:val="24"/>
                <w:szCs w:val="24"/>
                <w:lang w:val="en-US"/>
              </w:rPr>
              <w:t>有最近5年在福建省内担任企业破产管理人或</w:t>
            </w:r>
            <w:r>
              <w:rPr>
                <w:rFonts w:hint="eastAsia" w:ascii="仿宋_GB2312" w:hAnsi="仿宋_GB2312" w:eastAsia="仿宋_GB2312" w:cs="仿宋_GB2312"/>
                <w:sz w:val="24"/>
                <w:szCs w:val="24"/>
              </w:rPr>
              <w:t>清算组顾问</w:t>
            </w:r>
            <w:r>
              <w:rPr>
                <w:rFonts w:hint="eastAsia" w:ascii="仿宋_GB2312" w:hAnsi="仿宋_GB2312" w:eastAsia="仿宋_GB2312" w:cs="仿宋_GB2312"/>
                <w:sz w:val="24"/>
                <w:szCs w:val="24"/>
                <w:lang w:val="en-US"/>
              </w:rPr>
              <w:t>的经验</w:t>
            </w:r>
          </w:p>
        </w:tc>
        <w:tc>
          <w:tcPr>
            <w:tcW w:w="1308" w:type="dxa"/>
            <w:shd w:val="clear" w:color="auto" w:fill="FFFFFF" w:themeFill="background1"/>
            <w:vAlign w:val="center"/>
          </w:tcPr>
          <w:p>
            <w:pPr>
              <w:pStyle w:val="14"/>
              <w:spacing w:line="360" w:lineRule="exact"/>
              <w:jc w:val="center"/>
              <w:rPr>
                <w:rFonts w:ascii="仿宋_GB2312" w:hAnsi="仿宋_GB2312" w:eastAsia="仿宋_GB2312" w:cs="仿宋_GB2312"/>
                <w:sz w:val="24"/>
                <w:szCs w:val="24"/>
              </w:rPr>
            </w:pPr>
          </w:p>
        </w:tc>
        <w:tc>
          <w:tcPr>
            <w:tcW w:w="911" w:type="dxa"/>
            <w:shd w:val="clear" w:color="auto" w:fill="FFFFFF" w:themeFill="background1"/>
            <w:vAlign w:val="center"/>
          </w:tcPr>
          <w:p>
            <w:pPr>
              <w:pStyle w:val="14"/>
              <w:spacing w:line="360" w:lineRule="exact"/>
              <w:jc w:val="center"/>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804" w:type="dxa"/>
            <w:shd w:val="clear" w:color="auto" w:fill="FFFFFF" w:themeFill="background1"/>
            <w:vAlign w:val="center"/>
          </w:tcPr>
          <w:p>
            <w:pPr>
              <w:pStyle w:val="14"/>
              <w:spacing w:line="360" w:lineRule="exact"/>
              <w:ind w:left="5"/>
              <w:jc w:val="center"/>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5</w:t>
            </w:r>
          </w:p>
        </w:tc>
        <w:tc>
          <w:tcPr>
            <w:tcW w:w="5292" w:type="dxa"/>
            <w:shd w:val="clear" w:color="auto" w:fill="FFFFFF" w:themeFill="background1"/>
            <w:vAlign w:val="center"/>
          </w:tcPr>
          <w:p>
            <w:pPr>
              <w:pStyle w:val="14"/>
              <w:spacing w:line="360" w:lineRule="exact"/>
              <w:ind w:left="210" w:leftChars="100" w:right="73"/>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申报机构的团队负责人是否有3年以上破产管理从业经验</w:t>
            </w:r>
          </w:p>
        </w:tc>
        <w:tc>
          <w:tcPr>
            <w:tcW w:w="1308" w:type="dxa"/>
            <w:shd w:val="clear" w:color="auto" w:fill="FFFFFF" w:themeFill="background1"/>
            <w:vAlign w:val="center"/>
          </w:tcPr>
          <w:p>
            <w:pPr>
              <w:pStyle w:val="14"/>
              <w:spacing w:line="360" w:lineRule="exact"/>
              <w:jc w:val="center"/>
              <w:rPr>
                <w:rFonts w:ascii="仿宋_GB2312" w:hAnsi="仿宋_GB2312" w:eastAsia="仿宋_GB2312" w:cs="仿宋_GB2312"/>
                <w:sz w:val="24"/>
                <w:szCs w:val="24"/>
              </w:rPr>
            </w:pPr>
          </w:p>
        </w:tc>
        <w:tc>
          <w:tcPr>
            <w:tcW w:w="911" w:type="dxa"/>
            <w:shd w:val="clear" w:color="auto" w:fill="FFFFFF" w:themeFill="background1"/>
            <w:vAlign w:val="center"/>
          </w:tcPr>
          <w:p>
            <w:pPr>
              <w:pStyle w:val="14"/>
              <w:spacing w:line="360" w:lineRule="exact"/>
              <w:jc w:val="center"/>
              <w:rPr>
                <w:rFonts w:ascii="仿宋_GB2312" w:hAnsi="仿宋_GB2312" w:eastAsia="仿宋_GB2312" w:cs="仿宋_GB2312"/>
                <w:sz w:val="24"/>
                <w:szCs w:val="24"/>
              </w:rPr>
            </w:pPr>
          </w:p>
        </w:tc>
      </w:tr>
    </w:tbl>
    <w:p>
      <w:pPr>
        <w:pStyle w:val="2"/>
        <w:spacing w:line="360" w:lineRule="exact"/>
        <w:ind w:firstLine="643"/>
        <w:jc w:val="center"/>
        <w:rPr>
          <w:rFonts w:ascii="仿宋_GB2312" w:hAnsi="仿宋_GB2312" w:eastAsia="仿宋_GB2312" w:cs="仿宋_GB2312"/>
          <w:b/>
          <w:bCs/>
          <w:sz w:val="32"/>
          <w:szCs w:val="32"/>
          <w:lang w:val="en-US"/>
        </w:rPr>
      </w:pPr>
    </w:p>
    <w:p>
      <w:pPr>
        <w:pStyle w:val="2"/>
        <w:spacing w:line="360" w:lineRule="exact"/>
        <w:ind w:left="20" w:firstLine="643"/>
        <w:jc w:val="center"/>
        <w:rPr>
          <w:rFonts w:ascii="CESI黑体-GB2312" w:hAnsi="CESI黑体-GB2312" w:eastAsia="CESI黑体-GB2312" w:cs="CESI黑体-GB2312"/>
          <w:sz w:val="32"/>
          <w:szCs w:val="32"/>
          <w:lang w:val="en-US"/>
        </w:rPr>
      </w:pPr>
      <w:r>
        <w:rPr>
          <w:rFonts w:hint="eastAsia" w:ascii="CESI黑体-GB2312" w:hAnsi="CESI黑体-GB2312" w:eastAsia="CESI黑体-GB2312" w:cs="CESI黑体-GB2312"/>
          <w:sz w:val="32"/>
          <w:szCs w:val="32"/>
          <w:lang w:val="en-US"/>
        </w:rPr>
        <w:t>第二阶段：遴选评价</w:t>
      </w:r>
    </w:p>
    <w:p>
      <w:pPr>
        <w:pStyle w:val="2"/>
        <w:spacing w:line="360" w:lineRule="exact"/>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（注：通过第一阶段前置评价的申报机构，再结合报名材料及申报机构现场路演答疑的具体情况进行第二阶段遴选，遴选结果宣布后对外公示）</w:t>
      </w:r>
    </w:p>
    <w:tbl>
      <w:tblPr>
        <w:tblStyle w:val="7"/>
        <w:tblW w:w="830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1560"/>
        <w:gridCol w:w="530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69" w:type="dxa"/>
            <w:vAlign w:val="center"/>
          </w:tcPr>
          <w:p>
            <w:pPr>
              <w:pStyle w:val="14"/>
              <w:spacing w:line="360" w:lineRule="exact"/>
              <w:ind w:right="122"/>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560" w:type="dxa"/>
            <w:vAlign w:val="center"/>
          </w:tcPr>
          <w:p>
            <w:pPr>
              <w:pStyle w:val="14"/>
              <w:spacing w:line="360" w:lineRule="exact"/>
              <w:ind w:right="122"/>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评价要点</w:t>
            </w:r>
          </w:p>
        </w:tc>
        <w:tc>
          <w:tcPr>
            <w:tcW w:w="5308" w:type="dxa"/>
            <w:vAlign w:val="center"/>
          </w:tcPr>
          <w:p>
            <w:pPr>
              <w:pStyle w:val="14"/>
              <w:spacing w:line="360" w:lineRule="exact"/>
              <w:ind w:right="122"/>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评分标准</w:t>
            </w:r>
          </w:p>
        </w:tc>
        <w:tc>
          <w:tcPr>
            <w:tcW w:w="863" w:type="dxa"/>
            <w:tcBorders>
              <w:bottom w:val="single" w:color="auto" w:sz="4" w:space="0"/>
            </w:tcBorders>
            <w:vAlign w:val="center"/>
          </w:tcPr>
          <w:p>
            <w:pPr>
              <w:pStyle w:val="14"/>
              <w:spacing w:line="360" w:lineRule="exact"/>
              <w:ind w:right="122"/>
              <w:jc w:val="center"/>
              <w:rPr>
                <w:rFonts w:ascii="仿宋_GB2312" w:hAnsi="仿宋_GB2312" w:eastAsia="仿宋_GB2312" w:cs="仿宋_GB2312"/>
                <w:b/>
                <w:bCs/>
                <w:sz w:val="24"/>
                <w:szCs w:val="24"/>
                <w:lang w:val="en-US"/>
              </w:rPr>
            </w:pPr>
            <w:r>
              <w:rPr>
                <w:rFonts w:hint="eastAsia" w:ascii="仿宋_GB2312" w:hAnsi="仿宋_GB2312" w:eastAsia="仿宋_GB2312" w:cs="仿宋_GB2312"/>
                <w:b/>
                <w:bCs/>
                <w:sz w:val="24"/>
                <w:szCs w:val="24"/>
                <w:lang w:val="en-US"/>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69" w:type="dxa"/>
            <w:vAlign w:val="center"/>
          </w:tcPr>
          <w:p>
            <w:pPr>
              <w:pStyle w:val="14"/>
              <w:spacing w:line="360" w:lineRule="exact"/>
              <w:ind w:left="210" w:leftChars="100" w:right="73"/>
              <w:jc w:val="both"/>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tc>
        <w:tc>
          <w:tcPr>
            <w:tcW w:w="1560" w:type="dxa"/>
            <w:vAlign w:val="center"/>
          </w:tcPr>
          <w:p>
            <w:pPr>
              <w:pStyle w:val="14"/>
              <w:spacing w:line="320" w:lineRule="exact"/>
              <w:ind w:left="210" w:leftChars="100" w:right="74"/>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机构规模</w:t>
            </w:r>
          </w:p>
        </w:tc>
        <w:tc>
          <w:tcPr>
            <w:tcW w:w="5308" w:type="dxa"/>
            <w:vAlign w:val="center"/>
          </w:tcPr>
          <w:p>
            <w:pPr>
              <w:pStyle w:val="14"/>
              <w:spacing w:line="320" w:lineRule="exact"/>
              <w:ind w:left="210" w:leftChars="100" w:right="74"/>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以申报机构的注册执业总人数为评分标准，其中总人数不满2</w:t>
            </w:r>
            <w:r>
              <w:rPr>
                <w:rFonts w:hint="eastAsia" w:ascii="仿宋_GB2312" w:hAnsi="仿宋_GB2312" w:eastAsia="仿宋_GB2312" w:cs="仿宋_GB2312"/>
                <w:sz w:val="24"/>
                <w:szCs w:val="24"/>
                <w:lang w:val="en-US"/>
              </w:rPr>
              <w:t>1</w:t>
            </w:r>
            <w:r>
              <w:rPr>
                <w:rFonts w:hint="eastAsia" w:ascii="仿宋_GB2312" w:hAnsi="仿宋_GB2312" w:eastAsia="仿宋_GB2312" w:cs="仿宋_GB2312"/>
                <w:sz w:val="24"/>
                <w:szCs w:val="24"/>
              </w:rPr>
              <w:t>人的得2分；21-50人得</w:t>
            </w:r>
            <w:r>
              <w:rPr>
                <w:rFonts w:hint="eastAsia" w:ascii="仿宋_GB2312" w:hAnsi="仿宋_GB2312" w:eastAsia="仿宋_GB2312" w:cs="仿宋_GB2312"/>
                <w:sz w:val="24"/>
                <w:szCs w:val="24"/>
                <w:lang w:val="en-US"/>
              </w:rPr>
              <w:t>4</w:t>
            </w:r>
            <w:r>
              <w:rPr>
                <w:rFonts w:hint="eastAsia" w:ascii="仿宋_GB2312" w:hAnsi="仿宋_GB2312" w:eastAsia="仿宋_GB2312" w:cs="仿宋_GB2312"/>
                <w:sz w:val="24"/>
                <w:szCs w:val="24"/>
              </w:rPr>
              <w:t>分；51-100人得6分；101-150人得8分；151人以上得</w:t>
            </w:r>
            <w:r>
              <w:rPr>
                <w:rFonts w:hint="eastAsia" w:ascii="仿宋_GB2312" w:hAnsi="仿宋_GB2312" w:eastAsia="仿宋_GB2312" w:cs="仿宋_GB2312"/>
                <w:sz w:val="24"/>
                <w:szCs w:val="24"/>
                <w:lang w:val="en-US"/>
              </w:rPr>
              <w:t>10</w:t>
            </w:r>
            <w:r>
              <w:rPr>
                <w:rFonts w:hint="eastAsia" w:ascii="仿宋_GB2312" w:hAnsi="仿宋_GB2312" w:eastAsia="仿宋_GB2312" w:cs="仿宋_GB2312"/>
                <w:sz w:val="24"/>
                <w:szCs w:val="24"/>
              </w:rPr>
              <w:t>分。</w:t>
            </w:r>
          </w:p>
        </w:tc>
        <w:tc>
          <w:tcPr>
            <w:tcW w:w="863" w:type="dxa"/>
            <w:vAlign w:val="center"/>
          </w:tcPr>
          <w:p>
            <w:pPr>
              <w:pStyle w:val="14"/>
              <w:spacing w:line="320" w:lineRule="exact"/>
              <w:ind w:left="210" w:leftChars="100" w:right="74"/>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69" w:type="dxa"/>
            <w:vAlign w:val="center"/>
          </w:tcPr>
          <w:p>
            <w:pPr>
              <w:pStyle w:val="14"/>
              <w:spacing w:line="360" w:lineRule="exact"/>
              <w:ind w:left="210" w:leftChars="100" w:right="73"/>
              <w:jc w:val="both"/>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2</w:t>
            </w:r>
          </w:p>
        </w:tc>
        <w:tc>
          <w:tcPr>
            <w:tcW w:w="1560" w:type="dxa"/>
            <w:vAlign w:val="center"/>
          </w:tcPr>
          <w:p>
            <w:pPr>
              <w:pStyle w:val="14"/>
              <w:spacing w:line="320" w:lineRule="exact"/>
              <w:ind w:left="210" w:leftChars="100" w:right="74"/>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专业认可度</w:t>
            </w:r>
          </w:p>
        </w:tc>
        <w:tc>
          <w:tcPr>
            <w:tcW w:w="5308" w:type="dxa"/>
            <w:vAlign w:val="center"/>
          </w:tcPr>
          <w:p>
            <w:pPr>
              <w:pStyle w:val="14"/>
              <w:spacing w:line="320" w:lineRule="exact"/>
              <w:ind w:left="210" w:leftChars="100" w:right="74"/>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以申报机构（含分支机构）或其委派的团队成员是否参与破产管理人协会为评分标准：（1）参与市级破产管理人协会得5分，参与省级破产管理人协会得 10 分；（2）同时参与省、市破产管理人协会的，就得分高者参评。</w:t>
            </w:r>
          </w:p>
        </w:tc>
        <w:tc>
          <w:tcPr>
            <w:tcW w:w="863" w:type="dxa"/>
            <w:vAlign w:val="center"/>
          </w:tcPr>
          <w:p>
            <w:pPr>
              <w:pStyle w:val="14"/>
              <w:spacing w:line="320" w:lineRule="exact"/>
              <w:ind w:left="210" w:leftChars="100" w:right="74"/>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69" w:type="dxa"/>
            <w:vAlign w:val="center"/>
          </w:tcPr>
          <w:p>
            <w:pPr>
              <w:pStyle w:val="14"/>
              <w:spacing w:line="360" w:lineRule="exact"/>
              <w:ind w:left="210" w:leftChars="100" w:right="73"/>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560" w:type="dxa"/>
            <w:vAlign w:val="center"/>
          </w:tcPr>
          <w:p>
            <w:pPr>
              <w:pStyle w:val="14"/>
              <w:spacing w:line="320" w:lineRule="exact"/>
              <w:ind w:left="210" w:leftChars="100" w:right="74"/>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破产管理</w:t>
            </w:r>
          </w:p>
          <w:p>
            <w:pPr>
              <w:pStyle w:val="14"/>
              <w:spacing w:line="320" w:lineRule="exact"/>
              <w:ind w:left="210" w:leftChars="100" w:right="74"/>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从业经验</w:t>
            </w:r>
          </w:p>
        </w:tc>
        <w:tc>
          <w:tcPr>
            <w:tcW w:w="5308" w:type="dxa"/>
            <w:vAlign w:val="center"/>
          </w:tcPr>
          <w:p>
            <w:pPr>
              <w:pStyle w:val="14"/>
              <w:spacing w:line="320" w:lineRule="exact"/>
              <w:ind w:left="210" w:leftChars="100" w:right="74"/>
              <w:jc w:val="both"/>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r>
              <w:rPr>
                <w:rFonts w:hint="eastAsia" w:ascii="仿宋_GB2312" w:hAnsi="仿宋_GB2312" w:eastAsia="仿宋_GB2312" w:cs="仿宋_GB2312"/>
                <w:sz w:val="24"/>
                <w:szCs w:val="24"/>
              </w:rPr>
              <w:t>以申报机构在福建省担任破产管理人或清算组顾问办结破产案件</w:t>
            </w:r>
            <w:r>
              <w:rPr>
                <w:rFonts w:ascii="仿宋_GB2312" w:hAnsi="仿宋_GB2312" w:eastAsia="仿宋_GB2312" w:cs="仿宋_GB2312"/>
                <w:sz w:val="24"/>
                <w:szCs w:val="24"/>
                <w:lang w:val="en-US"/>
              </w:rPr>
              <mc:AlternateContent>
                <mc:Choice Requires="wps">
                  <w:drawing>
                    <wp:anchor distT="0" distB="0" distL="114300" distR="114300" simplePos="0" relativeHeight="251660288" behindDoc="0" locked="0" layoutInCell="1" allowOverlap="1">
                      <wp:simplePos x="0" y="0"/>
                      <wp:positionH relativeFrom="page">
                        <wp:posOffset>5297805</wp:posOffset>
                      </wp:positionH>
                      <wp:positionV relativeFrom="paragraph">
                        <wp:posOffset>248920</wp:posOffset>
                      </wp:positionV>
                      <wp:extent cx="2233930" cy="194945"/>
                      <wp:effectExtent l="6350" t="6350" r="7620" b="8255"/>
                      <wp:wrapNone/>
                      <wp:docPr id="77" name="文本框 77"/>
                      <wp:cNvGraphicFramePr/>
                      <a:graphic xmlns:a="http://schemas.openxmlformats.org/drawingml/2006/main">
                        <a:graphicData uri="http://schemas.microsoft.com/office/word/2010/wordprocessingShape">
                          <wps:wsp>
                            <wps:cNvSpPr txBox="1"/>
                            <wps:spPr>
                              <a:xfrm>
                                <a:off x="0" y="0"/>
                                <a:ext cx="2233930" cy="194945"/>
                              </a:xfrm>
                              <a:prstGeom prst="rect">
                                <a:avLst/>
                              </a:prstGeom>
                              <a:noFill/>
                              <a:ln w="13002" cap="flat" cmpd="sng">
                                <a:solidFill>
                                  <a:srgbClr val="D13438"/>
                                </a:solidFill>
                                <a:prstDash val="solid"/>
                                <a:miter/>
                                <a:headEnd type="none" w="med" len="med"/>
                                <a:tailEnd type="none" w="med" len="med"/>
                              </a:ln>
                              <a:effectLst/>
                            </wps:spPr>
                            <wps:txbx>
                              <w:txbxContent>
                                <w:p>
                                  <w:pPr>
                                    <w:spacing w:before="62"/>
                                    <w:ind w:left="58"/>
                                    <w:rPr>
                                      <w:sz w:val="13"/>
                                    </w:rPr>
                                  </w:pPr>
                                  <w:r>
                                    <w:rPr>
                                      <w:b/>
                                      <w:w w:val="105"/>
                                      <w:sz w:val="13"/>
                                    </w:rPr>
                                    <w:t>批注</w:t>
                                  </w:r>
                                  <w:r>
                                    <w:rPr>
                                      <w:rFonts w:ascii="Calibri" w:eastAsia="Calibri"/>
                                      <w:b/>
                                      <w:w w:val="105"/>
                                      <w:sz w:val="13"/>
                                    </w:rPr>
                                    <w:t xml:space="preserve">[cE2]: </w:t>
                                  </w:r>
                                  <w:r>
                                    <w:rPr>
                                      <w:w w:val="105"/>
                                      <w:sz w:val="13"/>
                                    </w:rPr>
                                    <w:t>建议增加总分值</w:t>
                                  </w:r>
                                </w:p>
                              </w:txbxContent>
                            </wps:txbx>
                            <wps:bodyPr vert="horz" wrap="square" lIns="0" tIns="0" rIns="0" bIns="0" anchor="t" anchorCtr="0" upright="1"/>
                          </wps:wsp>
                        </a:graphicData>
                      </a:graphic>
                    </wp:anchor>
                  </w:drawing>
                </mc:Choice>
                <mc:Fallback>
                  <w:pict>
                    <v:shape id="_x0000_s1026" o:spid="_x0000_s1026" o:spt="202" type="#_x0000_t202" style="position:absolute;left:0pt;margin-left:417.15pt;margin-top:19.6pt;height:15.35pt;width:175.9pt;mso-position-horizontal-relative:page;z-index:251660288;mso-width-relative:page;mso-height-relative:page;" filled="f" stroked="t" coordsize="21600,21600" o:gfxdata="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XpNuc3AAAAAoBAAAPAAAAAAAAAAEAIAAAACIAAABk&#10;cnMvZG93bnJldi54bWxQSwECFAAUAAAACACHTuJAkMLRqDsCAAB1BAAADgAAAAAAAAABACAAAAAr&#10;AQAAZHJzL2Uyb0RvYy54bWxQSwUGAAAAAAYABgBZAQAA2AUAAAAA&#10;">
                      <v:fill on="f" focussize="0,0"/>
                      <v:stroke weight="1.02377952755906pt" color="#D13438" joinstyle="miter"/>
                      <v:imagedata o:title=""/>
                      <o:lock v:ext="edit" aspectratio="f"/>
                      <v:textbox inset="0mm,0mm,0mm,0mm">
                        <w:txbxContent>
                          <w:p>
                            <w:pPr>
                              <w:spacing w:before="62"/>
                              <w:ind w:left="58"/>
                              <w:rPr>
                                <w:sz w:val="13"/>
                              </w:rPr>
                            </w:pPr>
                            <w:r>
                              <w:rPr>
                                <w:b/>
                                <w:w w:val="105"/>
                                <w:sz w:val="13"/>
                              </w:rPr>
                              <w:t>批注</w:t>
                            </w:r>
                            <w:r>
                              <w:rPr>
                                <w:rFonts w:ascii="Calibri" w:eastAsia="Calibri"/>
                                <w:b/>
                                <w:w w:val="105"/>
                                <w:sz w:val="13"/>
                              </w:rPr>
                              <w:t xml:space="preserve">[cE2]: </w:t>
                            </w:r>
                            <w:r>
                              <w:rPr>
                                <w:w w:val="105"/>
                                <w:sz w:val="13"/>
                              </w:rPr>
                              <w:t>建议增加总分值</w:t>
                            </w:r>
                          </w:p>
                        </w:txbxContent>
                      </v:textbox>
                    </v:shape>
                  </w:pict>
                </mc:Fallback>
              </mc:AlternateContent>
            </w:r>
            <w:r>
              <w:rPr>
                <w:rFonts w:hint="eastAsia" w:ascii="仿宋_GB2312" w:hAnsi="仿宋_GB2312" w:eastAsia="仿宋_GB2312" w:cs="仿宋_GB2312"/>
                <w:sz w:val="24"/>
                <w:szCs w:val="24"/>
                <w:lang w:val="en-US"/>
              </w:rPr>
              <w:t>（</w:t>
            </w:r>
            <w:r>
              <w:rPr>
                <w:rFonts w:hint="eastAsia" w:ascii="仿宋_GB2312" w:hAnsi="仿宋_GB2312" w:eastAsia="仿宋_GB2312" w:cs="仿宋_GB2312"/>
                <w:sz w:val="24"/>
                <w:szCs w:val="24"/>
              </w:rPr>
              <w:t>不含无产可破的破产案件）的件数为评分标准。1-4件得 5 分，5 件以上得10</w:t>
            </w:r>
            <w:r>
              <w:rPr>
                <w:rFonts w:hint="eastAsia" w:ascii="仿宋_GB2312" w:hAnsi="仿宋_GB2312" w:eastAsia="仿宋_GB2312" w:cs="仿宋_GB2312"/>
                <w:sz w:val="24"/>
                <w:szCs w:val="24"/>
                <w:lang w:val="en-US"/>
              </w:rPr>
              <w:t>分。（2）</w:t>
            </w:r>
            <w:r>
              <w:rPr>
                <w:rFonts w:hint="eastAsia" w:ascii="仿宋_GB2312" w:hAnsi="仿宋_GB2312" w:eastAsia="仿宋_GB2312" w:cs="仿宋_GB2312"/>
                <w:sz w:val="24"/>
                <w:szCs w:val="24"/>
              </w:rPr>
              <w:t>以申报机构团队负责人破产管理从业经验为评分标准，有3年以上不满5年破产管理从业经验的得3分，有5年以上不满10年破产管理从业经验的得5分，有10年以上破产管理</w:t>
            </w:r>
            <w:r>
              <w:rPr>
                <w:rFonts w:hint="eastAsia" w:ascii="仿宋_GB2312" w:hAnsi="仿宋_GB2312" w:eastAsia="仿宋_GB2312" w:cs="仿宋_GB2312"/>
                <w:sz w:val="24"/>
                <w:szCs w:val="24"/>
                <w:lang w:val="en-US"/>
              </w:rPr>
              <w:t>从业经验的得10分。</w:t>
            </w:r>
          </w:p>
        </w:tc>
        <w:tc>
          <w:tcPr>
            <w:tcW w:w="863" w:type="dxa"/>
            <w:vAlign w:val="center"/>
          </w:tcPr>
          <w:p>
            <w:pPr>
              <w:pStyle w:val="14"/>
              <w:spacing w:line="320" w:lineRule="exact"/>
              <w:ind w:left="210" w:leftChars="100" w:right="74"/>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69" w:type="dxa"/>
            <w:vAlign w:val="center"/>
          </w:tcPr>
          <w:p>
            <w:pPr>
              <w:pStyle w:val="14"/>
              <w:spacing w:line="360" w:lineRule="exact"/>
              <w:ind w:left="210" w:leftChars="100" w:right="73"/>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560" w:type="dxa"/>
            <w:vAlign w:val="center"/>
          </w:tcPr>
          <w:p>
            <w:pPr>
              <w:pStyle w:val="14"/>
              <w:spacing w:line="320" w:lineRule="exact"/>
              <w:ind w:left="210" w:leftChars="100" w:right="74"/>
              <w:jc w:val="both"/>
              <w:rPr>
                <w:rFonts w:ascii="仿宋_GB2312" w:hAnsi="仿宋_GB2312" w:eastAsia="仿宋_GB2312" w:cs="仿宋_GB2312"/>
                <w:sz w:val="24"/>
                <w:szCs w:val="24"/>
              </w:rPr>
            </w:pPr>
            <w:r>
              <w:rPr>
                <w:rFonts w:hint="eastAsia" w:ascii="仿宋_GB2312" w:hAnsi="仿宋_GB2312" w:eastAsia="仿宋_GB2312" w:cs="仿宋_GB2312"/>
                <w:sz w:val="24"/>
                <w:szCs w:val="24"/>
                <w:lang w:val="en-US"/>
              </w:rPr>
              <w:t>工业</w:t>
            </w:r>
            <w:r>
              <w:rPr>
                <w:rFonts w:hint="eastAsia" w:ascii="仿宋_GB2312" w:hAnsi="仿宋_GB2312" w:eastAsia="仿宋_GB2312" w:cs="仿宋_GB2312"/>
                <w:sz w:val="24"/>
                <w:szCs w:val="24"/>
              </w:rPr>
              <w:t>企业破产管理经验</w:t>
            </w:r>
          </w:p>
        </w:tc>
        <w:tc>
          <w:tcPr>
            <w:tcW w:w="5308" w:type="dxa"/>
            <w:vAlign w:val="center"/>
          </w:tcPr>
          <w:p>
            <w:pPr>
              <w:pStyle w:val="14"/>
              <w:spacing w:line="320" w:lineRule="exact"/>
              <w:ind w:left="210" w:leftChars="100" w:right="74"/>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以申报机构在福建省担任破产管理人或清算组顾问办结工业企业破产案件的件数为评分标准，清算案件每件得3分，重整或和解案件每件得5分，20分为上限。</w:t>
            </w:r>
          </w:p>
        </w:tc>
        <w:tc>
          <w:tcPr>
            <w:tcW w:w="863" w:type="dxa"/>
            <w:vAlign w:val="center"/>
          </w:tcPr>
          <w:p>
            <w:pPr>
              <w:pStyle w:val="14"/>
              <w:spacing w:line="320" w:lineRule="exact"/>
              <w:ind w:left="210" w:leftChars="100" w:right="74"/>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69" w:type="dxa"/>
            <w:vAlign w:val="center"/>
          </w:tcPr>
          <w:p>
            <w:pPr>
              <w:pStyle w:val="14"/>
              <w:spacing w:line="360" w:lineRule="exact"/>
              <w:ind w:left="210" w:leftChars="100" w:right="73"/>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560" w:type="dxa"/>
            <w:vAlign w:val="center"/>
          </w:tcPr>
          <w:p>
            <w:pPr>
              <w:pStyle w:val="14"/>
              <w:spacing w:line="320" w:lineRule="exact"/>
              <w:ind w:left="210" w:leftChars="100" w:right="74"/>
              <w:jc w:val="both"/>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服务方案（结合现场路演答疑的具体情况评分）</w:t>
            </w:r>
          </w:p>
        </w:tc>
        <w:tc>
          <w:tcPr>
            <w:tcW w:w="5308" w:type="dxa"/>
            <w:vAlign w:val="center"/>
          </w:tcPr>
          <w:p>
            <w:pPr>
              <w:pStyle w:val="14"/>
              <w:spacing w:line="300" w:lineRule="exact"/>
              <w:ind w:left="210" w:leftChars="100" w:right="74"/>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以申报机构能否结合拟重整</w:t>
            </w:r>
            <w:r>
              <w:rPr>
                <w:rFonts w:hint="eastAsia" w:ascii="仿宋_GB2312" w:hAnsi="仿宋_GB2312" w:eastAsia="仿宋_GB2312" w:cs="仿宋_GB2312"/>
                <w:sz w:val="24"/>
                <w:szCs w:val="24"/>
                <w:lang w:val="en-US"/>
              </w:rPr>
              <w:t>企业及项目的实际情况</w:t>
            </w:r>
            <w:r>
              <w:rPr>
                <w:rFonts w:hint="eastAsia" w:ascii="仿宋_GB2312" w:hAnsi="仿宋_GB2312" w:eastAsia="仿宋_GB2312" w:cs="仿宋_GB2312"/>
                <w:sz w:val="24"/>
                <w:szCs w:val="24"/>
              </w:rPr>
              <w:t>全面分析</w:t>
            </w:r>
            <w:r>
              <w:rPr>
                <w:rFonts w:hint="eastAsia" w:ascii="仿宋_GB2312" w:hAnsi="仿宋_GB2312" w:eastAsia="仿宋_GB2312" w:cs="仿宋_GB2312"/>
                <w:sz w:val="24"/>
                <w:szCs w:val="24"/>
                <w:lang w:val="en-US"/>
              </w:rPr>
              <w:t>，</w:t>
            </w:r>
            <w:r>
              <w:rPr>
                <w:rFonts w:hint="eastAsia" w:ascii="仿宋_GB2312" w:hAnsi="仿宋_GB2312" w:eastAsia="仿宋_GB2312" w:cs="仿宋_GB2312"/>
                <w:sz w:val="24"/>
                <w:szCs w:val="24"/>
              </w:rPr>
              <w:t>就资产处置和债权清偿冲突的要点问题处理、拯救模式选择、程序衔接、维稳方案、配套支持等处置思路提出合理可行</w:t>
            </w:r>
            <w:r>
              <w:rPr>
                <w:rFonts w:hint="eastAsia" w:ascii="仿宋_GB2312" w:hAnsi="仿宋_GB2312" w:eastAsia="仿宋_GB2312" w:cs="仿宋_GB2312"/>
                <w:sz w:val="24"/>
                <w:szCs w:val="24"/>
                <w:lang w:val="en-US"/>
              </w:rPr>
              <w:t>的</w:t>
            </w:r>
            <w:r>
              <w:rPr>
                <w:rFonts w:hint="eastAsia" w:ascii="仿宋_GB2312" w:hAnsi="仿宋_GB2312" w:eastAsia="仿宋_GB2312" w:cs="仿宋_GB2312"/>
                <w:sz w:val="24"/>
                <w:szCs w:val="24"/>
              </w:rPr>
              <w:t>解决方案，方案的专业度、操作性、合理性以及团队成员专业度及分工程度等为评分标准：</w:t>
            </w:r>
          </w:p>
          <w:p>
            <w:pPr>
              <w:pStyle w:val="14"/>
              <w:spacing w:line="300" w:lineRule="exact"/>
              <w:ind w:left="210" w:leftChars="100" w:right="74"/>
              <w:jc w:val="both"/>
              <w:rPr>
                <w:rFonts w:ascii="仿宋_GB2312" w:hAnsi="仿宋_GB2312" w:eastAsia="仿宋_GB2312" w:cs="仿宋_GB2312"/>
                <w:sz w:val="24"/>
                <w:szCs w:val="24"/>
                <w:lang w:val="en-US"/>
              </w:rPr>
            </w:pPr>
            <w:r>
              <w:rPr>
                <w:rFonts w:hint="eastAsia" w:ascii="仿宋_GB2312" w:hAnsi="仿宋_GB2312" w:eastAsia="仿宋_GB2312" w:cs="仿宋_GB2312"/>
                <w:sz w:val="24"/>
                <w:szCs w:val="24"/>
              </w:rPr>
              <w:t>（1）服务方案或现场答疑基本能够解决要点问题，可操作性较强，团队成员专业度较高、分工较为明确的得</w:t>
            </w:r>
            <w:r>
              <w:rPr>
                <w:rFonts w:hint="eastAsia" w:ascii="仿宋_GB2312" w:hAnsi="仿宋_GB2312" w:eastAsia="仿宋_GB2312" w:cs="仿宋_GB2312"/>
                <w:sz w:val="24"/>
                <w:szCs w:val="24"/>
                <w:lang w:val="en-US"/>
              </w:rPr>
              <w:t>21分~30分。</w:t>
            </w:r>
          </w:p>
          <w:p>
            <w:pPr>
              <w:pStyle w:val="14"/>
              <w:spacing w:line="300" w:lineRule="exact"/>
              <w:ind w:left="210" w:leftChars="100" w:right="74"/>
              <w:jc w:val="both"/>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（2）服务方案</w:t>
            </w:r>
            <w:r>
              <w:rPr>
                <w:rFonts w:hint="eastAsia" w:ascii="仿宋_GB2312" w:hAnsi="仿宋_GB2312" w:eastAsia="仿宋_GB2312" w:cs="仿宋_GB2312"/>
                <w:sz w:val="24"/>
                <w:szCs w:val="24"/>
              </w:rPr>
              <w:t>或现场答疑</w:t>
            </w:r>
            <w:r>
              <w:rPr>
                <w:rFonts w:hint="eastAsia" w:ascii="仿宋_GB2312" w:hAnsi="仿宋_GB2312" w:eastAsia="仿宋_GB2312" w:cs="仿宋_GB2312"/>
                <w:sz w:val="24"/>
                <w:szCs w:val="24"/>
                <w:lang w:val="en-US"/>
              </w:rPr>
              <w:t>对要点问题分析不够全面，方案细节欠缺，可操作性一般，团队成员专业度一般或分工不明确的得11-20分。</w:t>
            </w:r>
          </w:p>
          <w:p>
            <w:pPr>
              <w:pStyle w:val="14"/>
              <w:spacing w:line="300" w:lineRule="exact"/>
              <w:ind w:left="210" w:leftChars="100" w:right="74"/>
              <w:jc w:val="both"/>
              <w:rPr>
                <w:rFonts w:ascii="仿宋_GB2312" w:hAnsi="仿宋_GB2312" w:eastAsia="仿宋_GB2312" w:cs="仿宋_GB2312"/>
                <w:sz w:val="24"/>
                <w:szCs w:val="24"/>
              </w:rPr>
            </w:pPr>
            <w:r>
              <w:rPr>
                <w:rFonts w:hint="eastAsia" w:ascii="仿宋_GB2312" w:hAnsi="仿宋_GB2312" w:eastAsia="仿宋_GB2312" w:cs="仿宋_GB2312"/>
                <w:sz w:val="24"/>
                <w:szCs w:val="24"/>
                <w:lang w:val="en-US"/>
              </w:rPr>
              <w:t>（3）要点问题分析错误，解决方案可操作性较差，团队成员专业度不高、经验不足的得0-10分。</w:t>
            </w:r>
          </w:p>
        </w:tc>
        <w:tc>
          <w:tcPr>
            <w:tcW w:w="863" w:type="dxa"/>
            <w:vAlign w:val="center"/>
          </w:tcPr>
          <w:p>
            <w:pPr>
              <w:pStyle w:val="14"/>
              <w:spacing w:line="320" w:lineRule="exact"/>
              <w:ind w:left="210" w:leftChars="100" w:right="74"/>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69" w:type="dxa"/>
            <w:vAlign w:val="center"/>
          </w:tcPr>
          <w:p>
            <w:pPr>
              <w:pStyle w:val="14"/>
              <w:spacing w:line="360" w:lineRule="exact"/>
              <w:ind w:left="210" w:leftChars="100" w:right="73"/>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560" w:type="dxa"/>
            <w:vAlign w:val="center"/>
          </w:tcPr>
          <w:p>
            <w:pPr>
              <w:pStyle w:val="14"/>
              <w:spacing w:line="320" w:lineRule="exact"/>
              <w:ind w:left="210" w:leftChars="100" w:right="74"/>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破产费用合理性</w:t>
            </w:r>
          </w:p>
        </w:tc>
        <w:tc>
          <w:tcPr>
            <w:tcW w:w="5308" w:type="dxa"/>
            <w:vAlign w:val="center"/>
          </w:tcPr>
          <w:p>
            <w:pPr>
              <w:pStyle w:val="14"/>
              <w:spacing w:line="320" w:lineRule="exact"/>
              <w:ind w:left="210" w:leftChars="100" w:right="74"/>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申报机构</w:t>
            </w:r>
            <w:r>
              <w:rPr>
                <w:rFonts w:hint="eastAsia" w:ascii="仿宋_GB2312" w:hAnsi="仿宋_GB2312" w:eastAsia="仿宋_GB2312" w:cs="仿宋_GB2312"/>
                <w:sz w:val="24"/>
                <w:szCs w:val="24"/>
                <w:lang w:val="en-US"/>
              </w:rPr>
              <w:t>提交的管理人报酬方案应当符合《</w:t>
            </w:r>
            <w:r>
              <w:rPr>
                <w:rFonts w:ascii="仿宋_GB2312" w:hAnsi="仿宋_GB2312" w:eastAsia="仿宋_GB2312" w:cs="仿宋_GB2312"/>
                <w:sz w:val="24"/>
                <w:szCs w:val="24"/>
                <w:lang w:val="en-US"/>
              </w:rPr>
              <w:t>最高人民法院关于审理企业破产案件确定管理人报酬的规定</w:t>
            </w:r>
            <w:r>
              <w:rPr>
                <w:rFonts w:hint="eastAsia" w:ascii="仿宋_GB2312" w:hAnsi="仿宋_GB2312" w:eastAsia="仿宋_GB2312" w:cs="仿宋_GB2312"/>
                <w:sz w:val="24"/>
                <w:szCs w:val="24"/>
                <w:lang w:val="en-US"/>
              </w:rPr>
              <w:t>》有关规定</w:t>
            </w:r>
            <w:r>
              <w:rPr>
                <w:rFonts w:hint="eastAsia" w:ascii="仿宋_GB2312" w:hAnsi="仿宋_GB2312" w:eastAsia="仿宋_GB2312" w:cs="仿宋_GB2312"/>
                <w:sz w:val="24"/>
                <w:szCs w:val="24"/>
              </w:rPr>
              <w:t>，且单独列明审计、评估、衍生诉讼案件代理（如有）等破产费用标准。评审委员会根据申报机构提交的破产费用方案进行评分，管理人报酬和审计、评估等衍生诉讼案件代理等破产费用最低者为第一名，得10分，排名每低出一位递减1分并以此类推（譬如次低者得9分）。</w:t>
            </w:r>
          </w:p>
        </w:tc>
        <w:tc>
          <w:tcPr>
            <w:tcW w:w="863" w:type="dxa"/>
            <w:vAlign w:val="center"/>
          </w:tcPr>
          <w:p>
            <w:pPr>
              <w:pStyle w:val="14"/>
              <w:spacing w:line="320" w:lineRule="exact"/>
              <w:ind w:left="210" w:leftChars="100" w:right="74"/>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569" w:type="dxa"/>
            <w:vAlign w:val="center"/>
          </w:tcPr>
          <w:p>
            <w:pPr>
              <w:pStyle w:val="10"/>
              <w:spacing w:line="360" w:lineRule="exact"/>
              <w:ind w:firstLine="0" w:firstLineChars="0"/>
              <w:jc w:val="center"/>
              <w:rPr>
                <w:rFonts w:ascii="仿宋_GB2312" w:hAnsi="仿宋_GB2312" w:eastAsia="仿宋_GB2312" w:cs="仿宋_GB2312"/>
                <w:bCs/>
                <w:sz w:val="24"/>
                <w:szCs w:val="24"/>
              </w:rPr>
            </w:pPr>
          </w:p>
        </w:tc>
        <w:tc>
          <w:tcPr>
            <w:tcW w:w="6868" w:type="dxa"/>
            <w:gridSpan w:val="2"/>
            <w:vAlign w:val="center"/>
          </w:tcPr>
          <w:p>
            <w:pPr>
              <w:spacing w:line="36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总分</w:t>
            </w:r>
          </w:p>
        </w:tc>
        <w:tc>
          <w:tcPr>
            <w:tcW w:w="863" w:type="dxa"/>
            <w:vAlign w:val="center"/>
          </w:tcPr>
          <w:p>
            <w:pPr>
              <w:spacing w:line="36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100</w:t>
            </w:r>
          </w:p>
        </w:tc>
      </w:tr>
    </w:tbl>
    <w:p>
      <w:pPr>
        <w:spacing w:line="300" w:lineRule="exact"/>
        <w:ind w:right="629" w:firstLine="480" w:firstLineChars="200"/>
        <w:jc w:val="left"/>
        <w:rPr>
          <w:rFonts w:ascii="仿宋_GB2312" w:hAnsi="仿宋_GB2312" w:eastAsia="仿宋_GB2312" w:cs="仿宋_GB2312"/>
          <w:kern w:val="0"/>
          <w:sz w:val="24"/>
          <w:szCs w:val="24"/>
          <w:lang w:val="zh-CN" w:bidi="zh-CN"/>
        </w:rPr>
      </w:pPr>
      <w:r>
        <w:rPr>
          <w:rFonts w:hint="eastAsia" w:ascii="仿宋_GB2312" w:hAnsi="仿宋_GB2312" w:eastAsia="仿宋_GB2312" w:cs="仿宋_GB2312"/>
          <w:kern w:val="0"/>
          <w:sz w:val="24"/>
          <w:szCs w:val="24"/>
          <w:lang w:val="zh-CN" w:bidi="zh-CN"/>
        </w:rPr>
        <w:t>注：本公告所称“以上”、“以下”、“以内”、“届满”，包括本数；所称的“不满”、“超过”、“以外”，不包括本数。</w:t>
      </w:r>
    </w:p>
    <w:p>
      <w:pPr>
        <w:spacing w:line="300" w:lineRule="exact"/>
        <w:ind w:right="630" w:firstLine="480" w:firstLineChars="200"/>
        <w:jc w:val="left"/>
        <w:rPr>
          <w:rFonts w:ascii="仿宋_GB2312" w:hAnsi="仿宋_GB2312" w:eastAsia="仿宋_GB2312" w:cs="仿宋_GB2312"/>
          <w:kern w:val="0"/>
          <w:sz w:val="24"/>
          <w:szCs w:val="24"/>
          <w:lang w:val="zh-CN" w:bidi="zh-CN"/>
        </w:rPr>
      </w:pPr>
    </w:p>
    <w:p>
      <w:pPr>
        <w:spacing w:line="300" w:lineRule="exact"/>
        <w:jc w:val="right"/>
        <w:rPr>
          <w:rFonts w:hint="eastAsia" w:ascii="仿宋_GB2312" w:hAnsi="方正小标宋简体" w:eastAsia="仿宋_GB2312" w:cs="方正小标宋简体"/>
          <w:b/>
          <w:bCs/>
          <w:sz w:val="28"/>
          <w:szCs w:val="24"/>
        </w:rPr>
      </w:pPr>
      <w:r>
        <w:rPr>
          <w:rFonts w:hint="eastAsia" w:ascii="仿宋_GB2312" w:hAnsi="方正小标宋简体" w:eastAsia="仿宋_GB2312" w:cs="方正小标宋简体"/>
          <w:b/>
          <w:bCs/>
          <w:sz w:val="28"/>
          <w:szCs w:val="24"/>
        </w:rPr>
        <w:t xml:space="preserve">福建铙山纸业集团有限公司清算组    </w:t>
      </w:r>
    </w:p>
    <w:p>
      <w:pPr>
        <w:spacing w:line="300" w:lineRule="exact"/>
        <w:ind w:firstLine="1124" w:firstLineChars="400"/>
        <w:jc w:val="right"/>
        <w:rPr>
          <w:rFonts w:ascii="仿宋_GB2312" w:hAnsi="仿宋" w:eastAsia="仿宋_GB2312"/>
          <w:b/>
          <w:bCs/>
          <w:sz w:val="22"/>
        </w:rPr>
      </w:pPr>
      <w:r>
        <w:rPr>
          <w:rFonts w:hint="eastAsia" w:ascii="仿宋_GB2312" w:hAnsi="方正小标宋简体" w:eastAsia="仿宋_GB2312" w:cs="方正小标宋简体"/>
          <w:b/>
          <w:bCs/>
          <w:sz w:val="28"/>
          <w:szCs w:val="24"/>
        </w:rPr>
        <w:t>2024年4月</w:t>
      </w:r>
      <w:r>
        <w:rPr>
          <w:rFonts w:hint="eastAsia" w:ascii="仿宋_GB2312" w:hAnsi="方正小标宋简体" w:eastAsia="仿宋_GB2312" w:cs="方正小标宋简体"/>
          <w:b/>
          <w:bCs/>
          <w:sz w:val="28"/>
          <w:szCs w:val="24"/>
          <w:lang w:val="en-US" w:eastAsia="zh-CN"/>
        </w:rPr>
        <w:t>10</w:t>
      </w:r>
      <w:r>
        <w:rPr>
          <w:rFonts w:hint="eastAsia" w:ascii="仿宋_GB2312" w:hAnsi="方正小标宋简体" w:eastAsia="仿宋_GB2312" w:cs="方正小标宋简体"/>
          <w:b/>
          <w:bCs/>
          <w:sz w:val="28"/>
          <w:szCs w:val="24"/>
        </w:rPr>
        <w:t>日</w:t>
      </w:r>
    </w:p>
    <w:sectPr>
      <w:footerReference r:id="rId3" w:type="default"/>
      <w:pgSz w:w="11906" w:h="16838"/>
      <w:pgMar w:top="153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仿宋_GB2312"/>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sdt>
    <w:sdtPr>
      <w:id w:val="-1"/>
    </w:sdtPr>
    <w:sdtContent>
      <w:p>
        <w:pPr>
          <w:pStyle w:val="4"/>
          <w:jc w:val="center"/>
        </w:pPr>
      </w:p>
      <w:p>
        <w:pPr>
          <w:pStyle w:val="4"/>
          <w:jc w:val="center"/>
        </w:pP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iYzU1NDJlNjZjMzA5Y2E3ZmRjNjc2OGRlYjQzZTIifQ=="/>
    <w:docVar w:name="KSO_WPS_MARK_KEY" w:val="6214df61-0d7a-4420-a691-f66099aeec13"/>
  </w:docVars>
  <w:rsids>
    <w:rsidRoot w:val="001A5371"/>
    <w:rsid w:val="000026C9"/>
    <w:rsid w:val="00002F14"/>
    <w:rsid w:val="00013ABC"/>
    <w:rsid w:val="000164D5"/>
    <w:rsid w:val="00035EA7"/>
    <w:rsid w:val="0004328B"/>
    <w:rsid w:val="00081AC8"/>
    <w:rsid w:val="00085D91"/>
    <w:rsid w:val="000B237E"/>
    <w:rsid w:val="000E1F9E"/>
    <w:rsid w:val="00101E18"/>
    <w:rsid w:val="00111AFF"/>
    <w:rsid w:val="001128B4"/>
    <w:rsid w:val="00132221"/>
    <w:rsid w:val="00133C67"/>
    <w:rsid w:val="00140FE3"/>
    <w:rsid w:val="001423A6"/>
    <w:rsid w:val="00146A2A"/>
    <w:rsid w:val="00146F54"/>
    <w:rsid w:val="001541A4"/>
    <w:rsid w:val="00156E41"/>
    <w:rsid w:val="0019327A"/>
    <w:rsid w:val="001950B4"/>
    <w:rsid w:val="001A01C7"/>
    <w:rsid w:val="001A1919"/>
    <w:rsid w:val="001A5371"/>
    <w:rsid w:val="001B4FAE"/>
    <w:rsid w:val="001D42A6"/>
    <w:rsid w:val="001E2CB3"/>
    <w:rsid w:val="0023445C"/>
    <w:rsid w:val="002362C2"/>
    <w:rsid w:val="00251B4A"/>
    <w:rsid w:val="002A023B"/>
    <w:rsid w:val="002A2D1A"/>
    <w:rsid w:val="002B05C1"/>
    <w:rsid w:val="002B3576"/>
    <w:rsid w:val="002C2F08"/>
    <w:rsid w:val="002E3D63"/>
    <w:rsid w:val="00304193"/>
    <w:rsid w:val="003042E0"/>
    <w:rsid w:val="003054A8"/>
    <w:rsid w:val="00353276"/>
    <w:rsid w:val="0035578D"/>
    <w:rsid w:val="003816A7"/>
    <w:rsid w:val="003A736A"/>
    <w:rsid w:val="003C2278"/>
    <w:rsid w:val="003F052E"/>
    <w:rsid w:val="003F5FE8"/>
    <w:rsid w:val="00410B49"/>
    <w:rsid w:val="00426635"/>
    <w:rsid w:val="004D2360"/>
    <w:rsid w:val="004F0E77"/>
    <w:rsid w:val="004F12BE"/>
    <w:rsid w:val="004F70FE"/>
    <w:rsid w:val="00506684"/>
    <w:rsid w:val="00513A6D"/>
    <w:rsid w:val="00516A21"/>
    <w:rsid w:val="00525621"/>
    <w:rsid w:val="00532880"/>
    <w:rsid w:val="005373DF"/>
    <w:rsid w:val="00552CDD"/>
    <w:rsid w:val="00555B8F"/>
    <w:rsid w:val="005906DC"/>
    <w:rsid w:val="00591C43"/>
    <w:rsid w:val="00593E54"/>
    <w:rsid w:val="00595751"/>
    <w:rsid w:val="005D0B27"/>
    <w:rsid w:val="005F2BC3"/>
    <w:rsid w:val="00611138"/>
    <w:rsid w:val="00621660"/>
    <w:rsid w:val="00622269"/>
    <w:rsid w:val="006365C2"/>
    <w:rsid w:val="00650A91"/>
    <w:rsid w:val="0065317E"/>
    <w:rsid w:val="006724F5"/>
    <w:rsid w:val="006820F5"/>
    <w:rsid w:val="00683898"/>
    <w:rsid w:val="0068593B"/>
    <w:rsid w:val="006A3AE9"/>
    <w:rsid w:val="006B1AD3"/>
    <w:rsid w:val="006D5682"/>
    <w:rsid w:val="006D6236"/>
    <w:rsid w:val="006E174D"/>
    <w:rsid w:val="006E34D0"/>
    <w:rsid w:val="00705718"/>
    <w:rsid w:val="00727EBE"/>
    <w:rsid w:val="007420AF"/>
    <w:rsid w:val="007445B8"/>
    <w:rsid w:val="00745F88"/>
    <w:rsid w:val="00766435"/>
    <w:rsid w:val="00781513"/>
    <w:rsid w:val="00785CAD"/>
    <w:rsid w:val="00785E50"/>
    <w:rsid w:val="007C2137"/>
    <w:rsid w:val="007D5904"/>
    <w:rsid w:val="007E1867"/>
    <w:rsid w:val="007F1FC7"/>
    <w:rsid w:val="007F580A"/>
    <w:rsid w:val="007F6270"/>
    <w:rsid w:val="00811590"/>
    <w:rsid w:val="008374A1"/>
    <w:rsid w:val="00844203"/>
    <w:rsid w:val="0084607F"/>
    <w:rsid w:val="00866803"/>
    <w:rsid w:val="00874ECA"/>
    <w:rsid w:val="00891B8A"/>
    <w:rsid w:val="008962F6"/>
    <w:rsid w:val="008A6EBD"/>
    <w:rsid w:val="008B0AE3"/>
    <w:rsid w:val="008C6783"/>
    <w:rsid w:val="008E5388"/>
    <w:rsid w:val="008F1C7D"/>
    <w:rsid w:val="00916964"/>
    <w:rsid w:val="00944CF1"/>
    <w:rsid w:val="0095390B"/>
    <w:rsid w:val="00974959"/>
    <w:rsid w:val="00980616"/>
    <w:rsid w:val="009B0856"/>
    <w:rsid w:val="009B3532"/>
    <w:rsid w:val="009C11BE"/>
    <w:rsid w:val="009E28B6"/>
    <w:rsid w:val="009F3844"/>
    <w:rsid w:val="00A40130"/>
    <w:rsid w:val="00A71936"/>
    <w:rsid w:val="00A95E22"/>
    <w:rsid w:val="00AA29EA"/>
    <w:rsid w:val="00AC15A2"/>
    <w:rsid w:val="00AF1812"/>
    <w:rsid w:val="00AF23D1"/>
    <w:rsid w:val="00B14F3A"/>
    <w:rsid w:val="00B20CA5"/>
    <w:rsid w:val="00B6263F"/>
    <w:rsid w:val="00B66344"/>
    <w:rsid w:val="00B84F9D"/>
    <w:rsid w:val="00B97F25"/>
    <w:rsid w:val="00BA7AE7"/>
    <w:rsid w:val="00BB18CF"/>
    <w:rsid w:val="00BB1DAC"/>
    <w:rsid w:val="00BC3EC6"/>
    <w:rsid w:val="00BC4C31"/>
    <w:rsid w:val="00BC6899"/>
    <w:rsid w:val="00BE4F38"/>
    <w:rsid w:val="00C139FB"/>
    <w:rsid w:val="00C257F1"/>
    <w:rsid w:val="00C30934"/>
    <w:rsid w:val="00C41B83"/>
    <w:rsid w:val="00C632D8"/>
    <w:rsid w:val="00C775E2"/>
    <w:rsid w:val="00CE65F6"/>
    <w:rsid w:val="00CE7F27"/>
    <w:rsid w:val="00CF15B0"/>
    <w:rsid w:val="00CF17B4"/>
    <w:rsid w:val="00CF4F81"/>
    <w:rsid w:val="00D06F53"/>
    <w:rsid w:val="00D10408"/>
    <w:rsid w:val="00D2109E"/>
    <w:rsid w:val="00D42B2C"/>
    <w:rsid w:val="00D56700"/>
    <w:rsid w:val="00D62D2C"/>
    <w:rsid w:val="00D65DB2"/>
    <w:rsid w:val="00D663E4"/>
    <w:rsid w:val="00D744FB"/>
    <w:rsid w:val="00D81442"/>
    <w:rsid w:val="00D83B5B"/>
    <w:rsid w:val="00D93EC4"/>
    <w:rsid w:val="00DA0F6F"/>
    <w:rsid w:val="00DA4ECF"/>
    <w:rsid w:val="00DC2828"/>
    <w:rsid w:val="00DD7657"/>
    <w:rsid w:val="00E0114D"/>
    <w:rsid w:val="00E02582"/>
    <w:rsid w:val="00E37F05"/>
    <w:rsid w:val="00E45192"/>
    <w:rsid w:val="00E47EF9"/>
    <w:rsid w:val="00E7526F"/>
    <w:rsid w:val="00E926B1"/>
    <w:rsid w:val="00E9607D"/>
    <w:rsid w:val="00E9744B"/>
    <w:rsid w:val="00EB5EEB"/>
    <w:rsid w:val="00EC24CB"/>
    <w:rsid w:val="00EC6EF3"/>
    <w:rsid w:val="00ED32F7"/>
    <w:rsid w:val="00ED4B96"/>
    <w:rsid w:val="00EF1CD9"/>
    <w:rsid w:val="00F06B9C"/>
    <w:rsid w:val="00F1521E"/>
    <w:rsid w:val="00F20CC6"/>
    <w:rsid w:val="00F23206"/>
    <w:rsid w:val="00F247FA"/>
    <w:rsid w:val="00F45D1F"/>
    <w:rsid w:val="00F60211"/>
    <w:rsid w:val="00F636C9"/>
    <w:rsid w:val="00F71CDF"/>
    <w:rsid w:val="00F72016"/>
    <w:rsid w:val="00F74321"/>
    <w:rsid w:val="00F929D4"/>
    <w:rsid w:val="00F958CE"/>
    <w:rsid w:val="00FC65D9"/>
    <w:rsid w:val="00FD7B0A"/>
    <w:rsid w:val="00FE3302"/>
    <w:rsid w:val="00FF22CC"/>
    <w:rsid w:val="08BB3E5D"/>
    <w:rsid w:val="0E517C3B"/>
    <w:rsid w:val="106328A0"/>
    <w:rsid w:val="1B652CD1"/>
    <w:rsid w:val="21015426"/>
    <w:rsid w:val="23961D95"/>
    <w:rsid w:val="2876335B"/>
    <w:rsid w:val="2D7A64E1"/>
    <w:rsid w:val="30F7691B"/>
    <w:rsid w:val="345B4DA9"/>
    <w:rsid w:val="346D1B54"/>
    <w:rsid w:val="4234125C"/>
    <w:rsid w:val="451E50CA"/>
    <w:rsid w:val="47A5321F"/>
    <w:rsid w:val="49D86599"/>
    <w:rsid w:val="6123469A"/>
    <w:rsid w:val="61E50395"/>
    <w:rsid w:val="665C2B1A"/>
    <w:rsid w:val="67CF1B99"/>
    <w:rsid w:val="6AB22299"/>
    <w:rsid w:val="75FD07E1"/>
    <w:rsid w:val="7BC84FD4"/>
    <w:rsid w:val="CCFFCF7B"/>
    <w:rsid w:val="FA7B6A65"/>
    <w:rsid w:val="FCFEB00A"/>
    <w:rsid w:val="FF0F16AA"/>
    <w:rsid w:val="FFCF72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1"/>
    <w:pPr>
      <w:autoSpaceDE w:val="0"/>
      <w:autoSpaceDN w:val="0"/>
      <w:jc w:val="left"/>
    </w:pPr>
    <w:rPr>
      <w:rFonts w:ascii="宋体" w:hAnsi="宋体" w:eastAsia="宋体" w:cs="宋体"/>
      <w:kern w:val="0"/>
      <w:szCs w:val="21"/>
      <w:lang w:val="zh-CN" w:bidi="zh-CN"/>
    </w:rPr>
  </w:style>
  <w:style w:type="paragraph" w:styleId="3">
    <w:name w:val="Balloon Text"/>
    <w:basedOn w:val="1"/>
    <w:link w:val="9"/>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basedOn w:val="8"/>
    <w:link w:val="3"/>
    <w:semiHidden/>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正文文本 Char"/>
    <w:basedOn w:val="8"/>
    <w:link w:val="2"/>
    <w:qFormat/>
    <w:uiPriority w:val="1"/>
    <w:rPr>
      <w:rFonts w:ascii="宋体" w:hAnsi="宋体" w:eastAsia="宋体" w:cs="宋体"/>
      <w:sz w:val="21"/>
      <w:szCs w:val="21"/>
      <w:lang w:val="zh-CN" w:bidi="zh-CN"/>
    </w:rPr>
  </w:style>
  <w:style w:type="paragraph" w:customStyle="1" w:styleId="14">
    <w:name w:val="Table Paragraph"/>
    <w:basedOn w:val="1"/>
    <w:qFormat/>
    <w:uiPriority w:val="1"/>
    <w:pPr>
      <w:autoSpaceDE w:val="0"/>
      <w:autoSpaceDN w:val="0"/>
      <w:jc w:val="left"/>
    </w:pPr>
    <w:rPr>
      <w:rFonts w:ascii="宋体" w:hAnsi="宋体" w:eastAsia="宋体" w:cs="宋体"/>
      <w:kern w:val="0"/>
      <w:sz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1341</Words>
  <Characters>1391</Characters>
  <Lines>21</Lines>
  <Paragraphs>5</Paragraphs>
  <TotalTime>42</TotalTime>
  <ScaleCrop>false</ScaleCrop>
  <LinksUpToDate>false</LinksUpToDate>
  <CharactersWithSpaces>1413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2024-02-02T17:09:00Z</dcterms:created>
  <dc:creator>Waite Jason</dc:creator>
  <cp:lastModifiedBy>鎏琉</cp:lastModifiedBy>
  <cp:lastPrinted>2024-03-30T10:42:00Z</cp:lastPrinted>
  <dcterms:modified xsi:type="dcterms:W3CDTF">2024-04-10T08:23:50Z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1917CAFBA51B4EDEADA7894752A3CFC6_13</vt:lpwstr>
  </property>
</Properties>
</file>