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8813E8">
      <w:pPr>
        <w:keepNext w:val="0"/>
        <w:keepLines w:val="0"/>
        <w:pageBreakBefore w:val="0"/>
        <w:widowControl w:val="0"/>
        <w:kinsoku/>
        <w:wordWrap/>
        <w:overflowPunct/>
        <w:topLinePunct w:val="0"/>
        <w:autoSpaceDE/>
        <w:autoSpaceDN/>
        <w:bidi w:val="0"/>
        <w:adjustRightInd/>
        <w:snapToGrid/>
        <w:spacing w:line="660" w:lineRule="exact"/>
        <w:ind w:left="0" w:leftChars="0"/>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建宁县</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“五联五保”居家养老</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上门</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服务</w:t>
      </w:r>
    </w:p>
    <w:p w14:paraId="5E1D0A14">
      <w:pPr>
        <w:keepNext w:val="0"/>
        <w:keepLines w:val="0"/>
        <w:pageBreakBefore w:val="0"/>
        <w:widowControl w:val="0"/>
        <w:kinsoku/>
        <w:wordWrap/>
        <w:overflowPunct/>
        <w:topLinePunct w:val="0"/>
        <w:autoSpaceDE/>
        <w:autoSpaceDN/>
        <w:bidi w:val="0"/>
        <w:adjustRightInd/>
        <w:snapToGrid/>
        <w:spacing w:line="660" w:lineRule="exact"/>
        <w:ind w:left="0" w:leftChars="0"/>
        <w:jc w:val="center"/>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项目实施</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方案</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（试行）</w:t>
      </w:r>
    </w:p>
    <w:p w14:paraId="638811C0">
      <w:pPr>
        <w:keepNext w:val="0"/>
        <w:keepLines w:val="0"/>
        <w:pageBreakBefore w:val="0"/>
        <w:widowControl w:val="0"/>
        <w:kinsoku/>
        <w:wordWrap/>
        <w:overflowPunct/>
        <w:topLinePunct w:val="0"/>
        <w:autoSpaceDE/>
        <w:autoSpaceDN/>
        <w:bidi w:val="0"/>
        <w:adjustRightInd/>
        <w:snapToGrid/>
        <w:spacing w:line="660" w:lineRule="exact"/>
        <w:ind w:left="0" w:leftChars="0"/>
        <w:jc w:val="center"/>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（征求意见稿）</w:t>
      </w:r>
    </w:p>
    <w:p w14:paraId="71B51134">
      <w:pPr>
        <w:pStyle w:val="3"/>
        <w:keepNext w:val="0"/>
        <w:keepLines w:val="0"/>
        <w:pageBreakBefore w:val="0"/>
        <w:kinsoku/>
        <w:wordWrap/>
        <w:overflowPunct/>
        <w:topLinePunct w:val="0"/>
        <w:autoSpaceDE/>
        <w:autoSpaceDN/>
        <w:bidi w:val="0"/>
        <w:spacing w:line="560" w:lineRule="exact"/>
        <w:ind w:left="0" w:leftChars="0"/>
        <w:jc w:val="center"/>
        <w:textAlignment w:val="auto"/>
        <w:rPr>
          <w:rFonts w:hint="eastAsia" w:ascii="楷体_GB2312" w:hAnsi="楷体_GB2312" w:eastAsia="楷体_GB2312" w:cs="楷体_GB2312"/>
          <w:color w:val="000000" w:themeColor="text1"/>
          <w:spacing w:val="12"/>
          <w:sz w:val="32"/>
          <w:szCs w:val="32"/>
          <w:lang w:val="en-US" w:eastAsia="zh-CN"/>
          <w14:textFill>
            <w14:solidFill>
              <w14:schemeClr w14:val="tx1"/>
            </w14:solidFill>
          </w14:textFill>
        </w:rPr>
      </w:pPr>
    </w:p>
    <w:p w14:paraId="2A8AF699">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ascii="仿宋_GB2312" w:hAnsi="宋体" w:eastAsia="仿宋_GB2312" w:cs="仿宋_GB2312"/>
          <w:color w:val="auto"/>
          <w:kern w:val="0"/>
          <w:sz w:val="32"/>
          <w:szCs w:val="32"/>
          <w:lang w:val="en-US" w:eastAsia="zh-CN" w:bidi="ar"/>
        </w:rPr>
      </w:pPr>
      <w:r>
        <w:rPr>
          <w:rFonts w:hint="eastAsia" w:ascii="仿宋_GB2312" w:hAnsi="仿宋_GB2312" w:eastAsia="仿宋_GB2312" w:cs="仿宋_GB2312"/>
          <w:color w:val="000000" w:themeColor="text1"/>
          <w:sz w:val="32"/>
          <w:szCs w:val="32"/>
          <w14:textFill>
            <w14:solidFill>
              <w14:schemeClr w14:val="tx1"/>
            </w14:solidFill>
          </w14:textFill>
        </w:rPr>
        <w:t>随着我县人口老龄化程度的不断加深，养老服务需求日益增长。为积极应对人口老龄化，健全</w:t>
      </w:r>
      <w:bookmarkStart w:id="1" w:name="_GoBack"/>
      <w:bookmarkEnd w:id="1"/>
      <w:r>
        <w:rPr>
          <w:rFonts w:hint="eastAsia" w:ascii="仿宋_GB2312" w:hAnsi="仿宋_GB2312" w:eastAsia="仿宋_GB2312" w:cs="仿宋_GB2312"/>
          <w:color w:val="000000" w:themeColor="text1"/>
          <w:sz w:val="32"/>
          <w:szCs w:val="32"/>
          <w14:textFill>
            <w14:solidFill>
              <w14:schemeClr w14:val="tx1"/>
            </w14:solidFill>
          </w14:textFill>
        </w:rPr>
        <w:t>养老服务体系，满足老年人多样化、多层次的</w:t>
      </w:r>
      <w:r>
        <w:rPr>
          <w:rFonts w:hint="eastAsia" w:ascii="仿宋_GB2312" w:hAnsi="仿宋_GB2312" w:eastAsia="仿宋_GB2312" w:cs="仿宋_GB2312"/>
          <w:color w:val="000000" w:themeColor="text1"/>
          <w:sz w:val="32"/>
          <w:szCs w:val="32"/>
          <w:lang w:eastAsia="zh-CN"/>
          <w14:textFill>
            <w14:solidFill>
              <w14:schemeClr w14:val="tx1"/>
            </w14:solidFill>
          </w14:textFill>
        </w:rPr>
        <w:t>居家养老上门服务</w:t>
      </w:r>
      <w:r>
        <w:rPr>
          <w:rFonts w:hint="eastAsia" w:ascii="仿宋_GB2312" w:hAnsi="仿宋_GB2312" w:eastAsia="仿宋_GB2312" w:cs="仿宋_GB2312"/>
          <w:color w:val="000000" w:themeColor="text1"/>
          <w:sz w:val="32"/>
          <w:szCs w:val="32"/>
          <w14:textFill>
            <w14:solidFill>
              <w14:schemeClr w14:val="tx1"/>
            </w14:solidFill>
          </w14:textFill>
        </w:rPr>
        <w:t>需求，根据</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中共中央国务院关于深化养老服务改革发展的意见》、</w:t>
      </w:r>
      <w:r>
        <w:rPr>
          <w:rFonts w:hint="eastAsia" w:ascii="宋体" w:hAnsi="宋体" w:eastAsia="仿宋_GB2312" w:cs="仿宋_GB2312"/>
          <w:color w:val="000000" w:themeColor="text1"/>
          <w:kern w:val="2"/>
          <w:sz w:val="32"/>
          <w:szCs w:val="32"/>
          <w:lang w:val="en-US" w:eastAsia="zh-CN" w:bidi="ar-SA"/>
          <w14:textFill>
            <w14:solidFill>
              <w14:schemeClr w14:val="tx1"/>
            </w14:solidFill>
          </w14:textFill>
        </w:rPr>
        <w:t>《福建省养老服务条例》、</w:t>
      </w:r>
      <w:r>
        <w:rPr>
          <w:rFonts w:hint="eastAsia" w:ascii="仿宋_GB2312" w:hAnsi="仿宋_GB2312" w:eastAsia="仿宋_GB2312" w:cs="仿宋_GB2312"/>
          <w:color w:val="000000" w:themeColor="text1"/>
          <w:sz w:val="32"/>
          <w:szCs w:val="32"/>
          <w14:textFill>
            <w14:solidFill>
              <w14:schemeClr w14:val="tx1"/>
            </w14:solidFill>
          </w14:textFill>
        </w:rPr>
        <w:t>《关于加快推进“福见康养”幸福养老服务体系建设的若干措施》</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《关于推进县级示范性居家社区养老服务网络建设的指导意见》</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三明市民政局</w:t>
      </w:r>
      <w:r>
        <w:rPr>
          <w:rFonts w:hint="eastAsia" w:ascii="仿宋_GB2312" w:hAnsi="仿宋_GB2312" w:eastAsia="仿宋_GB2312" w:cs="仿宋_GB2312"/>
          <w:color w:val="000000" w:themeColor="text1"/>
          <w:sz w:val="32"/>
          <w:szCs w:val="32"/>
          <w14:textFill>
            <w14:solidFill>
              <w14:schemeClr w14:val="tx1"/>
            </w14:solidFill>
          </w14:textFill>
        </w:rPr>
        <w:t>关于</w:t>
      </w:r>
      <w:r>
        <w:rPr>
          <w:rFonts w:hint="eastAsia" w:ascii="仿宋_GB2312" w:hAnsi="仿宋_GB2312" w:eastAsia="仿宋_GB2312" w:cs="仿宋_GB2312"/>
          <w:color w:val="000000" w:themeColor="text1"/>
          <w:sz w:val="32"/>
          <w:szCs w:val="32"/>
          <w:lang w:eastAsia="zh-CN"/>
          <w14:textFill>
            <w14:solidFill>
              <w14:schemeClr w14:val="tx1"/>
            </w14:solidFill>
          </w14:textFill>
        </w:rPr>
        <w:t>印发《规范政府购买居家</w:t>
      </w:r>
      <w:r>
        <w:rPr>
          <w:rFonts w:hint="eastAsia" w:ascii="仿宋_GB2312" w:hAnsi="仿宋_GB2312" w:eastAsia="仿宋_GB2312" w:cs="仿宋_GB2312"/>
          <w:color w:val="auto"/>
          <w:sz w:val="32"/>
          <w:szCs w:val="32"/>
          <w:lang w:eastAsia="zh-CN"/>
        </w:rPr>
        <w:t>养老上门服务实施办法（试行）》、《</w:t>
      </w:r>
      <w:r>
        <w:rPr>
          <w:rFonts w:hint="eastAsia" w:ascii="仿宋_GB2312" w:hAnsi="仿宋_GB2312" w:eastAsia="仿宋_GB2312" w:cs="仿宋_GB2312"/>
          <w:color w:val="auto"/>
          <w:sz w:val="32"/>
          <w:szCs w:val="32"/>
          <w:lang w:val="en-US" w:eastAsia="zh-CN"/>
        </w:rPr>
        <w:t>建宁县人民政府办公室关于印发建宁县基本养老服务清单的通知》</w:t>
      </w:r>
      <w:r>
        <w:rPr>
          <w:rFonts w:hint="eastAsia" w:ascii="仿宋_GB2312" w:hAnsi="仿宋_GB2312" w:eastAsia="仿宋_GB2312" w:cs="仿宋_GB2312"/>
          <w:color w:val="auto"/>
          <w:sz w:val="32"/>
          <w:szCs w:val="32"/>
          <w:lang w:eastAsia="zh-CN"/>
        </w:rPr>
        <w:t>等文件</w:t>
      </w:r>
      <w:r>
        <w:rPr>
          <w:rFonts w:hint="eastAsia" w:ascii="宋体" w:hAnsi="宋体" w:eastAsia="仿宋_GB2312" w:cs="仿宋_GB2312"/>
          <w:color w:val="auto"/>
          <w:kern w:val="2"/>
          <w:sz w:val="32"/>
          <w:szCs w:val="32"/>
          <w:lang w:val="en-US" w:eastAsia="zh-CN" w:bidi="ar-SA"/>
        </w:rPr>
        <w:t>精神及授权，借鉴大田县“</w:t>
      </w:r>
      <w:r>
        <w:rPr>
          <w:rFonts w:hint="eastAsia" w:ascii="仿宋_GB2312" w:hAnsi="仿宋_GB2312" w:eastAsia="仿宋_GB2312" w:cs="仿宋_GB2312"/>
          <w:color w:val="auto"/>
          <w:sz w:val="32"/>
          <w:szCs w:val="32"/>
          <w:lang w:val="en-US" w:eastAsia="zh-CN"/>
        </w:rPr>
        <w:t>五联五保”居家养老上门服务模式</w:t>
      </w:r>
      <w:r>
        <w:rPr>
          <w:rFonts w:hint="eastAsia" w:ascii="仿宋_GB2312" w:hAnsi="仿宋_GB2312" w:eastAsia="仿宋_GB2312" w:cs="仿宋_GB2312"/>
          <w:color w:val="auto"/>
          <w:sz w:val="32"/>
          <w:szCs w:val="32"/>
        </w:rPr>
        <w:t>，</w:t>
      </w:r>
      <w:r>
        <w:rPr>
          <w:rFonts w:ascii="仿宋_GB2312" w:hAnsi="宋体" w:eastAsia="仿宋_GB2312" w:cs="仿宋_GB2312"/>
          <w:color w:val="auto"/>
          <w:kern w:val="0"/>
          <w:sz w:val="32"/>
          <w:szCs w:val="32"/>
          <w:lang w:val="en-US" w:eastAsia="zh-CN" w:bidi="ar"/>
        </w:rPr>
        <w:t>结合我县实际，制定本方案。</w:t>
      </w:r>
    </w:p>
    <w:p w14:paraId="392229D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、工作目标</w:t>
      </w:r>
    </w:p>
    <w:p w14:paraId="294C815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通过建立“五联五保”</w:t>
      </w:r>
      <w:r>
        <w:rPr>
          <w:rFonts w:hint="eastAsia" w:ascii="仿宋_GB2312" w:hAnsi="仿宋_GB2312" w:eastAsia="仿宋_GB2312" w:cs="仿宋_GB2312"/>
          <w:color w:val="auto"/>
          <w:sz w:val="32"/>
          <w:szCs w:val="32"/>
          <w:lang w:eastAsia="zh-CN"/>
        </w:rPr>
        <w:t>居家养老上门服务</w:t>
      </w:r>
      <w:r>
        <w:rPr>
          <w:rFonts w:hint="eastAsia" w:ascii="仿宋_GB2312" w:hAnsi="仿宋_GB2312" w:eastAsia="仿宋_GB2312" w:cs="仿宋_GB2312"/>
          <w:color w:val="auto"/>
          <w:sz w:val="32"/>
          <w:szCs w:val="32"/>
        </w:rPr>
        <w:t>模式，整合政府、社区、社会组织、企业和家庭各方资源，到</w:t>
      </w:r>
      <w:r>
        <w:rPr>
          <w:rFonts w:hint="eastAsia" w:ascii="仿宋_GB2312" w:hAnsi="仿宋_GB2312" w:eastAsia="仿宋_GB2312" w:cs="仿宋_GB2312"/>
          <w:color w:val="auto"/>
          <w:sz w:val="32"/>
          <w:szCs w:val="32"/>
          <w:lang w:val="en-US" w:eastAsia="zh-CN"/>
        </w:rPr>
        <w:t>2026年底，</w:t>
      </w:r>
      <w:r>
        <w:rPr>
          <w:rFonts w:hint="eastAsia" w:ascii="仿宋_GB2312" w:hAnsi="仿宋_GB2312" w:eastAsia="仿宋_GB2312" w:cs="仿宋_GB2312"/>
          <w:color w:val="auto"/>
          <w:sz w:val="32"/>
          <w:szCs w:val="32"/>
        </w:rPr>
        <w:t>实现全县</w:t>
      </w:r>
      <w:r>
        <w:rPr>
          <w:rFonts w:hint="eastAsia" w:ascii="仿宋_GB2312" w:hAnsi="仿宋_GB2312" w:eastAsia="仿宋_GB2312" w:cs="仿宋_GB2312"/>
          <w:color w:val="auto"/>
          <w:sz w:val="32"/>
          <w:szCs w:val="32"/>
          <w:lang w:eastAsia="zh-CN"/>
        </w:rPr>
        <w:t>居家养老上门服务</w:t>
      </w:r>
      <w:r>
        <w:rPr>
          <w:rFonts w:hint="eastAsia" w:ascii="仿宋_GB2312" w:hAnsi="仿宋_GB2312" w:eastAsia="仿宋_GB2312" w:cs="仿宋_GB2312"/>
          <w:color w:val="auto"/>
          <w:sz w:val="32"/>
          <w:szCs w:val="32"/>
        </w:rPr>
        <w:t>全覆盖，为居家老年人提供优质、高效、便捷的养老服务，提升老年人的生活质量和幸福感。</w:t>
      </w:r>
    </w:p>
    <w:p w14:paraId="0F3D9AA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服务对象</w:t>
      </w:r>
    </w:p>
    <w:p w14:paraId="61AEE83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具备本县户籍的60周岁及以上人员。</w:t>
      </w:r>
    </w:p>
    <w:p w14:paraId="725131E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（一）重点保障对象：</w:t>
      </w:r>
      <w:r>
        <w:rPr>
          <w:rFonts w:hint="eastAsia" w:ascii="仿宋_GB2312" w:hAnsi="仿宋_GB2312" w:eastAsia="仿宋_GB2312" w:cs="仿宋_GB2312"/>
          <w:color w:val="auto"/>
          <w:sz w:val="32"/>
          <w:szCs w:val="32"/>
          <w:lang w:eastAsia="zh-CN"/>
        </w:rPr>
        <w:t>孤寡、独居、空巢、留守、失能、重残、</w:t>
      </w:r>
      <w:r>
        <w:rPr>
          <w:rFonts w:hint="eastAsia" w:ascii="仿宋_GB2312" w:hAnsi="仿宋_GB2312" w:eastAsia="仿宋_GB2312" w:cs="仿宋_GB2312"/>
          <w:color w:val="auto"/>
          <w:sz w:val="32"/>
          <w:szCs w:val="32"/>
        </w:rPr>
        <w:t>计划生育特殊家庭</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lang w:val="en-US" w:eastAsia="zh-CN"/>
        </w:rPr>
        <w:t>7类60周岁及以上</w:t>
      </w:r>
      <w:r>
        <w:rPr>
          <w:rFonts w:hint="eastAsia" w:ascii="仿宋_GB2312" w:hAnsi="仿宋_GB2312" w:eastAsia="仿宋_GB2312" w:cs="仿宋_GB2312"/>
          <w:color w:val="auto"/>
          <w:sz w:val="32"/>
          <w:szCs w:val="32"/>
        </w:rPr>
        <w:t>老年人</w:t>
      </w:r>
      <w:r>
        <w:rPr>
          <w:rFonts w:hint="eastAsia" w:ascii="仿宋_GB2312" w:hAnsi="仿宋_GB2312" w:eastAsia="仿宋_GB2312" w:cs="仿宋_GB2312"/>
          <w:color w:val="auto"/>
          <w:sz w:val="32"/>
          <w:szCs w:val="32"/>
          <w:lang w:eastAsia="zh-CN"/>
        </w:rPr>
        <w:t>及</w:t>
      </w:r>
      <w:r>
        <w:rPr>
          <w:rFonts w:hint="eastAsia" w:ascii="仿宋_GB2312" w:hAnsi="仿宋_GB2312" w:eastAsia="仿宋_GB2312" w:cs="仿宋_GB2312"/>
          <w:color w:val="auto"/>
          <w:sz w:val="32"/>
          <w:szCs w:val="32"/>
          <w:lang w:val="en-US" w:eastAsia="zh-CN"/>
        </w:rPr>
        <w:t>其他经认定需要提供服务的特殊困难失能、部分失能老年人。</w:t>
      </w:r>
    </w:p>
    <w:p w14:paraId="722801CB">
      <w:pPr>
        <w:keepNext w:val="0"/>
        <w:keepLines w:val="0"/>
        <w:pageBreakBefore w:val="0"/>
        <w:widowControl/>
        <w:suppressLineNumbers w:val="0"/>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i w:val="0"/>
          <w:caps w:val="0"/>
          <w:color w:val="auto"/>
          <w:spacing w:val="-6"/>
          <w:kern w:val="0"/>
          <w:sz w:val="32"/>
          <w:szCs w:val="32"/>
          <w:u w:val="none"/>
          <w:shd w:val="clear" w:color="auto" w:fill="FFFFFF"/>
          <w:lang w:val="en-US" w:eastAsia="zh-CN" w:bidi="ar"/>
        </w:rPr>
      </w:pPr>
      <w:r>
        <w:rPr>
          <w:rFonts w:hint="eastAsia" w:ascii="仿宋_GB2312" w:hAnsi="仿宋_GB2312" w:eastAsia="仿宋_GB2312" w:cs="仿宋_GB2312"/>
          <w:color w:val="auto"/>
          <w:sz w:val="32"/>
          <w:szCs w:val="32"/>
        </w:rPr>
        <w:t>（二）普惠对象：</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0周岁</w:t>
      </w:r>
      <w:r>
        <w:rPr>
          <w:rFonts w:hint="eastAsia" w:ascii="仿宋_GB2312" w:hAnsi="仿宋_GB2312" w:eastAsia="仿宋_GB2312" w:cs="仿宋_GB2312"/>
          <w:color w:val="auto"/>
          <w:sz w:val="32"/>
          <w:szCs w:val="32"/>
          <w:lang w:val="en-US" w:eastAsia="zh-CN"/>
        </w:rPr>
        <w:t>及</w:t>
      </w:r>
      <w:r>
        <w:rPr>
          <w:rFonts w:hint="eastAsia" w:ascii="仿宋_GB2312" w:hAnsi="仿宋_GB2312" w:eastAsia="仿宋_GB2312" w:cs="仿宋_GB2312"/>
          <w:color w:val="auto"/>
          <w:sz w:val="32"/>
          <w:szCs w:val="32"/>
        </w:rPr>
        <w:t>以上</w:t>
      </w:r>
      <w:r>
        <w:rPr>
          <w:rFonts w:hint="eastAsia" w:ascii="仿宋_GB2312" w:hAnsi="仿宋_GB2312" w:eastAsia="仿宋_GB2312" w:cs="仿宋_GB2312"/>
          <w:color w:val="auto"/>
          <w:sz w:val="32"/>
          <w:szCs w:val="32"/>
          <w:lang w:eastAsia="zh-CN"/>
        </w:rPr>
        <w:t>符合民政部门扩面规定的</w:t>
      </w:r>
      <w:r>
        <w:rPr>
          <w:rFonts w:hint="eastAsia" w:ascii="仿宋_GB2312" w:hAnsi="仿宋_GB2312" w:eastAsia="仿宋_GB2312" w:cs="仿宋_GB2312"/>
          <w:color w:val="auto"/>
          <w:sz w:val="32"/>
          <w:szCs w:val="32"/>
        </w:rPr>
        <w:t>有服务需求的老年人（按财政承受能力逐步覆盖）</w:t>
      </w:r>
      <w:r>
        <w:rPr>
          <w:rFonts w:hint="eastAsia" w:ascii="仿宋_GB2312" w:hAnsi="仿宋_GB2312" w:eastAsia="仿宋_GB2312" w:cs="仿宋_GB2312"/>
          <w:i w:val="0"/>
          <w:caps w:val="0"/>
          <w:color w:val="auto"/>
          <w:spacing w:val="-6"/>
          <w:kern w:val="0"/>
          <w:sz w:val="32"/>
          <w:szCs w:val="32"/>
          <w:u w:val="none"/>
          <w:shd w:val="clear" w:color="auto" w:fill="FFFFFF"/>
          <w:lang w:val="en-US" w:eastAsia="zh-CN" w:bidi="ar"/>
        </w:rPr>
        <w:t>。</w:t>
      </w:r>
    </w:p>
    <w:p w14:paraId="53837548">
      <w:pPr>
        <w:keepNext w:val="0"/>
        <w:keepLines w:val="0"/>
        <w:pageBreakBefore w:val="0"/>
        <w:widowControl/>
        <w:suppressLineNumbers w:val="0"/>
        <w:kinsoku/>
        <w:wordWrap/>
        <w:overflowPunct/>
        <w:topLinePunct w:val="0"/>
        <w:autoSpaceDE/>
        <w:autoSpaceDN/>
        <w:bidi w:val="0"/>
        <w:spacing w:line="560" w:lineRule="exact"/>
        <w:ind w:left="0" w:leftChars="0" w:firstLine="640" w:firstLineChars="200"/>
        <w:jc w:val="both"/>
        <w:textAlignment w:val="auto"/>
        <w:rPr>
          <w:rFonts w:hint="eastAsia" w:ascii="黑体" w:hAnsi="黑体" w:eastAsia="黑体" w:cs="黑体"/>
          <w:i w:val="0"/>
          <w:caps w:val="0"/>
          <w:color w:val="auto"/>
          <w:spacing w:val="0"/>
          <w:kern w:val="0"/>
          <w:sz w:val="32"/>
          <w:szCs w:val="32"/>
          <w:u w:val="none"/>
          <w:shd w:val="clear" w:color="auto" w:fill="FFFFFF"/>
          <w:lang w:val="en-US" w:eastAsia="zh-CN" w:bidi="ar"/>
        </w:rPr>
      </w:pPr>
      <w:r>
        <w:rPr>
          <w:rFonts w:hint="eastAsia" w:ascii="黑体" w:hAnsi="黑体" w:eastAsia="黑体" w:cs="黑体"/>
          <w:i w:val="0"/>
          <w:caps w:val="0"/>
          <w:color w:val="auto"/>
          <w:spacing w:val="0"/>
          <w:kern w:val="0"/>
          <w:sz w:val="32"/>
          <w:szCs w:val="32"/>
          <w:u w:val="none"/>
          <w:shd w:val="clear" w:color="auto" w:fill="FFFFFF"/>
          <w:lang w:val="en-US" w:eastAsia="zh-CN" w:bidi="ar"/>
        </w:rPr>
        <w:t>三、服务内容</w:t>
      </w:r>
    </w:p>
    <w:p w14:paraId="47338200">
      <w:pPr>
        <w:keepNext w:val="0"/>
        <w:keepLines w:val="0"/>
        <w:pageBreakBefore w:val="0"/>
        <w:kinsoku/>
        <w:wordWrap/>
        <w:overflowPunct/>
        <w:topLinePunct w:val="0"/>
        <w:autoSpaceDE/>
        <w:autoSpaceDN/>
        <w:bidi w:val="0"/>
        <w:adjustRightInd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val="0"/>
          <w:color w:val="auto"/>
          <w:sz w:val="32"/>
          <w:szCs w:val="32"/>
        </w:rPr>
        <w:t>（一）</w:t>
      </w:r>
      <w:r>
        <w:rPr>
          <w:rFonts w:hint="eastAsia" w:ascii="楷体_GB2312" w:hAnsi="楷体_GB2312" w:eastAsia="楷体_GB2312" w:cs="楷体_GB2312"/>
          <w:b w:val="0"/>
          <w:bCs w:val="0"/>
          <w:i w:val="0"/>
          <w:caps w:val="0"/>
          <w:color w:val="auto"/>
          <w:spacing w:val="0"/>
          <w:kern w:val="0"/>
          <w:sz w:val="32"/>
          <w:szCs w:val="32"/>
          <w:u w:val="none"/>
          <w:shd w:val="clear" w:color="auto" w:fill="FFFFFF"/>
          <w:lang w:val="en-US" w:eastAsia="zh-CN" w:bidi="ar"/>
        </w:rPr>
        <w:t>搭建养老服务信息平台。</w:t>
      </w:r>
      <w:r>
        <w:rPr>
          <w:rFonts w:hint="eastAsia" w:ascii="仿宋_GB2312" w:hAnsi="仿宋_GB2312" w:eastAsia="仿宋_GB2312" w:cs="仿宋_GB2312"/>
          <w:b/>
          <w:bCs/>
          <w:i w:val="0"/>
          <w:caps w:val="0"/>
          <w:color w:val="auto"/>
          <w:spacing w:val="0"/>
          <w:kern w:val="0"/>
          <w:sz w:val="32"/>
          <w:szCs w:val="32"/>
          <w:u w:val="none"/>
          <w:shd w:val="clear" w:color="auto" w:fill="FFFFFF"/>
          <w:lang w:val="en-US" w:eastAsia="zh-CN" w:bidi="ar"/>
        </w:rPr>
        <w:t>一是</w:t>
      </w:r>
      <w:r>
        <w:rPr>
          <w:rFonts w:hint="eastAsia" w:ascii="仿宋_GB2312" w:hAnsi="仿宋_GB2312" w:eastAsia="仿宋_GB2312" w:cs="仿宋_GB2312"/>
          <w:b/>
          <w:bCs/>
          <w:color w:val="auto"/>
          <w:sz w:val="32"/>
          <w:szCs w:val="32"/>
        </w:rPr>
        <w:t>建立</w:t>
      </w:r>
      <w:r>
        <w:rPr>
          <w:rFonts w:hint="eastAsia" w:ascii="仿宋_GB2312" w:hAnsi="仿宋_GB2312" w:eastAsia="仿宋_GB2312" w:cs="仿宋_GB2312"/>
          <w:b/>
          <w:bCs/>
          <w:color w:val="auto"/>
          <w:sz w:val="32"/>
          <w:szCs w:val="32"/>
          <w:lang w:eastAsia="zh-CN"/>
        </w:rPr>
        <w:t>居家养老上门服务</w:t>
      </w:r>
      <w:r>
        <w:rPr>
          <w:rFonts w:hint="eastAsia" w:ascii="仿宋_GB2312" w:hAnsi="仿宋_GB2312" w:eastAsia="仿宋_GB2312" w:cs="仿宋_GB2312"/>
          <w:b/>
          <w:bCs/>
          <w:color w:val="auto"/>
          <w:sz w:val="32"/>
          <w:szCs w:val="32"/>
        </w:rPr>
        <w:t>信息平台</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整合各类养老服务资源，建立全县统一的</w:t>
      </w:r>
      <w:r>
        <w:rPr>
          <w:rFonts w:hint="eastAsia" w:ascii="仿宋_GB2312" w:hAnsi="仿宋_GB2312" w:eastAsia="仿宋_GB2312" w:cs="仿宋_GB2312"/>
          <w:color w:val="auto"/>
          <w:sz w:val="32"/>
          <w:szCs w:val="32"/>
          <w:lang w:eastAsia="zh-CN"/>
        </w:rPr>
        <w:t>居家养老上门服务</w:t>
      </w:r>
      <w:r>
        <w:rPr>
          <w:rFonts w:hint="eastAsia" w:ascii="仿宋_GB2312" w:hAnsi="仿宋_GB2312" w:eastAsia="仿宋_GB2312" w:cs="仿宋_GB2312"/>
          <w:color w:val="auto"/>
          <w:sz w:val="32"/>
          <w:szCs w:val="32"/>
        </w:rPr>
        <w:t>信息平台，实现老年人信息管理、服务需求对接、服务过程监督、服务质量评价等功能。</w:t>
      </w:r>
      <w:r>
        <w:rPr>
          <w:rFonts w:hint="eastAsia" w:ascii="仿宋_GB2312" w:hAnsi="仿宋_GB2312" w:eastAsia="仿宋_GB2312" w:cs="仿宋_GB2312"/>
          <w:b/>
          <w:bCs/>
          <w:color w:val="auto"/>
          <w:sz w:val="32"/>
          <w:szCs w:val="32"/>
          <w:lang w:eastAsia="zh-CN"/>
        </w:rPr>
        <w:t>二是</w:t>
      </w:r>
      <w:r>
        <w:rPr>
          <w:rFonts w:hint="eastAsia" w:ascii="仿宋_GB2312" w:hAnsi="仿宋_GB2312" w:eastAsia="仿宋_GB2312" w:cs="仿宋_GB2312"/>
          <w:b/>
          <w:bCs/>
          <w:color w:val="auto"/>
          <w:sz w:val="32"/>
          <w:szCs w:val="32"/>
        </w:rPr>
        <w:t>推广智能养老设备应用</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鼓励老年人家庭安装智能养老设备，如智能手环、烟雾报警器、紧急呼叫器等，实时监测老年人的身体状况和生活情况，为老年人提供及时、有效的服务。</w:t>
      </w:r>
      <w:r>
        <w:rPr>
          <w:rFonts w:hint="eastAsia" w:ascii="仿宋_GB2312" w:hAnsi="仿宋_GB2312" w:eastAsia="仿宋_GB2312" w:cs="仿宋_GB2312"/>
          <w:b/>
          <w:bCs/>
          <w:color w:val="auto"/>
          <w:sz w:val="32"/>
          <w:szCs w:val="32"/>
          <w:lang w:eastAsia="zh-CN"/>
        </w:rPr>
        <w:t>三是</w:t>
      </w:r>
      <w:r>
        <w:rPr>
          <w:rFonts w:hint="eastAsia" w:ascii="仿宋_GB2312" w:hAnsi="仿宋_GB2312" w:eastAsia="仿宋_GB2312" w:cs="仿宋_GB2312"/>
          <w:b/>
          <w:bCs/>
          <w:color w:val="auto"/>
          <w:sz w:val="32"/>
          <w:szCs w:val="32"/>
          <w:lang w:val="en-US" w:eastAsia="zh-CN"/>
        </w:rPr>
        <w:t>开通24小时服务热线。</w:t>
      </w:r>
      <w:r>
        <w:rPr>
          <w:rFonts w:hint="eastAsia" w:ascii="仿宋_GB2312" w:hAnsi="仿宋_GB2312" w:eastAsia="仿宋_GB2312" w:cs="仿宋_GB2312"/>
          <w:b w:val="0"/>
          <w:bCs w:val="0"/>
          <w:color w:val="auto"/>
          <w:sz w:val="32"/>
          <w:szCs w:val="32"/>
          <w:lang w:val="en-US" w:eastAsia="zh-CN"/>
        </w:rPr>
        <w:t>通过一键呼叫，</w:t>
      </w:r>
      <w:r>
        <w:rPr>
          <w:rFonts w:hint="eastAsia" w:ascii="仿宋_GB2312" w:hAnsi="仿宋_GB2312" w:eastAsia="仿宋_GB2312" w:cs="仿宋_GB2312"/>
          <w:color w:val="auto"/>
          <w:sz w:val="32"/>
          <w:szCs w:val="32"/>
        </w:rPr>
        <w:t>做到“1分钟派单、15分钟响应、30分钟上门服务”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有力推进居家养老上门服务区域全覆盖、需求全供给、监管全过程。</w:t>
      </w:r>
    </w:p>
    <w:p w14:paraId="5A7C084E">
      <w:pPr>
        <w:keepNext w:val="0"/>
        <w:keepLines w:val="0"/>
        <w:pageBreakBefore w:val="0"/>
        <w:kinsoku/>
        <w:wordWrap/>
        <w:overflowPunct/>
        <w:topLinePunct w:val="0"/>
        <w:autoSpaceDE/>
        <w:autoSpaceDN/>
        <w:bidi w:val="0"/>
        <w:adjustRightInd w:val="0"/>
        <w:spacing w:line="560" w:lineRule="exact"/>
        <w:ind w:left="0" w:leftChars="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color w:val="auto"/>
          <w:sz w:val="32"/>
          <w:szCs w:val="32"/>
        </w:rPr>
        <w:t>（二）提供居家养老上门服务。</w:t>
      </w:r>
      <w:r>
        <w:rPr>
          <w:rFonts w:hint="eastAsia" w:ascii="仿宋_GB2312" w:hAnsi="仿宋_GB2312" w:eastAsia="仿宋_GB2312" w:cs="仿宋_GB2312"/>
          <w:color w:val="auto"/>
          <w:sz w:val="32"/>
          <w:szCs w:val="32"/>
        </w:rPr>
        <w:t>根据老年人</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需求提供居家养老上门服务，服务内容包括但不限于出行、</w:t>
      </w:r>
      <w:r>
        <w:rPr>
          <w:rFonts w:hint="eastAsia" w:ascii="仿宋_GB2312" w:hAnsi="仿宋_GB2312" w:eastAsia="仿宋_GB2312" w:cs="仿宋_GB2312"/>
          <w:color w:val="auto"/>
          <w:sz w:val="32"/>
          <w:szCs w:val="32"/>
          <w:lang w:eastAsia="zh-CN"/>
        </w:rPr>
        <w:t>助洁</w:t>
      </w:r>
      <w:r>
        <w:rPr>
          <w:rFonts w:hint="eastAsia" w:ascii="仿宋_GB2312" w:hAnsi="仿宋_GB2312" w:eastAsia="仿宋_GB2312" w:cs="仿宋_GB2312"/>
          <w:color w:val="auto"/>
          <w:sz w:val="32"/>
          <w:szCs w:val="32"/>
        </w:rPr>
        <w:t>、起居、卧床、饮食等生活照护以及基础照护、健康管理、康复辅助、心理支持、委托代办等服务。承接机构可根据老年人家庭照护需求，参照《建宁县</w:t>
      </w:r>
      <w:r>
        <w:rPr>
          <w:rFonts w:hint="eastAsia" w:ascii="仿宋_GB2312" w:hAnsi="仿宋_GB2312" w:eastAsia="仿宋_GB2312" w:cs="仿宋_GB2312"/>
          <w:color w:val="auto"/>
          <w:sz w:val="32"/>
          <w:szCs w:val="32"/>
          <w:lang w:eastAsia="zh-CN"/>
        </w:rPr>
        <w:t>“五联五保”</w:t>
      </w:r>
      <w:r>
        <w:rPr>
          <w:rFonts w:hint="eastAsia" w:ascii="仿宋_GB2312" w:hAnsi="仿宋_GB2312" w:eastAsia="仿宋_GB2312" w:cs="仿宋_GB2312"/>
          <w:color w:val="auto"/>
          <w:sz w:val="32"/>
          <w:szCs w:val="32"/>
        </w:rPr>
        <w:t>居家养老上门服务指导目录》（附件3）、《建宁县</w:t>
      </w:r>
      <w:r>
        <w:rPr>
          <w:rFonts w:hint="eastAsia" w:ascii="仿宋_GB2312" w:hAnsi="仿宋_GB2312" w:eastAsia="仿宋_GB2312" w:cs="仿宋_GB2312"/>
          <w:color w:val="auto"/>
          <w:sz w:val="32"/>
          <w:szCs w:val="32"/>
          <w:lang w:eastAsia="zh-CN"/>
        </w:rPr>
        <w:t>“五联五保”</w:t>
      </w:r>
      <w:r>
        <w:rPr>
          <w:rFonts w:hint="eastAsia" w:ascii="仿宋_GB2312" w:hAnsi="仿宋_GB2312" w:eastAsia="仿宋_GB2312" w:cs="仿宋_GB2312"/>
          <w:color w:val="auto"/>
          <w:sz w:val="32"/>
          <w:szCs w:val="32"/>
        </w:rPr>
        <w:t>居家养老上门服务指导清单》（附件4），采取“一户一策”定制个性化服务包，结合实际提供相应时长和次数的居家养老上门服务。提供医疗康复服务的应该严格按照医疗卫生有关标准及规范开展。</w:t>
      </w:r>
    </w:p>
    <w:p w14:paraId="1A7DF0D6">
      <w:pPr>
        <w:keepNext w:val="0"/>
        <w:keepLines w:val="0"/>
        <w:pageBreakBefore w:val="0"/>
        <w:kinsoku/>
        <w:wordWrap/>
        <w:overflowPunct/>
        <w:topLinePunct w:val="0"/>
        <w:autoSpaceDE/>
        <w:autoSpaceDN/>
        <w:bidi w:val="0"/>
        <w:adjustRightInd w:val="0"/>
        <w:spacing w:line="560" w:lineRule="exact"/>
        <w:ind w:left="0" w:leftChars="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四、实施步骤</w:t>
      </w:r>
    </w:p>
    <w:p w14:paraId="24A0AEFE">
      <w:pPr>
        <w:keepNext w:val="0"/>
        <w:keepLines w:val="0"/>
        <w:pageBreakBefore w:val="0"/>
        <w:kinsoku/>
        <w:wordWrap/>
        <w:overflowPunct/>
        <w:topLinePunct w:val="0"/>
        <w:autoSpaceDE/>
        <w:autoSpaceDN/>
        <w:bidi w:val="0"/>
        <w:adjustRightInd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val="0"/>
          <w:color w:val="auto"/>
          <w:sz w:val="32"/>
          <w:szCs w:val="32"/>
        </w:rPr>
        <w:t>（一）机构招标。</w:t>
      </w:r>
      <w:r>
        <w:rPr>
          <w:rFonts w:hint="eastAsia" w:ascii="仿宋_GB2312" w:hAnsi="仿宋_GB2312" w:eastAsia="仿宋_GB2312" w:cs="仿宋_GB2312"/>
          <w:color w:val="auto"/>
          <w:sz w:val="32"/>
          <w:szCs w:val="32"/>
        </w:rPr>
        <w:t>县</w:t>
      </w:r>
      <w:r>
        <w:rPr>
          <w:rFonts w:hint="eastAsia" w:ascii="仿宋_GB2312" w:hAnsi="仿宋_GB2312" w:eastAsia="仿宋_GB2312" w:cs="仿宋_GB2312"/>
          <w:color w:val="auto"/>
          <w:sz w:val="32"/>
          <w:szCs w:val="32"/>
          <w:lang w:eastAsia="zh-CN"/>
        </w:rPr>
        <w:t>民政和人社局</w:t>
      </w:r>
      <w:r>
        <w:rPr>
          <w:rFonts w:hint="eastAsia" w:ascii="仿宋_GB2312" w:hAnsi="仿宋_GB2312" w:eastAsia="仿宋_GB2312" w:cs="仿宋_GB2312"/>
          <w:color w:val="auto"/>
          <w:sz w:val="32"/>
          <w:szCs w:val="32"/>
        </w:rPr>
        <w:t>按照政府采购规定确定具备资质条件的承接机构</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承接机构必须本身具有智慧居家养老上门服务平台并愿意在服务期间免费提供给我县使用；</w:t>
      </w:r>
      <w:r>
        <w:rPr>
          <w:rFonts w:hint="eastAsia" w:ascii="仿宋_GB2312" w:hAnsi="仿宋_GB2312" w:eastAsia="仿宋_GB2312" w:cs="仿宋_GB2312"/>
          <w:color w:val="auto"/>
          <w:sz w:val="32"/>
          <w:szCs w:val="32"/>
          <w:lang w:val="en-US" w:eastAsia="zh-CN"/>
        </w:rPr>
        <w:t>具有养老服务资质，能够开展专业化上门服务)，</w:t>
      </w:r>
      <w:r>
        <w:rPr>
          <w:rFonts w:hint="eastAsia" w:ascii="仿宋_GB2312" w:hAnsi="仿宋_GB2312" w:eastAsia="仿宋_GB2312" w:cs="仿宋_GB2312"/>
          <w:color w:val="auto"/>
          <w:sz w:val="32"/>
          <w:szCs w:val="32"/>
        </w:rPr>
        <w:t>并及时向社会公布承接机构名单及基本情况介绍。</w:t>
      </w:r>
    </w:p>
    <w:p w14:paraId="7D8AED49">
      <w:pPr>
        <w:keepNext w:val="0"/>
        <w:keepLines w:val="0"/>
        <w:pageBreakBefore w:val="0"/>
        <w:kinsoku/>
        <w:wordWrap/>
        <w:overflowPunct/>
        <w:topLinePunct w:val="0"/>
        <w:autoSpaceDE/>
        <w:autoSpaceDN/>
        <w:bidi w:val="0"/>
        <w:adjustRightInd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val="0"/>
          <w:color w:val="auto"/>
          <w:sz w:val="32"/>
          <w:szCs w:val="32"/>
        </w:rPr>
        <w:t>（二）服务申请。</w:t>
      </w:r>
      <w:r>
        <w:rPr>
          <w:rFonts w:hint="eastAsia" w:ascii="仿宋_GB2312" w:hAnsi="仿宋_GB2312" w:eastAsia="仿宋_GB2312" w:cs="仿宋_GB2312"/>
          <w:color w:val="auto"/>
          <w:sz w:val="32"/>
          <w:szCs w:val="32"/>
        </w:rPr>
        <w:t>村（</w:t>
      </w:r>
      <w:r>
        <w:rPr>
          <w:rFonts w:hint="eastAsia" w:ascii="仿宋_GB2312" w:hAnsi="仿宋_GB2312" w:eastAsia="仿宋_GB2312" w:cs="仿宋_GB2312"/>
          <w:color w:val="auto"/>
          <w:sz w:val="32"/>
          <w:szCs w:val="32"/>
          <w:lang w:val="en-US" w:eastAsia="zh-CN"/>
        </w:rPr>
        <w:t>居</w:t>
      </w:r>
      <w:r>
        <w:rPr>
          <w:rFonts w:hint="eastAsia" w:ascii="仿宋_GB2312" w:hAnsi="仿宋_GB2312" w:eastAsia="仿宋_GB2312" w:cs="仿宋_GB2312"/>
          <w:color w:val="auto"/>
          <w:sz w:val="32"/>
          <w:szCs w:val="32"/>
        </w:rPr>
        <w:t>）民委员会</w:t>
      </w:r>
      <w:r>
        <w:rPr>
          <w:rFonts w:hint="eastAsia" w:ascii="仿宋_GB2312" w:hAnsi="仿宋_GB2312" w:eastAsia="仿宋_GB2312" w:cs="仿宋_GB2312"/>
          <w:color w:val="auto"/>
          <w:sz w:val="32"/>
          <w:szCs w:val="32"/>
          <w:lang w:eastAsia="zh-CN"/>
        </w:rPr>
        <w:t>指</w:t>
      </w:r>
      <w:r>
        <w:rPr>
          <w:rFonts w:hint="eastAsia" w:ascii="仿宋_GB2312" w:hAnsi="仿宋_GB2312" w:eastAsia="仿宋_GB2312" w:cs="仿宋_GB2312"/>
          <w:color w:val="auto"/>
          <w:sz w:val="32"/>
          <w:szCs w:val="32"/>
        </w:rPr>
        <w:t>导符合条件且有居家照护服务需要的老年人或其代理人填写《建宁县</w:t>
      </w:r>
      <w:r>
        <w:rPr>
          <w:rFonts w:hint="eastAsia" w:ascii="仿宋_GB2312" w:hAnsi="仿宋_GB2312" w:eastAsia="仿宋_GB2312" w:cs="仿宋_GB2312"/>
          <w:color w:val="auto"/>
          <w:sz w:val="32"/>
          <w:szCs w:val="32"/>
          <w:lang w:eastAsia="zh-CN"/>
        </w:rPr>
        <w:t>“五联五保”</w:t>
      </w:r>
      <w:r>
        <w:rPr>
          <w:rFonts w:hint="eastAsia" w:ascii="仿宋_GB2312" w:hAnsi="仿宋_GB2312" w:eastAsia="仿宋_GB2312" w:cs="仿宋_GB2312"/>
          <w:color w:val="auto"/>
          <w:sz w:val="32"/>
          <w:szCs w:val="32"/>
        </w:rPr>
        <w:t>居家养老上门服务申请审批表》（附件</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），向当地村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居）</w:t>
      </w:r>
      <w:r>
        <w:rPr>
          <w:rFonts w:hint="eastAsia" w:ascii="仿宋_GB2312" w:hAnsi="仿宋_GB2312" w:eastAsia="仿宋_GB2312" w:cs="仿宋_GB2312"/>
          <w:color w:val="auto"/>
          <w:sz w:val="32"/>
          <w:szCs w:val="32"/>
        </w:rPr>
        <w:t>民委员会提出上门服务申请，经乡（镇）人民政府审核、确认，报县</w:t>
      </w:r>
      <w:r>
        <w:rPr>
          <w:rFonts w:hint="eastAsia" w:ascii="仿宋_GB2312" w:hAnsi="仿宋_GB2312" w:eastAsia="仿宋_GB2312" w:cs="仿宋_GB2312"/>
          <w:color w:val="auto"/>
          <w:sz w:val="32"/>
          <w:szCs w:val="32"/>
          <w:lang w:eastAsia="zh-CN"/>
        </w:rPr>
        <w:t>民政和人社局</w:t>
      </w:r>
      <w:r>
        <w:rPr>
          <w:rFonts w:hint="eastAsia" w:ascii="仿宋_GB2312" w:hAnsi="仿宋_GB2312" w:eastAsia="仿宋_GB2312" w:cs="仿宋_GB2312"/>
          <w:color w:val="auto"/>
          <w:sz w:val="32"/>
          <w:szCs w:val="32"/>
        </w:rPr>
        <w:t>审批。因</w:t>
      </w:r>
      <w:r>
        <w:rPr>
          <w:rFonts w:hint="eastAsia" w:ascii="仿宋_GB2312" w:hAnsi="仿宋_GB2312" w:eastAsia="仿宋_GB2312" w:cs="仿宋_GB2312"/>
          <w:color w:val="auto"/>
          <w:sz w:val="32"/>
          <w:szCs w:val="32"/>
          <w:lang w:val="en-US" w:eastAsia="zh-CN"/>
        </w:rPr>
        <w:t>名额</w:t>
      </w:r>
      <w:r>
        <w:rPr>
          <w:rFonts w:hint="eastAsia" w:ascii="仿宋_GB2312" w:hAnsi="仿宋_GB2312" w:eastAsia="仿宋_GB2312" w:cs="仿宋_GB2312"/>
          <w:color w:val="auto"/>
          <w:sz w:val="32"/>
          <w:szCs w:val="32"/>
        </w:rPr>
        <w:t>有限，该方案启动实施</w:t>
      </w:r>
      <w:r>
        <w:rPr>
          <w:rFonts w:hint="eastAsia" w:ascii="仿宋_GB2312" w:hAnsi="仿宋_GB2312" w:eastAsia="仿宋_GB2312" w:cs="仿宋_GB2312"/>
          <w:color w:val="auto"/>
          <w:sz w:val="32"/>
          <w:szCs w:val="32"/>
          <w:lang w:eastAsia="zh-CN"/>
        </w:rPr>
        <w:t>后</w:t>
      </w:r>
      <w:r>
        <w:rPr>
          <w:rFonts w:hint="eastAsia" w:ascii="仿宋_GB2312" w:hAnsi="仿宋_GB2312" w:eastAsia="仿宋_GB2312" w:cs="仿宋_GB2312"/>
          <w:color w:val="auto"/>
          <w:sz w:val="32"/>
          <w:szCs w:val="32"/>
        </w:rPr>
        <w:t>，符合条件的对象按申请先后顺序享受</w:t>
      </w:r>
      <w:r>
        <w:rPr>
          <w:rFonts w:hint="eastAsia" w:ascii="仿宋_GB2312" w:hAnsi="仿宋_GB2312" w:eastAsia="仿宋_GB2312" w:cs="仿宋_GB2312"/>
          <w:color w:val="auto"/>
          <w:sz w:val="32"/>
          <w:szCs w:val="32"/>
          <w:lang w:eastAsia="zh-CN"/>
        </w:rPr>
        <w:t>服务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直至</w:t>
      </w:r>
      <w:r>
        <w:rPr>
          <w:rFonts w:hint="eastAsia" w:ascii="仿宋_GB2312" w:hAnsi="仿宋_GB2312" w:eastAsia="仿宋_GB2312" w:cs="仿宋_GB2312"/>
          <w:color w:val="auto"/>
          <w:sz w:val="32"/>
          <w:szCs w:val="32"/>
        </w:rPr>
        <w:t>名额申请完为止。</w:t>
      </w:r>
    </w:p>
    <w:p w14:paraId="4BEC2645">
      <w:pPr>
        <w:keepNext w:val="0"/>
        <w:keepLines w:val="0"/>
        <w:pageBreakBefore w:val="0"/>
        <w:kinsoku/>
        <w:wordWrap/>
        <w:overflowPunct/>
        <w:topLinePunct w:val="0"/>
        <w:autoSpaceDE/>
        <w:autoSpaceDN/>
        <w:bidi w:val="0"/>
        <w:adjustRightInd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三</w:t>
      </w:r>
      <w:r>
        <w:rPr>
          <w:rFonts w:hint="eastAsia" w:ascii="楷体_GB2312" w:hAnsi="楷体_GB2312" w:eastAsia="楷体_GB2312" w:cs="楷体_GB2312"/>
          <w:b w:val="0"/>
          <w:bCs w:val="0"/>
          <w:color w:val="auto"/>
          <w:sz w:val="32"/>
          <w:szCs w:val="32"/>
        </w:rPr>
        <w:t>）服务协议。</w:t>
      </w:r>
      <w:r>
        <w:rPr>
          <w:rFonts w:hint="eastAsia" w:ascii="仿宋_GB2312" w:hAnsi="仿宋_GB2312" w:eastAsia="仿宋_GB2312" w:cs="仿宋_GB2312"/>
          <w:color w:val="auto"/>
          <w:sz w:val="32"/>
          <w:szCs w:val="32"/>
        </w:rPr>
        <w:t>承接机构经与老年人及其家属协商确认后，为老年人制定符合其需求的服务方案，并签订《建宁县</w:t>
      </w:r>
      <w:r>
        <w:rPr>
          <w:rFonts w:hint="eastAsia" w:ascii="仿宋_GB2312" w:hAnsi="仿宋_GB2312" w:eastAsia="仿宋_GB2312" w:cs="仿宋_GB2312"/>
          <w:color w:val="auto"/>
          <w:sz w:val="32"/>
          <w:szCs w:val="32"/>
          <w:lang w:eastAsia="zh-CN"/>
        </w:rPr>
        <w:t>“五联五保”</w:t>
      </w:r>
      <w:r>
        <w:rPr>
          <w:rFonts w:hint="eastAsia" w:ascii="仿宋_GB2312" w:hAnsi="仿宋_GB2312" w:eastAsia="仿宋_GB2312" w:cs="仿宋_GB2312"/>
          <w:color w:val="auto"/>
          <w:sz w:val="32"/>
          <w:szCs w:val="32"/>
        </w:rPr>
        <w:t>居家养老上门服务协议》（附件</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）。协议约定服务项目、服务时间、服务频次、服务收费、权利义务、风险责任分担机制、争议纠纷解决途径等内容，明确各方责任、权利、义务。</w:t>
      </w:r>
    </w:p>
    <w:p w14:paraId="517B5975">
      <w:pPr>
        <w:keepNext w:val="0"/>
        <w:keepLines w:val="0"/>
        <w:pageBreakBefore w:val="0"/>
        <w:kinsoku/>
        <w:wordWrap/>
        <w:overflowPunct/>
        <w:topLinePunct w:val="0"/>
        <w:autoSpaceDE/>
        <w:autoSpaceDN/>
        <w:bidi w:val="0"/>
        <w:adjustRightInd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四</w:t>
      </w:r>
      <w:r>
        <w:rPr>
          <w:rFonts w:hint="eastAsia" w:ascii="楷体_GB2312" w:hAnsi="楷体_GB2312" w:eastAsia="楷体_GB2312" w:cs="楷体_GB2312"/>
          <w:b w:val="0"/>
          <w:bCs w:val="0"/>
          <w:color w:val="auto"/>
          <w:sz w:val="32"/>
          <w:szCs w:val="32"/>
        </w:rPr>
        <w:t>）服务提供。</w:t>
      </w:r>
      <w:r>
        <w:rPr>
          <w:rFonts w:hint="eastAsia" w:ascii="仿宋_GB2312" w:hAnsi="仿宋_GB2312" w:eastAsia="仿宋_GB2312" w:cs="仿宋_GB2312"/>
          <w:color w:val="auto"/>
          <w:sz w:val="32"/>
          <w:szCs w:val="32"/>
        </w:rPr>
        <w:t>承接机构根据已签订的《建宁县</w:t>
      </w:r>
      <w:r>
        <w:rPr>
          <w:rFonts w:hint="eastAsia" w:ascii="仿宋_GB2312" w:hAnsi="仿宋_GB2312" w:eastAsia="仿宋_GB2312" w:cs="仿宋_GB2312"/>
          <w:color w:val="auto"/>
          <w:sz w:val="32"/>
          <w:szCs w:val="32"/>
          <w:lang w:eastAsia="zh-CN"/>
        </w:rPr>
        <w:t>“五联五保”</w:t>
      </w:r>
      <w:r>
        <w:rPr>
          <w:rFonts w:hint="eastAsia" w:ascii="仿宋_GB2312" w:hAnsi="仿宋_GB2312" w:eastAsia="仿宋_GB2312" w:cs="仿宋_GB2312"/>
          <w:color w:val="auto"/>
          <w:sz w:val="32"/>
          <w:szCs w:val="32"/>
        </w:rPr>
        <w:t>居家养老上门服务协议》内容，进行相应的智能化改造，实现其家庭与承接机构信息化管理系统互联互通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为服务对象提供信息化、照料护理、医疗康复、精神慰藉、文化娱乐等居家养老</w:t>
      </w:r>
      <w:r>
        <w:rPr>
          <w:rFonts w:hint="eastAsia" w:ascii="仿宋_GB2312" w:hAnsi="仿宋_GB2312" w:eastAsia="仿宋_GB2312" w:cs="仿宋_GB2312"/>
          <w:color w:val="auto"/>
          <w:sz w:val="32"/>
          <w:szCs w:val="32"/>
          <w:lang w:eastAsia="zh-CN"/>
        </w:rPr>
        <w:t>上门</w:t>
      </w:r>
      <w:r>
        <w:rPr>
          <w:rFonts w:hint="eastAsia" w:ascii="仿宋_GB2312" w:hAnsi="仿宋_GB2312" w:eastAsia="仿宋_GB2312" w:cs="仿宋_GB2312"/>
          <w:color w:val="auto"/>
          <w:sz w:val="32"/>
          <w:szCs w:val="32"/>
        </w:rPr>
        <w:t>服务</w:t>
      </w:r>
      <w:r>
        <w:rPr>
          <w:rFonts w:hint="eastAsia" w:ascii="仿宋_GB2312" w:hAnsi="仿宋_GB2312" w:eastAsia="仿宋_GB2312" w:cs="仿宋_GB2312"/>
          <w:color w:val="auto"/>
          <w:sz w:val="32"/>
          <w:szCs w:val="32"/>
          <w:lang w:eastAsia="zh-CN"/>
        </w:rPr>
        <w:t>，补贴</w:t>
      </w:r>
      <w:r>
        <w:rPr>
          <w:rFonts w:hint="eastAsia" w:ascii="仿宋_GB2312" w:hAnsi="仿宋_GB2312" w:eastAsia="仿宋_GB2312" w:cs="仿宋_GB2312"/>
          <w:color w:val="auto"/>
          <w:sz w:val="32"/>
          <w:szCs w:val="32"/>
        </w:rPr>
        <w:t>标准</w:t>
      </w:r>
      <w:r>
        <w:rPr>
          <w:rFonts w:hint="eastAsia" w:ascii="仿宋_GB2312" w:hAnsi="仿宋_GB2312" w:eastAsia="仿宋_GB2312" w:cs="仿宋_GB2312"/>
          <w:color w:val="auto"/>
          <w:sz w:val="32"/>
          <w:szCs w:val="32"/>
          <w:lang w:eastAsia="zh-CN"/>
        </w:rPr>
        <w:t>为</w:t>
      </w:r>
      <w:r>
        <w:rPr>
          <w:rFonts w:hint="eastAsia" w:ascii="仿宋_GB2312" w:hAnsi="仿宋_GB2312" w:eastAsia="仿宋_GB2312" w:cs="仿宋_GB2312"/>
          <w:color w:val="auto"/>
          <w:sz w:val="32"/>
          <w:szCs w:val="32"/>
          <w:lang w:val="en-US" w:eastAsia="zh-CN"/>
        </w:rPr>
        <w:t>70</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val="en-US" w:eastAsia="zh-CN"/>
        </w:rPr>
        <w:t>/人.月（</w:t>
      </w:r>
      <w:r>
        <w:rPr>
          <w:rFonts w:hint="eastAsia" w:ascii="仿宋_GB2312" w:hAnsi="仿宋_GB2312" w:eastAsia="仿宋_GB2312" w:cs="仿宋_GB2312"/>
          <w:color w:val="auto"/>
          <w:sz w:val="32"/>
          <w:szCs w:val="32"/>
          <w:lang w:eastAsia="zh-CN"/>
        </w:rPr>
        <w:t>该标准依据《福建省养老服务条例》第三章“居家和社区养老服务”部分及三明市人民政府专题会议纪要《关于研究深化养老服务改革发展工作的纪要》（〔2025〕14号）中“每年不低于200万元服务资金列入财政预算”的要求，结合本县财政承受能力和服务人数及成本综合测算确定），超额部分由服务对象和承接机构自行结算</w:t>
      </w:r>
      <w:r>
        <w:rPr>
          <w:rFonts w:hint="eastAsia" w:ascii="仿宋_GB2312" w:hAnsi="仿宋_GB2312" w:eastAsia="仿宋_GB2312" w:cs="仿宋_GB2312"/>
          <w:color w:val="auto"/>
          <w:sz w:val="32"/>
          <w:szCs w:val="32"/>
        </w:rPr>
        <w:t>。承接机构根据服务协议，</w:t>
      </w:r>
      <w:r>
        <w:rPr>
          <w:rFonts w:hint="eastAsia" w:ascii="仿宋_GB2312" w:hAnsi="仿宋_GB2312" w:eastAsia="仿宋_GB2312" w:cs="仿宋_GB2312"/>
          <w:color w:val="auto"/>
          <w:sz w:val="32"/>
          <w:szCs w:val="32"/>
          <w:lang w:eastAsia="zh-CN"/>
        </w:rPr>
        <w:t>每半年</w:t>
      </w:r>
      <w:r>
        <w:rPr>
          <w:rFonts w:hint="eastAsia" w:ascii="仿宋_GB2312" w:hAnsi="仿宋_GB2312" w:eastAsia="仿宋_GB2312" w:cs="仿宋_GB2312"/>
          <w:color w:val="auto"/>
          <w:sz w:val="32"/>
          <w:szCs w:val="32"/>
        </w:rPr>
        <w:t>向县</w:t>
      </w:r>
      <w:r>
        <w:rPr>
          <w:rFonts w:hint="eastAsia" w:ascii="仿宋_GB2312" w:hAnsi="仿宋_GB2312" w:eastAsia="仿宋_GB2312" w:cs="仿宋_GB2312"/>
          <w:color w:val="auto"/>
          <w:sz w:val="32"/>
          <w:szCs w:val="32"/>
          <w:lang w:eastAsia="zh-CN"/>
        </w:rPr>
        <w:t>民政和人社局</w:t>
      </w:r>
      <w:r>
        <w:rPr>
          <w:rFonts w:hint="eastAsia" w:ascii="仿宋_GB2312" w:hAnsi="仿宋_GB2312" w:eastAsia="仿宋_GB2312" w:cs="仿宋_GB2312"/>
          <w:color w:val="auto"/>
          <w:sz w:val="32"/>
          <w:szCs w:val="32"/>
        </w:rPr>
        <w:t>提交服务清单，经审核无误后结算各项服务补贴。</w:t>
      </w:r>
    </w:p>
    <w:p w14:paraId="13D6DC2F">
      <w:pPr>
        <w:keepNext w:val="0"/>
        <w:keepLines w:val="0"/>
        <w:pageBreakBefore w:val="0"/>
        <w:kinsoku/>
        <w:wordWrap/>
        <w:overflowPunct/>
        <w:topLinePunct w:val="0"/>
        <w:autoSpaceDE/>
        <w:autoSpaceDN/>
        <w:bidi w:val="0"/>
        <w:adjustRightInd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五</w:t>
      </w:r>
      <w:r>
        <w:rPr>
          <w:rFonts w:hint="eastAsia" w:ascii="楷体_GB2312" w:hAnsi="楷体_GB2312" w:eastAsia="楷体_GB2312" w:cs="楷体_GB2312"/>
          <w:b w:val="0"/>
          <w:bCs w:val="0"/>
          <w:color w:val="auto"/>
          <w:sz w:val="32"/>
          <w:szCs w:val="32"/>
        </w:rPr>
        <w:t>）服务终止。</w:t>
      </w:r>
      <w:r>
        <w:rPr>
          <w:rFonts w:hint="eastAsia" w:ascii="仿宋_GB2312" w:hAnsi="仿宋_GB2312" w:eastAsia="仿宋_GB2312" w:cs="仿宋_GB2312"/>
          <w:color w:val="auto"/>
          <w:sz w:val="32"/>
          <w:szCs w:val="32"/>
        </w:rPr>
        <w:t>服务对象发生以下任意一种情况时，服务终止：1.签约服务对象死亡；2.签约服务对象变更的居住地超出县域；3.承接机构被依法依规责令停业整顿或关停；4.老年人不再符合确定的服务对象范围的；5.其他导致服务终止的情形。</w:t>
      </w:r>
    </w:p>
    <w:p w14:paraId="5F5119CC">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五、进度安排</w:t>
      </w:r>
    </w:p>
    <w:p w14:paraId="4415442E">
      <w:pPr>
        <w:pStyle w:val="8"/>
        <w:keepNext w:val="0"/>
        <w:keepLines w:val="0"/>
        <w:pageBreakBefore w:val="0"/>
        <w:kinsoku/>
        <w:wordWrap/>
        <w:overflowPunct/>
        <w:topLinePunct w:val="0"/>
        <w:autoSpaceDE/>
        <w:autoSpaceDN/>
        <w:bidi w:val="0"/>
        <w:spacing w:after="0" w:line="560" w:lineRule="exact"/>
        <w:ind w:left="0" w:leftChars="0" w:firstLine="643"/>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val="0"/>
          <w:color w:val="auto"/>
          <w:sz w:val="32"/>
          <w:szCs w:val="32"/>
        </w:rPr>
        <w:t>（一）前期准备：</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月</w:t>
      </w:r>
    </w:p>
    <w:p w14:paraId="3FFD88C2">
      <w:pPr>
        <w:pStyle w:val="8"/>
        <w:keepNext w:val="0"/>
        <w:keepLines w:val="0"/>
        <w:pageBreakBefore w:val="0"/>
        <w:kinsoku/>
        <w:wordWrap/>
        <w:overflowPunct/>
        <w:topLinePunct w:val="0"/>
        <w:autoSpaceDE/>
        <w:autoSpaceDN/>
        <w:bidi w:val="0"/>
        <w:spacing w:after="0" w:line="560" w:lineRule="exact"/>
        <w:ind w:left="0" w:leftChars="0" w:firstLine="64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工作</w:t>
      </w:r>
      <w:r>
        <w:rPr>
          <w:rFonts w:hint="eastAsia" w:ascii="仿宋_GB2312" w:hAnsi="仿宋_GB2312" w:eastAsia="仿宋_GB2312" w:cs="仿宋_GB2312"/>
          <w:color w:val="auto"/>
          <w:sz w:val="32"/>
          <w:szCs w:val="32"/>
        </w:rPr>
        <w:t>方案确认：</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日前实施方案定稿过会。</w:t>
      </w:r>
    </w:p>
    <w:p w14:paraId="16F29726">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2.服务对象摸排：</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月30日前完成服务对象摸排。</w:t>
      </w:r>
    </w:p>
    <w:p w14:paraId="4702A9BA">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3.启动项目招标:</w:t>
      </w:r>
      <w:r>
        <w:rPr>
          <w:rFonts w:hint="eastAsia" w:ascii="仿宋_GB2312" w:hAnsi="仿宋_GB2312" w:eastAsia="仿宋_GB2312" w:cs="仿宋_GB2312"/>
          <w:color w:val="auto"/>
          <w:sz w:val="32"/>
          <w:szCs w:val="32"/>
          <w:lang w:val="en-US" w:eastAsia="zh-CN"/>
        </w:rPr>
        <w:t xml:space="preserve"> 12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30日前</w:t>
      </w:r>
      <w:r>
        <w:rPr>
          <w:rFonts w:hint="eastAsia" w:ascii="仿宋_GB2312" w:hAnsi="仿宋_GB2312" w:eastAsia="仿宋_GB2312" w:cs="仿宋_GB2312"/>
          <w:color w:val="auto"/>
          <w:sz w:val="32"/>
          <w:szCs w:val="32"/>
        </w:rPr>
        <w:t>启动项目招标工作，确定承接机构。</w:t>
      </w:r>
    </w:p>
    <w:p w14:paraId="476E5580">
      <w:pPr>
        <w:pStyle w:val="8"/>
        <w:keepNext w:val="0"/>
        <w:keepLines w:val="0"/>
        <w:pageBreakBefore w:val="0"/>
        <w:kinsoku/>
        <w:wordWrap/>
        <w:overflowPunct/>
        <w:topLinePunct w:val="0"/>
        <w:autoSpaceDE/>
        <w:autoSpaceDN/>
        <w:bidi w:val="0"/>
        <w:spacing w:after="0" w:line="560" w:lineRule="exact"/>
        <w:ind w:left="0" w:leftChars="0" w:firstLine="643"/>
        <w:jc w:val="both"/>
        <w:textAlignment w:val="auto"/>
        <w:rPr>
          <w:rFonts w:hint="eastAsia" w:ascii="仿宋_GB2312" w:hAnsi="仿宋_GB2312" w:eastAsia="仿宋_GB2312" w:cs="仿宋_GB2312"/>
          <w:bCs/>
          <w:color w:val="auto"/>
          <w:sz w:val="32"/>
          <w:szCs w:val="32"/>
        </w:rPr>
      </w:pPr>
      <w:r>
        <w:rPr>
          <w:rFonts w:hint="eastAsia" w:ascii="楷体_GB2312" w:hAnsi="楷体_GB2312" w:eastAsia="楷体_GB2312" w:cs="楷体_GB2312"/>
          <w:b w:val="0"/>
          <w:bCs w:val="0"/>
          <w:color w:val="auto"/>
          <w:sz w:val="32"/>
          <w:szCs w:val="32"/>
        </w:rPr>
        <w:t>（二）项目推进：</w:t>
      </w:r>
      <w:r>
        <w:rPr>
          <w:rFonts w:hint="eastAsia" w:ascii="仿宋_GB2312" w:hAnsi="仿宋_GB2312" w:eastAsia="仿宋_GB2312" w:cs="仿宋_GB2312"/>
          <w:bCs/>
          <w:color w:val="auto"/>
          <w:sz w:val="32"/>
          <w:szCs w:val="32"/>
        </w:rPr>
        <w:t>202</w:t>
      </w:r>
      <w:r>
        <w:rPr>
          <w:rFonts w:hint="eastAsia" w:ascii="仿宋_GB2312" w:hAnsi="仿宋_GB2312" w:eastAsia="仿宋_GB2312" w:cs="仿宋_GB2312"/>
          <w:bCs/>
          <w:color w:val="auto"/>
          <w:sz w:val="32"/>
          <w:szCs w:val="32"/>
          <w:lang w:val="en-US" w:eastAsia="zh-CN"/>
        </w:rPr>
        <w:t>5</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val="en-US" w:eastAsia="zh-CN"/>
        </w:rPr>
        <w:t>12</w:t>
      </w:r>
      <w:r>
        <w:rPr>
          <w:rFonts w:hint="eastAsia" w:ascii="仿宋_GB2312" w:hAnsi="仿宋_GB2312" w:eastAsia="仿宋_GB2312" w:cs="仿宋_GB2312"/>
          <w:bCs/>
          <w:color w:val="auto"/>
          <w:sz w:val="32"/>
          <w:szCs w:val="32"/>
        </w:rPr>
        <w:t>月-202</w:t>
      </w:r>
      <w:r>
        <w:rPr>
          <w:rFonts w:hint="eastAsia" w:ascii="仿宋_GB2312" w:hAnsi="仿宋_GB2312" w:eastAsia="仿宋_GB2312" w:cs="仿宋_GB2312"/>
          <w:bCs/>
          <w:color w:val="auto"/>
          <w:sz w:val="32"/>
          <w:szCs w:val="32"/>
          <w:lang w:val="en-US" w:eastAsia="zh-CN"/>
        </w:rPr>
        <w:t>6</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val="en-US" w:eastAsia="zh-CN"/>
        </w:rPr>
        <w:t>11</w:t>
      </w:r>
      <w:r>
        <w:rPr>
          <w:rFonts w:hint="eastAsia" w:ascii="仿宋_GB2312" w:hAnsi="仿宋_GB2312" w:eastAsia="仿宋_GB2312" w:cs="仿宋_GB2312"/>
          <w:bCs/>
          <w:color w:val="auto"/>
          <w:sz w:val="32"/>
          <w:szCs w:val="32"/>
        </w:rPr>
        <w:t>月</w:t>
      </w:r>
    </w:p>
    <w:p w14:paraId="2EDBB571">
      <w:pPr>
        <w:pStyle w:val="8"/>
        <w:keepNext w:val="0"/>
        <w:keepLines w:val="0"/>
        <w:pageBreakBefore w:val="0"/>
        <w:kinsoku/>
        <w:wordWrap/>
        <w:overflowPunct/>
        <w:topLinePunct w:val="0"/>
        <w:autoSpaceDE/>
        <w:autoSpaceDN/>
        <w:bidi w:val="0"/>
        <w:spacing w:after="0" w:line="560" w:lineRule="exact"/>
        <w:ind w:left="0" w:leftChars="0" w:firstLine="64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承接机构按照工作方案，有序开展</w:t>
      </w:r>
      <w:r>
        <w:rPr>
          <w:rFonts w:hint="eastAsia" w:ascii="仿宋_GB2312" w:hAnsi="仿宋_GB2312" w:eastAsia="仿宋_GB2312" w:cs="仿宋_GB2312"/>
          <w:color w:val="auto"/>
          <w:sz w:val="32"/>
          <w:szCs w:val="32"/>
          <w:lang w:eastAsia="zh-CN"/>
        </w:rPr>
        <w:t>服务</w:t>
      </w:r>
      <w:r>
        <w:rPr>
          <w:rFonts w:hint="eastAsia" w:ascii="仿宋_GB2312" w:hAnsi="仿宋_GB2312" w:eastAsia="仿宋_GB2312" w:cs="仿宋_GB2312"/>
          <w:color w:val="auto"/>
          <w:sz w:val="32"/>
          <w:szCs w:val="32"/>
        </w:rPr>
        <w:t>，并做好服务对象工作台账信息录入工作。县</w:t>
      </w:r>
      <w:r>
        <w:rPr>
          <w:rFonts w:hint="eastAsia" w:ascii="仿宋_GB2312" w:hAnsi="仿宋_GB2312" w:eastAsia="仿宋_GB2312" w:cs="仿宋_GB2312"/>
          <w:color w:val="auto"/>
          <w:sz w:val="32"/>
          <w:szCs w:val="32"/>
          <w:lang w:eastAsia="zh-CN"/>
        </w:rPr>
        <w:t>民政和人社局</w:t>
      </w:r>
      <w:r>
        <w:rPr>
          <w:rFonts w:hint="eastAsia" w:ascii="仿宋_GB2312" w:hAnsi="仿宋_GB2312" w:eastAsia="仿宋_GB2312" w:cs="仿宋_GB2312"/>
          <w:color w:val="auto"/>
          <w:sz w:val="32"/>
          <w:szCs w:val="32"/>
        </w:rPr>
        <w:t>负责做好服务满意度评价工作。</w:t>
      </w:r>
    </w:p>
    <w:p w14:paraId="7F259EFE">
      <w:pPr>
        <w:pStyle w:val="8"/>
        <w:keepNext w:val="0"/>
        <w:keepLines w:val="0"/>
        <w:pageBreakBefore w:val="0"/>
        <w:kinsoku/>
        <w:wordWrap/>
        <w:overflowPunct/>
        <w:topLinePunct w:val="0"/>
        <w:autoSpaceDE/>
        <w:autoSpaceDN/>
        <w:bidi w:val="0"/>
        <w:spacing w:after="0" w:line="560" w:lineRule="exact"/>
        <w:ind w:left="0" w:leftChars="0" w:firstLine="643"/>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val="0"/>
          <w:color w:val="auto"/>
          <w:sz w:val="32"/>
          <w:szCs w:val="32"/>
        </w:rPr>
        <w:t>（三）经验总结：</w:t>
      </w:r>
      <w:r>
        <w:rPr>
          <w:rFonts w:hint="eastAsia" w:ascii="仿宋_GB2312" w:hAnsi="仿宋_GB2312" w:eastAsia="仿宋_GB2312" w:cs="仿宋_GB2312"/>
          <w:bCs/>
          <w:color w:val="auto"/>
          <w:sz w:val="32"/>
          <w:szCs w:val="32"/>
        </w:rPr>
        <w:t>202</w:t>
      </w:r>
      <w:r>
        <w:rPr>
          <w:rFonts w:hint="eastAsia" w:ascii="仿宋_GB2312" w:hAnsi="仿宋_GB2312" w:eastAsia="仿宋_GB2312" w:cs="仿宋_GB2312"/>
          <w:bCs/>
          <w:color w:val="auto"/>
          <w:sz w:val="32"/>
          <w:szCs w:val="32"/>
          <w:lang w:val="en-US" w:eastAsia="zh-CN"/>
        </w:rPr>
        <w:t>6</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val="en-US" w:eastAsia="zh-CN"/>
        </w:rPr>
        <w:t>12</w:t>
      </w:r>
      <w:r>
        <w:rPr>
          <w:rFonts w:hint="eastAsia" w:ascii="仿宋_GB2312" w:hAnsi="仿宋_GB2312" w:eastAsia="仿宋_GB2312" w:cs="仿宋_GB2312"/>
          <w:bCs/>
          <w:color w:val="auto"/>
          <w:sz w:val="32"/>
          <w:szCs w:val="32"/>
        </w:rPr>
        <w:t>月</w:t>
      </w:r>
    </w:p>
    <w:p w14:paraId="48EB03E1">
      <w:pPr>
        <w:pStyle w:val="8"/>
        <w:keepNext w:val="0"/>
        <w:keepLines w:val="0"/>
        <w:pageBreakBefore w:val="0"/>
        <w:kinsoku/>
        <w:wordWrap/>
        <w:overflowPunct/>
        <w:topLinePunct w:val="0"/>
        <w:autoSpaceDE/>
        <w:autoSpaceDN/>
        <w:bidi w:val="0"/>
        <w:spacing w:after="0" w:line="560" w:lineRule="exact"/>
        <w:ind w:left="0" w:leftChars="0" w:firstLine="64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及时总结工作经验，不断提升</w:t>
      </w:r>
      <w:r>
        <w:rPr>
          <w:rFonts w:hint="eastAsia" w:ascii="仿宋_GB2312" w:hAnsi="仿宋_GB2312" w:eastAsia="仿宋_GB2312" w:cs="仿宋_GB2312"/>
          <w:color w:val="auto"/>
          <w:sz w:val="32"/>
          <w:szCs w:val="32"/>
          <w:lang w:eastAsia="zh-CN"/>
        </w:rPr>
        <w:t>“五联五保”居家养老上门服务</w:t>
      </w:r>
      <w:r>
        <w:rPr>
          <w:rFonts w:hint="eastAsia" w:ascii="仿宋_GB2312" w:hAnsi="仿宋_GB2312" w:eastAsia="仿宋_GB2312" w:cs="仿宋_GB2312"/>
          <w:color w:val="auto"/>
          <w:sz w:val="32"/>
          <w:szCs w:val="32"/>
        </w:rPr>
        <w:t>发展质量，推动传统养老向智慧养老转型，将专业养老服务延伸到老年人</w:t>
      </w:r>
      <w:r>
        <w:rPr>
          <w:rFonts w:hint="eastAsia" w:ascii="仿宋_GB2312" w:hAnsi="仿宋_GB2312" w:eastAsia="仿宋_GB2312" w:cs="仿宋_GB2312"/>
          <w:color w:val="auto"/>
          <w:sz w:val="32"/>
          <w:szCs w:val="32"/>
          <w:lang w:eastAsia="zh-CN"/>
        </w:rPr>
        <w:t>家中</w:t>
      </w:r>
      <w:r>
        <w:rPr>
          <w:rFonts w:hint="eastAsia" w:ascii="仿宋_GB2312" w:hAnsi="仿宋_GB2312" w:eastAsia="仿宋_GB2312" w:cs="仿宋_GB2312"/>
          <w:color w:val="auto"/>
          <w:sz w:val="32"/>
          <w:szCs w:val="32"/>
        </w:rPr>
        <w:t>，确保可持续运行。</w:t>
      </w:r>
    </w:p>
    <w:p w14:paraId="49B4F1F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六、保障措施</w:t>
      </w:r>
    </w:p>
    <w:p w14:paraId="1CD6F06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（一）加强组织领导</w:t>
      </w:r>
    </w:p>
    <w:p w14:paraId="08637BA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、各部门要充分认识开展“五联五保”</w:t>
      </w:r>
      <w:r>
        <w:rPr>
          <w:rFonts w:hint="eastAsia" w:ascii="仿宋_GB2312" w:hAnsi="仿宋_GB2312" w:eastAsia="仿宋_GB2312" w:cs="仿宋_GB2312"/>
          <w:color w:val="auto"/>
          <w:sz w:val="32"/>
          <w:szCs w:val="32"/>
          <w:lang w:eastAsia="zh-CN"/>
        </w:rPr>
        <w:t>居家养老上门服务</w:t>
      </w:r>
      <w:r>
        <w:rPr>
          <w:rFonts w:hint="eastAsia" w:ascii="仿宋_GB2312" w:hAnsi="仿宋_GB2312" w:eastAsia="仿宋_GB2312" w:cs="仿宋_GB2312"/>
          <w:color w:val="auto"/>
          <w:sz w:val="32"/>
          <w:szCs w:val="32"/>
        </w:rPr>
        <w:t>工作的重要性，切实加强组织领导，明确责任分工，确保工作任务落到实处。</w:t>
      </w:r>
    </w:p>
    <w:p w14:paraId="46A2EFE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（二）加大资金投入</w:t>
      </w:r>
    </w:p>
    <w:p w14:paraId="7FC86A33">
      <w:pPr>
        <w:keepNext w:val="0"/>
        <w:keepLines w:val="0"/>
        <w:pageBreakBefore w:val="0"/>
        <w:widowControl w:val="0"/>
        <w:kinsoku/>
        <w:wordWrap/>
        <w:overflowPunct/>
        <w:topLinePunct w:val="0"/>
        <w:autoSpaceDE/>
        <w:autoSpaceDN/>
        <w:bidi w:val="0"/>
        <w:adjustRightInd/>
        <w:snapToGrid/>
        <w:spacing w:line="560" w:lineRule="exact"/>
        <w:ind w:left="0" w:leftChars="0" w:firstLine="616" w:firstLineChars="200"/>
        <w:jc w:val="both"/>
        <w:textAlignment w:val="auto"/>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spacing w:val="-6"/>
          <w:sz w:val="32"/>
          <w:szCs w:val="32"/>
          <w:lang w:eastAsia="zh-CN"/>
        </w:rPr>
        <w:t>根据三明市人民政府专题会议纪要《关于研究深化养老服务改革发展工作的纪要》（〔</w:t>
      </w:r>
      <w:r>
        <w:rPr>
          <w:rFonts w:hint="eastAsia" w:ascii="仿宋_GB2312" w:hAnsi="仿宋_GB2312" w:eastAsia="仿宋_GB2312" w:cs="仿宋_GB2312"/>
          <w:color w:val="auto"/>
          <w:spacing w:val="-6"/>
          <w:sz w:val="32"/>
          <w:szCs w:val="32"/>
          <w:lang w:val="en-US" w:eastAsia="zh-CN"/>
        </w:rPr>
        <w:t>2025〕14号）</w:t>
      </w:r>
      <w:r>
        <w:rPr>
          <w:rFonts w:hint="eastAsia" w:ascii="仿宋_GB2312" w:hAnsi="仿宋_GB2312" w:eastAsia="仿宋_GB2312" w:cs="仿宋_GB2312"/>
          <w:color w:val="auto"/>
          <w:spacing w:val="-6"/>
          <w:sz w:val="32"/>
          <w:szCs w:val="32"/>
          <w:lang w:eastAsia="zh-CN"/>
        </w:rPr>
        <w:t>“每年</w:t>
      </w:r>
      <w:r>
        <w:rPr>
          <w:rFonts w:hint="eastAsia" w:ascii="仿宋_GB2312" w:hAnsi="仿宋_GB2312" w:eastAsia="仿宋_GB2312" w:cs="仿宋_GB2312"/>
          <w:color w:val="auto"/>
          <w:spacing w:val="-6"/>
          <w:sz w:val="32"/>
          <w:szCs w:val="32"/>
          <w:lang w:val="en-US" w:eastAsia="zh-CN"/>
        </w:rPr>
        <w:t>不低于200万元服务资金列入财政预算”要求，</w:t>
      </w:r>
      <w:r>
        <w:rPr>
          <w:rFonts w:hint="eastAsia" w:ascii="仿宋_GB2312" w:hAnsi="仿宋_GB2312" w:eastAsia="仿宋_GB2312" w:cs="仿宋_GB2312"/>
          <w:color w:val="auto"/>
          <w:spacing w:val="-6"/>
          <w:sz w:val="32"/>
          <w:szCs w:val="32"/>
        </w:rPr>
        <w:t>县财政</w:t>
      </w:r>
      <w:r>
        <w:rPr>
          <w:rFonts w:hint="eastAsia" w:ascii="仿宋_GB2312" w:hAnsi="仿宋_GB2312" w:eastAsia="仿宋_GB2312" w:cs="仿宋_GB2312"/>
          <w:color w:val="auto"/>
          <w:spacing w:val="-6"/>
          <w:sz w:val="32"/>
          <w:szCs w:val="32"/>
          <w:lang w:eastAsia="zh-CN"/>
        </w:rPr>
        <w:t>每年</w:t>
      </w:r>
      <w:r>
        <w:rPr>
          <w:rFonts w:hint="eastAsia" w:ascii="仿宋_GB2312" w:hAnsi="仿宋_GB2312" w:eastAsia="仿宋_GB2312" w:cs="仿宋_GB2312"/>
          <w:color w:val="auto"/>
          <w:spacing w:val="-6"/>
          <w:sz w:val="32"/>
          <w:szCs w:val="32"/>
        </w:rPr>
        <w:t>要将</w:t>
      </w:r>
      <w:r>
        <w:rPr>
          <w:rFonts w:hint="eastAsia" w:ascii="仿宋_GB2312" w:hAnsi="仿宋_GB2312" w:eastAsia="仿宋_GB2312" w:cs="仿宋_GB2312"/>
          <w:color w:val="auto"/>
          <w:spacing w:val="-6"/>
          <w:sz w:val="32"/>
          <w:szCs w:val="32"/>
          <w:lang w:eastAsia="zh-CN"/>
        </w:rPr>
        <w:t>居家养老上门服务</w:t>
      </w:r>
      <w:r>
        <w:rPr>
          <w:rFonts w:hint="eastAsia" w:ascii="仿宋_GB2312" w:hAnsi="仿宋_GB2312" w:eastAsia="仿宋_GB2312" w:cs="仿宋_GB2312"/>
          <w:color w:val="auto"/>
          <w:spacing w:val="-6"/>
          <w:sz w:val="32"/>
          <w:szCs w:val="32"/>
        </w:rPr>
        <w:t>工作经费</w:t>
      </w:r>
      <w:r>
        <w:rPr>
          <w:rFonts w:hint="eastAsia" w:ascii="仿宋_GB2312" w:hAnsi="仿宋_GB2312" w:eastAsia="仿宋_GB2312" w:cs="仿宋_GB2312"/>
          <w:color w:val="auto"/>
          <w:spacing w:val="-6"/>
          <w:sz w:val="32"/>
          <w:szCs w:val="32"/>
          <w:lang w:val="en-US" w:eastAsia="zh-CN"/>
        </w:rPr>
        <w:t>200万元</w:t>
      </w:r>
      <w:r>
        <w:rPr>
          <w:rFonts w:hint="eastAsia" w:ascii="仿宋_GB2312" w:hAnsi="仿宋_GB2312" w:eastAsia="仿宋_GB2312" w:cs="仿宋_GB2312"/>
          <w:color w:val="auto"/>
          <w:spacing w:val="-6"/>
          <w:sz w:val="32"/>
          <w:szCs w:val="32"/>
        </w:rPr>
        <w:t>纳入财政预算</w:t>
      </w:r>
      <w:r>
        <w:rPr>
          <w:rFonts w:hint="eastAsia" w:ascii="仿宋_GB2312" w:hAnsi="仿宋_GB2312" w:eastAsia="仿宋_GB2312" w:cs="仿宋_GB2312"/>
          <w:color w:val="auto"/>
          <w:spacing w:val="-6"/>
          <w:sz w:val="32"/>
          <w:szCs w:val="32"/>
          <w:lang w:val="en-US" w:eastAsia="zh-CN"/>
        </w:rPr>
        <w:t>，资金测算详见</w:t>
      </w:r>
      <w:r>
        <w:rPr>
          <w:rFonts w:hint="eastAsia" w:ascii="仿宋_GB2312" w:hAnsi="Calibri" w:eastAsia="仿宋_GB2312" w:cs="Times New Roman"/>
          <w:color w:val="auto"/>
          <w:spacing w:val="-6"/>
          <w:kern w:val="2"/>
          <w:sz w:val="32"/>
          <w:szCs w:val="32"/>
          <w:lang w:val="en-US" w:eastAsia="zh-CN" w:bidi="ar"/>
        </w:rPr>
        <w:t>《</w:t>
      </w:r>
      <w:r>
        <w:rPr>
          <w:rFonts w:hint="eastAsia" w:ascii="仿宋_GB2312" w:hAnsi="仿宋_GB2312" w:eastAsia="仿宋_GB2312" w:cs="仿宋_GB2312"/>
          <w:color w:val="auto"/>
          <w:spacing w:val="-6"/>
          <w:sz w:val="32"/>
          <w:szCs w:val="32"/>
          <w:lang w:val="en-US" w:eastAsia="zh-CN"/>
        </w:rPr>
        <w:t>建宁县“五联五保”居家养老服务项目资金测算</w:t>
      </w:r>
      <w:r>
        <w:rPr>
          <w:rFonts w:hint="eastAsia" w:ascii="仿宋_GB2312" w:hAnsi="Calibri" w:eastAsia="仿宋_GB2312" w:cs="Times New Roman"/>
          <w:color w:val="auto"/>
          <w:spacing w:val="-6"/>
          <w:kern w:val="2"/>
          <w:sz w:val="32"/>
          <w:szCs w:val="32"/>
          <w:lang w:val="en-US" w:eastAsia="zh-CN" w:bidi="ar"/>
        </w:rPr>
        <w:t>》</w:t>
      </w:r>
      <w:r>
        <w:rPr>
          <w:rFonts w:hint="eastAsia" w:ascii="仿宋_GB2312" w:hAnsi="仿宋_GB2312" w:eastAsia="仿宋_GB2312" w:cs="仿宋_GB2312"/>
          <w:color w:val="auto"/>
          <w:spacing w:val="-6"/>
          <w:sz w:val="32"/>
          <w:szCs w:val="32"/>
          <w:lang w:val="en-US" w:eastAsia="zh-CN"/>
        </w:rPr>
        <w:t>（附件5），</w:t>
      </w:r>
      <w:r>
        <w:rPr>
          <w:rFonts w:hint="eastAsia" w:ascii="仿宋_GB2312" w:hAnsi="仿宋_GB2312" w:eastAsia="仿宋_GB2312" w:cs="仿宋_GB2312"/>
          <w:color w:val="auto"/>
          <w:spacing w:val="-6"/>
          <w:sz w:val="32"/>
          <w:szCs w:val="32"/>
        </w:rPr>
        <w:t>加大对服务设施建设、政府购买服务、服务人员培训等方面的资金投入。鼓励社会力量通过捐赠、投资等方式参与</w:t>
      </w:r>
      <w:r>
        <w:rPr>
          <w:rFonts w:hint="eastAsia" w:ascii="仿宋_GB2312" w:hAnsi="仿宋_GB2312" w:eastAsia="仿宋_GB2312" w:cs="仿宋_GB2312"/>
          <w:color w:val="auto"/>
          <w:spacing w:val="-6"/>
          <w:sz w:val="32"/>
          <w:szCs w:val="32"/>
          <w:lang w:eastAsia="zh-CN"/>
        </w:rPr>
        <w:t>居家养老上门服务</w:t>
      </w:r>
      <w:r>
        <w:rPr>
          <w:rFonts w:hint="eastAsia" w:ascii="仿宋_GB2312" w:hAnsi="仿宋_GB2312" w:eastAsia="仿宋_GB2312" w:cs="仿宋_GB2312"/>
          <w:color w:val="auto"/>
          <w:spacing w:val="-6"/>
          <w:sz w:val="32"/>
          <w:szCs w:val="32"/>
        </w:rPr>
        <w:t>，拓宽资金筹集渠道。</w:t>
      </w:r>
    </w:p>
    <w:p w14:paraId="15170B5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（三）强化监督管理</w:t>
      </w:r>
    </w:p>
    <w:p w14:paraId="2482CF7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建立健全</w:t>
      </w:r>
      <w:r>
        <w:rPr>
          <w:rFonts w:hint="eastAsia" w:ascii="仿宋_GB2312" w:hAnsi="仿宋_GB2312" w:eastAsia="仿宋_GB2312" w:cs="仿宋_GB2312"/>
          <w:color w:val="auto"/>
          <w:sz w:val="32"/>
          <w:szCs w:val="32"/>
          <w:lang w:eastAsia="zh-CN"/>
        </w:rPr>
        <w:t>居家养老上门服务</w:t>
      </w:r>
      <w:r>
        <w:rPr>
          <w:rFonts w:hint="eastAsia" w:ascii="仿宋_GB2312" w:hAnsi="仿宋_GB2312" w:eastAsia="仿宋_GB2312" w:cs="仿宋_GB2312"/>
          <w:color w:val="auto"/>
          <w:sz w:val="32"/>
          <w:szCs w:val="32"/>
        </w:rPr>
        <w:t>监督管理机制，加强对服务机构、服务人员和服务质量的监督考核。制定服务标准和评价指标体系，定期开展服务质量评估，及时发现和解决问题，确保老年人享受到优质、高效的</w:t>
      </w:r>
      <w:r>
        <w:rPr>
          <w:rFonts w:hint="eastAsia" w:ascii="仿宋_GB2312" w:hAnsi="仿宋_GB2312" w:eastAsia="仿宋_GB2312" w:cs="仿宋_GB2312"/>
          <w:color w:val="auto"/>
          <w:sz w:val="32"/>
          <w:szCs w:val="32"/>
          <w:lang w:eastAsia="zh-CN"/>
        </w:rPr>
        <w:t>居家养老上门服务</w:t>
      </w:r>
      <w:r>
        <w:rPr>
          <w:rFonts w:hint="eastAsia" w:ascii="仿宋_GB2312" w:hAnsi="仿宋_GB2312" w:eastAsia="仿宋_GB2312" w:cs="仿宋_GB2312"/>
          <w:color w:val="auto"/>
          <w:sz w:val="32"/>
          <w:szCs w:val="32"/>
        </w:rPr>
        <w:t>。</w:t>
      </w:r>
    </w:p>
    <w:p w14:paraId="748E0F6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（四）加强宣传引导</w:t>
      </w:r>
    </w:p>
    <w:p w14:paraId="090B2FD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充分利用各种媒体，广泛宣传“五联五保”</w:t>
      </w:r>
      <w:r>
        <w:rPr>
          <w:rFonts w:hint="eastAsia" w:ascii="仿宋_GB2312" w:hAnsi="仿宋_GB2312" w:eastAsia="仿宋_GB2312" w:cs="仿宋_GB2312"/>
          <w:color w:val="auto"/>
          <w:sz w:val="32"/>
          <w:szCs w:val="32"/>
          <w:lang w:eastAsia="zh-CN"/>
        </w:rPr>
        <w:t>居家养老上门服务</w:t>
      </w:r>
      <w:r>
        <w:rPr>
          <w:rFonts w:hint="eastAsia" w:ascii="仿宋_GB2312" w:hAnsi="仿宋_GB2312" w:eastAsia="仿宋_GB2312" w:cs="仿宋_GB2312"/>
          <w:color w:val="auto"/>
          <w:sz w:val="32"/>
          <w:szCs w:val="32"/>
          <w:lang w:val="en-US" w:eastAsia="zh-CN"/>
        </w:rPr>
        <w:t>工作</w:t>
      </w:r>
      <w:r>
        <w:rPr>
          <w:rFonts w:hint="eastAsia" w:ascii="仿宋_GB2312" w:hAnsi="仿宋_GB2312" w:eastAsia="仿宋_GB2312" w:cs="仿宋_GB2312"/>
          <w:color w:val="auto"/>
          <w:sz w:val="32"/>
          <w:szCs w:val="32"/>
        </w:rPr>
        <w:t>的重要意义、服务内容和工作成效，提高社会各界对</w:t>
      </w:r>
      <w:r>
        <w:rPr>
          <w:rFonts w:hint="eastAsia" w:ascii="仿宋_GB2312" w:hAnsi="仿宋_GB2312" w:eastAsia="仿宋_GB2312" w:cs="仿宋_GB2312"/>
          <w:color w:val="auto"/>
          <w:sz w:val="32"/>
          <w:szCs w:val="32"/>
          <w:lang w:eastAsia="zh-CN"/>
        </w:rPr>
        <w:t>居家养老上门服务</w:t>
      </w:r>
      <w:r>
        <w:rPr>
          <w:rFonts w:hint="eastAsia" w:ascii="仿宋_GB2312" w:hAnsi="仿宋_GB2312" w:eastAsia="仿宋_GB2312" w:cs="仿宋_GB2312"/>
          <w:color w:val="auto"/>
          <w:sz w:val="32"/>
          <w:szCs w:val="32"/>
        </w:rPr>
        <w:t>的认知度和参与度，营造全社会关心支持养老服务事业发展的良好氛围。</w:t>
      </w:r>
    </w:p>
    <w:p w14:paraId="2A6102C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楷体_GB2312" w:hAnsi="楷体_GB2312" w:eastAsia="楷体_GB2312" w:cs="楷体_GB2312"/>
          <w:b w:val="0"/>
          <w:bCs w:val="0"/>
          <w:color w:val="auto"/>
          <w:sz w:val="32"/>
          <w:szCs w:val="32"/>
          <w:lang w:val="en-US" w:eastAsia="zh-CN"/>
        </w:rPr>
      </w:pPr>
      <w:r>
        <w:rPr>
          <w:rFonts w:hint="default" w:ascii="楷体_GB2312" w:hAnsi="楷体_GB2312" w:eastAsia="楷体_GB2312" w:cs="楷体_GB2312"/>
          <w:b w:val="0"/>
          <w:bCs w:val="0"/>
          <w:color w:val="auto"/>
          <w:sz w:val="32"/>
          <w:szCs w:val="32"/>
          <w:lang w:val="en-US" w:eastAsia="zh-CN"/>
        </w:rPr>
        <w:t>（五）深化社会服务拓展</w:t>
      </w:r>
    </w:p>
    <w:p w14:paraId="3F6BB5C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依托“五联五保”养老服务模式，精准对接多样化社会需求，持续拓展社会化居家养老上门服务体系，为建宁县老年人提供覆盖全生命周期、专业化、个性化的养老服务保障。</w:t>
      </w:r>
    </w:p>
    <w:p w14:paraId="20AC4DAC">
      <w:pPr>
        <w:pStyle w:val="3"/>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color w:val="auto"/>
          <w:sz w:val="32"/>
          <w:szCs w:val="32"/>
        </w:rPr>
      </w:pPr>
    </w:p>
    <w:p w14:paraId="24556D9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color w:val="auto"/>
          <w:sz w:val="32"/>
          <w:szCs w:val="32"/>
          <w:lang w:val="en-US" w:eastAsia="zh-CN"/>
        </w:rPr>
        <w:t>附件：</w:t>
      </w:r>
      <w:r>
        <w:rPr>
          <w:rFonts w:hint="eastAsia" w:ascii="仿宋_GB2312" w:hAnsi="仿宋_GB2312" w:eastAsia="仿宋_GB2312" w:cs="仿宋_GB2312"/>
          <w:color w:val="auto"/>
          <w:spacing w:val="-6"/>
          <w:sz w:val="32"/>
          <w:szCs w:val="32"/>
          <w:lang w:val="en-US" w:eastAsia="zh-CN"/>
        </w:rPr>
        <w:t>1.建宁县“五联五保”居家养老上门服务申请审批表</w:t>
      </w:r>
    </w:p>
    <w:p w14:paraId="6ED0482B">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default"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2.</w:t>
      </w:r>
      <w:r>
        <w:rPr>
          <w:rFonts w:hint="eastAsia" w:ascii="仿宋_GB2312" w:hAnsi="仿宋_GB2312" w:eastAsia="仿宋_GB2312" w:cs="仿宋_GB2312"/>
          <w:color w:val="auto"/>
          <w:spacing w:val="0"/>
          <w:sz w:val="32"/>
          <w:szCs w:val="32"/>
        </w:rPr>
        <w:t>建宁县</w:t>
      </w:r>
      <w:r>
        <w:rPr>
          <w:rFonts w:hint="eastAsia" w:ascii="仿宋_GB2312" w:hAnsi="仿宋_GB2312" w:eastAsia="仿宋_GB2312" w:cs="仿宋_GB2312"/>
          <w:color w:val="auto"/>
          <w:spacing w:val="0"/>
          <w:sz w:val="32"/>
          <w:szCs w:val="32"/>
          <w:lang w:eastAsia="zh-CN"/>
        </w:rPr>
        <w:t>“五联五保”</w:t>
      </w:r>
      <w:r>
        <w:rPr>
          <w:rFonts w:hint="eastAsia" w:ascii="仿宋_GB2312" w:hAnsi="仿宋_GB2312" w:eastAsia="仿宋_GB2312" w:cs="仿宋_GB2312"/>
          <w:color w:val="auto"/>
          <w:spacing w:val="0"/>
          <w:sz w:val="32"/>
          <w:szCs w:val="32"/>
        </w:rPr>
        <w:t>居家养老上门服务协议</w:t>
      </w:r>
    </w:p>
    <w:p w14:paraId="5EBA5F22">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3.</w:t>
      </w:r>
      <w:r>
        <w:rPr>
          <w:rFonts w:hint="eastAsia" w:ascii="仿宋_GB2312" w:hAnsi="仿宋_GB2312" w:eastAsia="仿宋_GB2312" w:cs="仿宋_GB2312"/>
          <w:color w:val="auto"/>
          <w:spacing w:val="0"/>
          <w:sz w:val="32"/>
          <w:szCs w:val="32"/>
        </w:rPr>
        <w:t>建宁县</w:t>
      </w:r>
      <w:r>
        <w:rPr>
          <w:rFonts w:hint="eastAsia" w:ascii="仿宋_GB2312" w:hAnsi="仿宋_GB2312" w:eastAsia="仿宋_GB2312" w:cs="仿宋_GB2312"/>
          <w:color w:val="auto"/>
          <w:spacing w:val="0"/>
          <w:sz w:val="32"/>
          <w:szCs w:val="32"/>
          <w:lang w:eastAsia="zh-CN"/>
        </w:rPr>
        <w:t>“五联五保”</w:t>
      </w:r>
      <w:r>
        <w:rPr>
          <w:rFonts w:hint="eastAsia" w:ascii="仿宋_GB2312" w:hAnsi="仿宋_GB2312" w:eastAsia="仿宋_GB2312" w:cs="仿宋_GB2312"/>
          <w:color w:val="auto"/>
          <w:spacing w:val="0"/>
          <w:sz w:val="32"/>
          <w:szCs w:val="32"/>
        </w:rPr>
        <w:t>居家养老上门服务指导目录</w:t>
      </w:r>
    </w:p>
    <w:p w14:paraId="14FA2A3F">
      <w:pPr>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4.</w:t>
      </w:r>
      <w:r>
        <w:rPr>
          <w:rFonts w:hint="eastAsia" w:ascii="仿宋_GB2312" w:hAnsi="仿宋_GB2312" w:eastAsia="仿宋_GB2312" w:cs="仿宋_GB2312"/>
          <w:color w:val="auto"/>
          <w:spacing w:val="0"/>
          <w:sz w:val="32"/>
          <w:szCs w:val="32"/>
        </w:rPr>
        <w:t>建宁县</w:t>
      </w:r>
      <w:r>
        <w:rPr>
          <w:rFonts w:hint="eastAsia" w:ascii="仿宋_GB2312" w:hAnsi="仿宋_GB2312" w:eastAsia="仿宋_GB2312" w:cs="仿宋_GB2312"/>
          <w:color w:val="auto"/>
          <w:spacing w:val="0"/>
          <w:sz w:val="32"/>
          <w:szCs w:val="32"/>
          <w:lang w:eastAsia="zh-CN"/>
        </w:rPr>
        <w:t>“五联五保”</w:t>
      </w:r>
      <w:r>
        <w:rPr>
          <w:rFonts w:hint="eastAsia" w:ascii="仿宋_GB2312" w:hAnsi="仿宋_GB2312" w:eastAsia="仿宋_GB2312" w:cs="仿宋_GB2312"/>
          <w:color w:val="auto"/>
          <w:spacing w:val="0"/>
          <w:sz w:val="32"/>
          <w:szCs w:val="32"/>
        </w:rPr>
        <w:t>居家养老上门服务指导清单</w:t>
      </w:r>
    </w:p>
    <w:p w14:paraId="4DD47525">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jc w:val="both"/>
        <w:textAlignment w:val="auto"/>
        <w:rPr>
          <w:rFonts w:hint="default"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5.</w:t>
      </w:r>
      <w:r>
        <w:rPr>
          <w:rFonts w:hint="eastAsia" w:ascii="仿宋_GB2312" w:hAnsi="仿宋_GB2312" w:eastAsia="仿宋_GB2312" w:cs="仿宋_GB2312"/>
          <w:color w:val="auto"/>
          <w:spacing w:val="0"/>
          <w:sz w:val="32"/>
          <w:szCs w:val="32"/>
          <w:lang w:eastAsia="zh-CN"/>
        </w:rPr>
        <w:t>建宁县“五联五保”居家养老上门服务项目资金测算</w:t>
      </w:r>
    </w:p>
    <w:p w14:paraId="0C68048B">
      <w:pPr>
        <w:pStyle w:val="2"/>
        <w:rPr>
          <w:rFonts w:hint="eastAsia"/>
          <w:color w:val="auto"/>
        </w:rPr>
      </w:pPr>
    </w:p>
    <w:p w14:paraId="1999AFCC">
      <w:pPr>
        <w:pStyle w:val="3"/>
        <w:rPr>
          <w:rFonts w:hint="eastAsia" w:ascii="仿宋_GB2312" w:hAnsi="仿宋_GB2312" w:eastAsia="仿宋_GB2312" w:cs="仿宋_GB2312"/>
          <w:color w:val="auto"/>
          <w:sz w:val="32"/>
          <w:szCs w:val="32"/>
        </w:rPr>
      </w:pPr>
    </w:p>
    <w:p w14:paraId="0C08D832">
      <w:pPr>
        <w:pStyle w:val="3"/>
        <w:rPr>
          <w:rFonts w:hint="eastAsia" w:ascii="仿宋_GB2312" w:hAnsi="仿宋_GB2312" w:eastAsia="仿宋_GB2312" w:cs="仿宋_GB2312"/>
          <w:color w:val="auto"/>
          <w:sz w:val="32"/>
          <w:szCs w:val="32"/>
        </w:rPr>
      </w:pPr>
    </w:p>
    <w:p w14:paraId="4477D830">
      <w:pPr>
        <w:pStyle w:val="3"/>
        <w:rPr>
          <w:rFonts w:hint="eastAsia" w:ascii="仿宋_GB2312" w:hAnsi="仿宋_GB2312" w:eastAsia="仿宋_GB2312" w:cs="仿宋_GB2312"/>
          <w:color w:val="auto"/>
          <w:sz w:val="32"/>
          <w:szCs w:val="32"/>
        </w:rPr>
      </w:pPr>
    </w:p>
    <w:p w14:paraId="51C74B4B">
      <w:pPr>
        <w:pStyle w:val="3"/>
        <w:rPr>
          <w:rFonts w:hint="eastAsia" w:ascii="仿宋_GB2312" w:hAnsi="仿宋_GB2312" w:eastAsia="仿宋_GB2312" w:cs="仿宋_GB2312"/>
          <w:color w:val="auto"/>
          <w:sz w:val="32"/>
          <w:szCs w:val="32"/>
        </w:rPr>
      </w:pPr>
    </w:p>
    <w:p w14:paraId="1C5C7AD3">
      <w:pPr>
        <w:pStyle w:val="3"/>
        <w:rPr>
          <w:rFonts w:hint="eastAsia" w:ascii="仿宋_GB2312" w:hAnsi="仿宋_GB2312" w:eastAsia="仿宋_GB2312" w:cs="仿宋_GB2312"/>
          <w:color w:val="auto"/>
          <w:sz w:val="32"/>
          <w:szCs w:val="32"/>
        </w:rPr>
      </w:pPr>
    </w:p>
    <w:p w14:paraId="538DF11A">
      <w:pPr>
        <w:pStyle w:val="3"/>
        <w:rPr>
          <w:rFonts w:hint="eastAsia" w:ascii="仿宋_GB2312" w:hAnsi="仿宋_GB2312" w:eastAsia="仿宋_GB2312" w:cs="仿宋_GB2312"/>
          <w:color w:val="auto"/>
          <w:sz w:val="32"/>
          <w:szCs w:val="32"/>
        </w:rPr>
      </w:pPr>
    </w:p>
    <w:p w14:paraId="5A382608">
      <w:pPr>
        <w:pStyle w:val="3"/>
        <w:keepNext w:val="0"/>
        <w:keepLines w:val="0"/>
        <w:pageBreakBefore w:val="0"/>
        <w:kinsoku w:val="0"/>
        <w:wordWrap/>
        <w:overflowPunct w:val="0"/>
        <w:topLinePunct w:val="0"/>
        <w:autoSpaceDE/>
        <w:autoSpaceDN/>
        <w:bidi w:val="0"/>
        <w:spacing w:line="560" w:lineRule="exact"/>
        <w:ind w:left="0" w:leftChars="0"/>
        <w:textAlignment w:val="auto"/>
        <w:rPr>
          <w:rFonts w:hint="eastAsia" w:ascii="黑体" w:hAnsi="黑体" w:eastAsia="黑体"/>
          <w:color w:val="auto"/>
          <w:sz w:val="32"/>
          <w:szCs w:val="32"/>
          <w:lang w:val="en-US" w:eastAsia="zh-CN"/>
        </w:rPr>
      </w:pPr>
      <w:r>
        <w:rPr>
          <w:rFonts w:ascii="黑体" w:hAnsi="黑体" w:eastAsia="黑体"/>
          <w:color w:val="auto"/>
          <w:sz w:val="32"/>
          <w:szCs w:val="32"/>
        </w:rPr>
        <w:t>附件</w:t>
      </w:r>
      <w:r>
        <w:rPr>
          <w:rFonts w:hint="eastAsia" w:ascii="黑体" w:hAnsi="黑体" w:eastAsia="黑体"/>
          <w:color w:val="auto"/>
          <w:sz w:val="32"/>
          <w:szCs w:val="32"/>
          <w:lang w:val="en-US" w:eastAsia="zh-CN"/>
        </w:rPr>
        <w:t>1</w:t>
      </w:r>
    </w:p>
    <w:p w14:paraId="405982E9">
      <w:pPr>
        <w:keepNext w:val="0"/>
        <w:keepLines w:val="0"/>
        <w:pageBreakBefore w:val="0"/>
        <w:wordWrap/>
        <w:topLinePunct w:val="0"/>
        <w:autoSpaceDE/>
        <w:autoSpaceDN/>
        <w:bidi w:val="0"/>
        <w:spacing w:line="560" w:lineRule="exact"/>
        <w:ind w:left="0" w:leftChars="0"/>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建宁县</w:t>
      </w:r>
      <w:r>
        <w:rPr>
          <w:rFonts w:hint="eastAsia" w:ascii="方正小标宋简体" w:hAnsi="方正小标宋简体" w:eastAsia="方正小标宋简体" w:cs="方正小标宋简体"/>
          <w:color w:val="auto"/>
          <w:sz w:val="44"/>
          <w:szCs w:val="44"/>
          <w:lang w:eastAsia="zh-CN"/>
        </w:rPr>
        <w:t>“五联五保”</w:t>
      </w:r>
      <w:r>
        <w:rPr>
          <w:rFonts w:hint="eastAsia" w:ascii="方正小标宋简体" w:hAnsi="方正小标宋简体" w:eastAsia="方正小标宋简体" w:cs="方正小标宋简体"/>
          <w:color w:val="auto"/>
          <w:sz w:val="44"/>
          <w:szCs w:val="44"/>
        </w:rPr>
        <w:t>居家养老上门服务</w:t>
      </w:r>
    </w:p>
    <w:p w14:paraId="1656C871">
      <w:pPr>
        <w:keepNext w:val="0"/>
        <w:keepLines w:val="0"/>
        <w:pageBreakBefore w:val="0"/>
        <w:wordWrap/>
        <w:topLinePunct w:val="0"/>
        <w:autoSpaceDE/>
        <w:autoSpaceDN/>
        <w:bidi w:val="0"/>
        <w:spacing w:line="560" w:lineRule="exact"/>
        <w:ind w:left="0" w:leftChars="0"/>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申请审批表</w:t>
      </w:r>
    </w:p>
    <w:p w14:paraId="6E8E63E1">
      <w:pPr>
        <w:keepNext w:val="0"/>
        <w:keepLines w:val="0"/>
        <w:pageBreakBefore w:val="0"/>
        <w:wordWrap/>
        <w:topLinePunct w:val="0"/>
        <w:autoSpaceDE/>
        <w:autoSpaceDN/>
        <w:bidi w:val="0"/>
        <w:adjustRightInd w:val="0"/>
        <w:snapToGrid w:val="0"/>
        <w:spacing w:line="560" w:lineRule="exact"/>
        <w:ind w:left="0" w:leftChars="0" w:firstLine="1120" w:firstLineChars="400"/>
        <w:jc w:val="right"/>
        <w:textAlignment w:val="auto"/>
        <w:rPr>
          <w:rFonts w:ascii="宋体" w:hAnsi="宋体" w:eastAsia="仿宋"/>
          <w:color w:val="auto"/>
          <w:sz w:val="28"/>
          <w:szCs w:val="28"/>
        </w:rPr>
      </w:pPr>
      <w:r>
        <w:rPr>
          <w:rFonts w:hint="eastAsia" w:ascii="宋体" w:hAnsi="宋体" w:eastAsia="仿宋"/>
          <w:color w:val="auto"/>
          <w:sz w:val="28"/>
          <w:szCs w:val="28"/>
        </w:rPr>
        <w:t>填表时间：</w:t>
      </w:r>
      <w:r>
        <w:rPr>
          <w:rFonts w:hint="eastAsia" w:ascii="宋体" w:hAnsi="宋体" w:eastAsia="仿宋"/>
          <w:color w:val="auto"/>
          <w:sz w:val="28"/>
          <w:szCs w:val="28"/>
          <w:u w:val="single"/>
        </w:rPr>
        <w:t xml:space="preserve">      </w:t>
      </w:r>
      <w:r>
        <w:rPr>
          <w:rFonts w:hint="eastAsia" w:ascii="宋体" w:hAnsi="宋体" w:eastAsia="仿宋"/>
          <w:color w:val="auto"/>
          <w:sz w:val="28"/>
          <w:szCs w:val="28"/>
        </w:rPr>
        <w:t>年</w:t>
      </w:r>
      <w:r>
        <w:rPr>
          <w:rFonts w:hint="eastAsia" w:ascii="宋体" w:hAnsi="宋体" w:eastAsia="仿宋"/>
          <w:color w:val="auto"/>
          <w:sz w:val="28"/>
          <w:szCs w:val="28"/>
          <w:u w:val="single"/>
        </w:rPr>
        <w:t xml:space="preserve">     </w:t>
      </w:r>
      <w:r>
        <w:rPr>
          <w:rFonts w:hint="eastAsia" w:ascii="宋体" w:hAnsi="宋体" w:eastAsia="仿宋"/>
          <w:color w:val="auto"/>
          <w:sz w:val="28"/>
          <w:szCs w:val="28"/>
        </w:rPr>
        <w:t>月</w:t>
      </w:r>
      <w:r>
        <w:rPr>
          <w:rFonts w:hint="eastAsia" w:ascii="宋体" w:hAnsi="宋体" w:eastAsia="仿宋"/>
          <w:color w:val="auto"/>
          <w:sz w:val="28"/>
          <w:szCs w:val="28"/>
          <w:u w:val="single"/>
        </w:rPr>
        <w:t xml:space="preserve">    </w:t>
      </w:r>
      <w:r>
        <w:rPr>
          <w:rFonts w:hint="eastAsia" w:ascii="宋体" w:hAnsi="宋体" w:eastAsia="仿宋"/>
          <w:color w:val="auto"/>
          <w:sz w:val="28"/>
          <w:szCs w:val="28"/>
        </w:rPr>
        <w:t>日</w:t>
      </w:r>
    </w:p>
    <w:tbl>
      <w:tblPr>
        <w:tblStyle w:val="9"/>
        <w:tblpPr w:leftFromText="180" w:rightFromText="180" w:vertAnchor="text" w:horzAnchor="page" w:tblpXSpec="center" w:tblpY="267"/>
        <w:tblOverlap w:val="never"/>
        <w:tblW w:w="985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515"/>
        <w:gridCol w:w="879"/>
        <w:gridCol w:w="299"/>
        <w:gridCol w:w="600"/>
        <w:gridCol w:w="672"/>
        <w:gridCol w:w="158"/>
        <w:gridCol w:w="442"/>
        <w:gridCol w:w="650"/>
        <w:gridCol w:w="204"/>
        <w:gridCol w:w="840"/>
        <w:gridCol w:w="394"/>
        <w:gridCol w:w="1080"/>
        <w:gridCol w:w="650"/>
        <w:gridCol w:w="1476"/>
      </w:tblGrid>
      <w:tr w14:paraId="778CA34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52" w:hRule="atLeast"/>
          <w:jc w:val="center"/>
        </w:trPr>
        <w:tc>
          <w:tcPr>
            <w:tcW w:w="15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458A57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textAlignment w:val="auto"/>
              <w:rPr>
                <w:rFonts w:hint="default" w:ascii="宋体" w:hAnsi="宋体"/>
                <w:color w:val="auto"/>
                <w:sz w:val="21"/>
                <w:szCs w:val="21"/>
              </w:rPr>
            </w:pPr>
            <w:r>
              <w:rPr>
                <w:rFonts w:hint="eastAsia" w:ascii="宋体" w:hAnsi="宋体"/>
                <w:color w:val="auto"/>
                <w:sz w:val="21"/>
                <w:szCs w:val="21"/>
              </w:rPr>
              <w:t>申请人姓名</w:t>
            </w:r>
          </w:p>
        </w:tc>
        <w:tc>
          <w:tcPr>
            <w:tcW w:w="1178"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0CD4CF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textAlignment w:val="auto"/>
              <w:rPr>
                <w:rFonts w:hint="default" w:ascii="宋体" w:hAnsi="宋体"/>
                <w:color w:val="auto"/>
                <w:sz w:val="21"/>
                <w:szCs w:val="21"/>
              </w:rPr>
            </w:pPr>
            <w:r>
              <w:rPr>
                <w:rFonts w:hint="eastAsia" w:ascii="宋体" w:hAnsi="宋体"/>
                <w:color w:val="auto"/>
                <w:sz w:val="21"/>
                <w:szCs w:val="21"/>
              </w:rPr>
              <w:t> </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6483BD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textAlignment w:val="auto"/>
              <w:rPr>
                <w:rFonts w:hint="default" w:ascii="宋体" w:hAnsi="宋体"/>
                <w:color w:val="auto"/>
                <w:sz w:val="21"/>
                <w:szCs w:val="21"/>
              </w:rPr>
            </w:pPr>
            <w:r>
              <w:rPr>
                <w:rFonts w:hint="eastAsia" w:ascii="宋体" w:hAnsi="宋体"/>
                <w:color w:val="auto"/>
                <w:sz w:val="21"/>
                <w:szCs w:val="21"/>
              </w:rPr>
              <w:t>性别</w:t>
            </w:r>
          </w:p>
        </w:tc>
        <w:tc>
          <w:tcPr>
            <w:tcW w:w="672"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256E92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textAlignment w:val="auto"/>
              <w:rPr>
                <w:rFonts w:hint="default" w:ascii="宋体" w:hAnsi="宋体"/>
                <w:color w:val="auto"/>
                <w:sz w:val="21"/>
                <w:szCs w:val="21"/>
              </w:rPr>
            </w:pPr>
            <w:r>
              <w:rPr>
                <w:rFonts w:hint="eastAsia" w:ascii="宋体" w:hAnsi="宋体"/>
                <w:color w:val="auto"/>
                <w:sz w:val="21"/>
                <w:szCs w:val="21"/>
              </w:rPr>
              <w:t> </w:t>
            </w:r>
          </w:p>
        </w:tc>
        <w:tc>
          <w:tcPr>
            <w:tcW w:w="600"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508DF7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textAlignment w:val="auto"/>
              <w:rPr>
                <w:rFonts w:hint="default" w:ascii="宋体" w:hAnsi="宋体"/>
                <w:color w:val="auto"/>
                <w:sz w:val="21"/>
                <w:szCs w:val="21"/>
              </w:rPr>
            </w:pPr>
            <w:r>
              <w:rPr>
                <w:rFonts w:hint="eastAsia" w:ascii="宋体" w:hAnsi="宋体"/>
                <w:color w:val="auto"/>
                <w:sz w:val="21"/>
                <w:szCs w:val="21"/>
              </w:rPr>
              <w:t>年龄</w:t>
            </w:r>
          </w:p>
        </w:tc>
        <w:tc>
          <w:tcPr>
            <w:tcW w:w="650"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5FC8CB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textAlignment w:val="auto"/>
              <w:rPr>
                <w:rFonts w:hint="default" w:ascii="宋体" w:hAnsi="宋体"/>
                <w:color w:val="auto"/>
                <w:sz w:val="21"/>
                <w:szCs w:val="21"/>
              </w:rPr>
            </w:pPr>
            <w:r>
              <w:rPr>
                <w:rFonts w:hint="eastAsia" w:ascii="宋体" w:hAnsi="宋体"/>
                <w:color w:val="auto"/>
                <w:sz w:val="21"/>
                <w:szCs w:val="21"/>
              </w:rPr>
              <w:t> </w:t>
            </w:r>
          </w:p>
        </w:tc>
        <w:tc>
          <w:tcPr>
            <w:tcW w:w="1044"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6D5292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textAlignment w:val="auto"/>
              <w:rPr>
                <w:rFonts w:hint="default" w:ascii="宋体" w:hAnsi="宋体"/>
                <w:color w:val="auto"/>
                <w:sz w:val="21"/>
                <w:szCs w:val="21"/>
              </w:rPr>
            </w:pPr>
            <w:r>
              <w:rPr>
                <w:rFonts w:hint="eastAsia" w:ascii="宋体" w:hAnsi="宋体"/>
                <w:color w:val="auto"/>
                <w:sz w:val="21"/>
                <w:szCs w:val="21"/>
              </w:rPr>
              <w:t>身份证号</w:t>
            </w:r>
          </w:p>
        </w:tc>
        <w:tc>
          <w:tcPr>
            <w:tcW w:w="2124"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683F26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textAlignment w:val="auto"/>
              <w:rPr>
                <w:rFonts w:hint="default" w:ascii="宋体" w:hAnsi="宋体"/>
                <w:color w:val="auto"/>
                <w:sz w:val="21"/>
                <w:szCs w:val="21"/>
              </w:rPr>
            </w:pPr>
            <w:r>
              <w:rPr>
                <w:rFonts w:hint="eastAsia" w:ascii="宋体" w:hAnsi="宋体"/>
                <w:color w:val="auto"/>
                <w:sz w:val="21"/>
                <w:szCs w:val="21"/>
              </w:rPr>
              <w:t> </w:t>
            </w:r>
          </w:p>
        </w:tc>
        <w:tc>
          <w:tcPr>
            <w:tcW w:w="1476" w:type="dxa"/>
            <w:vMerge w:val="restart"/>
            <w:tcBorders>
              <w:top w:val="single" w:color="000000" w:sz="6" w:space="0"/>
              <w:left w:val="single" w:color="000000" w:sz="6" w:space="0"/>
              <w:right w:val="single" w:color="000000" w:sz="6" w:space="0"/>
            </w:tcBorders>
            <w:shd w:val="clear" w:color="auto" w:fill="FFFFFF"/>
            <w:tcMar>
              <w:top w:w="75" w:type="dxa"/>
              <w:left w:w="75" w:type="dxa"/>
              <w:bottom w:w="75" w:type="dxa"/>
              <w:right w:w="75" w:type="dxa"/>
            </w:tcMar>
            <w:vAlign w:val="center"/>
          </w:tcPr>
          <w:p w14:paraId="7EFBD0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jc w:val="center"/>
              <w:textAlignment w:val="auto"/>
              <w:rPr>
                <w:rFonts w:hint="default" w:ascii="宋体" w:hAnsi="宋体"/>
                <w:color w:val="auto"/>
                <w:sz w:val="21"/>
                <w:szCs w:val="21"/>
              </w:rPr>
            </w:pPr>
            <w:r>
              <w:rPr>
                <w:rFonts w:hint="eastAsia" w:ascii="宋体" w:hAnsi="宋体"/>
                <w:color w:val="auto"/>
                <w:sz w:val="21"/>
                <w:szCs w:val="21"/>
                <w:lang w:val="en-US" w:eastAsia="zh-CN"/>
              </w:rPr>
              <w:t>1寸</w:t>
            </w:r>
            <w:r>
              <w:rPr>
                <w:rFonts w:hint="eastAsia" w:ascii="宋体" w:hAnsi="宋体"/>
                <w:color w:val="auto"/>
                <w:sz w:val="21"/>
                <w:szCs w:val="21"/>
              </w:rPr>
              <w:t>照片</w:t>
            </w:r>
          </w:p>
        </w:tc>
      </w:tr>
      <w:tr w14:paraId="2C85F50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15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1F6AB5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jc w:val="center"/>
              <w:textAlignment w:val="auto"/>
              <w:rPr>
                <w:rFonts w:hint="default" w:ascii="宋体" w:hAnsi="宋体"/>
                <w:color w:val="auto"/>
                <w:sz w:val="21"/>
                <w:szCs w:val="21"/>
              </w:rPr>
            </w:pPr>
            <w:r>
              <w:rPr>
                <w:rFonts w:hint="eastAsia" w:ascii="宋体" w:hAnsi="宋体"/>
                <w:color w:val="auto"/>
                <w:sz w:val="21"/>
                <w:szCs w:val="21"/>
              </w:rPr>
              <w:t>户籍地址</w:t>
            </w:r>
          </w:p>
        </w:tc>
        <w:tc>
          <w:tcPr>
            <w:tcW w:w="6868" w:type="dxa"/>
            <w:gridSpan w:val="12"/>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7278F0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textAlignment w:val="auto"/>
              <w:rPr>
                <w:rFonts w:hint="default" w:ascii="宋体" w:hAnsi="宋体"/>
                <w:color w:val="auto"/>
                <w:sz w:val="21"/>
                <w:szCs w:val="21"/>
              </w:rPr>
            </w:pPr>
          </w:p>
        </w:tc>
        <w:tc>
          <w:tcPr>
            <w:tcW w:w="1476" w:type="dxa"/>
            <w:vMerge w:val="continue"/>
            <w:tcBorders>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5981DB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textAlignment w:val="auto"/>
              <w:rPr>
                <w:rFonts w:hint="default" w:ascii="宋体" w:hAnsi="宋体"/>
                <w:color w:val="auto"/>
                <w:sz w:val="21"/>
                <w:szCs w:val="21"/>
              </w:rPr>
            </w:pPr>
          </w:p>
        </w:tc>
      </w:tr>
      <w:tr w14:paraId="54FE5C0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15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7CE7D4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jc w:val="center"/>
              <w:textAlignment w:val="auto"/>
              <w:rPr>
                <w:rFonts w:hint="default" w:ascii="宋体" w:hAnsi="宋体"/>
                <w:color w:val="auto"/>
                <w:sz w:val="21"/>
                <w:szCs w:val="21"/>
              </w:rPr>
            </w:pPr>
            <w:r>
              <w:rPr>
                <w:rFonts w:hint="eastAsia" w:ascii="宋体" w:hAnsi="宋体"/>
                <w:color w:val="auto"/>
                <w:sz w:val="21"/>
                <w:szCs w:val="21"/>
              </w:rPr>
              <w:t>现居住地址</w:t>
            </w:r>
          </w:p>
        </w:tc>
        <w:tc>
          <w:tcPr>
            <w:tcW w:w="6868" w:type="dxa"/>
            <w:gridSpan w:val="12"/>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41B360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textAlignment w:val="auto"/>
              <w:rPr>
                <w:rFonts w:hint="default" w:ascii="宋体" w:hAnsi="宋体"/>
                <w:color w:val="auto"/>
                <w:sz w:val="21"/>
                <w:szCs w:val="21"/>
              </w:rPr>
            </w:pPr>
          </w:p>
        </w:tc>
        <w:tc>
          <w:tcPr>
            <w:tcW w:w="1476" w:type="dxa"/>
            <w:vMerge w:val="continue"/>
            <w:tcBorders>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78726C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textAlignment w:val="auto"/>
              <w:rPr>
                <w:rFonts w:hint="default" w:ascii="宋体" w:hAnsi="宋体"/>
                <w:color w:val="auto"/>
                <w:sz w:val="21"/>
                <w:szCs w:val="21"/>
              </w:rPr>
            </w:pPr>
          </w:p>
        </w:tc>
      </w:tr>
      <w:tr w14:paraId="0902685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32" w:hRule="atLeast"/>
          <w:jc w:val="center"/>
        </w:trPr>
        <w:tc>
          <w:tcPr>
            <w:tcW w:w="15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1A8FF3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jc w:val="center"/>
              <w:textAlignment w:val="auto"/>
              <w:rPr>
                <w:rFonts w:hint="default" w:ascii="宋体" w:hAnsi="宋体"/>
                <w:color w:val="auto"/>
                <w:sz w:val="21"/>
                <w:szCs w:val="21"/>
              </w:rPr>
            </w:pPr>
            <w:r>
              <w:rPr>
                <w:rFonts w:hint="eastAsia" w:ascii="宋体" w:hAnsi="宋体"/>
                <w:color w:val="auto"/>
                <w:sz w:val="21"/>
                <w:szCs w:val="21"/>
              </w:rPr>
              <w:t>能力评估</w:t>
            </w:r>
          </w:p>
        </w:tc>
        <w:tc>
          <w:tcPr>
            <w:tcW w:w="6868" w:type="dxa"/>
            <w:gridSpan w:val="12"/>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0BF2D0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textAlignment w:val="auto"/>
              <w:rPr>
                <w:rFonts w:hint="default" w:ascii="宋体" w:hAnsi="宋体"/>
                <w:color w:val="auto"/>
                <w:sz w:val="21"/>
                <w:szCs w:val="21"/>
              </w:rPr>
            </w:pPr>
            <w:r>
              <w:rPr>
                <w:rFonts w:hint="eastAsia" w:ascii="宋体" w:hAnsi="宋体"/>
                <w:color w:val="auto"/>
                <w:sz w:val="21"/>
                <w:szCs w:val="21"/>
              </w:rPr>
              <w:t xml:space="preserve">□基本正常  □轻度失能  □中度失能  □重度失能  □未评估 </w:t>
            </w:r>
          </w:p>
        </w:tc>
        <w:tc>
          <w:tcPr>
            <w:tcW w:w="1476" w:type="dxa"/>
            <w:vMerge w:val="continue"/>
            <w:tcBorders>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2F9408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textAlignment w:val="auto"/>
              <w:rPr>
                <w:rFonts w:hint="default" w:ascii="宋体" w:hAnsi="宋体"/>
                <w:color w:val="auto"/>
                <w:sz w:val="21"/>
                <w:szCs w:val="21"/>
              </w:rPr>
            </w:pPr>
          </w:p>
        </w:tc>
      </w:tr>
      <w:tr w14:paraId="2FDF348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611" w:hRule="atLeast"/>
          <w:jc w:val="center"/>
        </w:trPr>
        <w:tc>
          <w:tcPr>
            <w:tcW w:w="15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1DDE80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jc w:val="center"/>
              <w:textAlignment w:val="auto"/>
              <w:rPr>
                <w:rFonts w:hint="default" w:ascii="宋体" w:hAnsi="宋体"/>
                <w:color w:val="auto"/>
                <w:sz w:val="21"/>
                <w:szCs w:val="21"/>
              </w:rPr>
            </w:pPr>
            <w:r>
              <w:rPr>
                <w:rFonts w:hint="eastAsia" w:ascii="宋体" w:hAnsi="宋体"/>
                <w:color w:val="auto"/>
                <w:sz w:val="21"/>
                <w:szCs w:val="21"/>
              </w:rPr>
              <w:t>申请人</w:t>
            </w:r>
          </w:p>
          <w:p w14:paraId="6FE170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jc w:val="center"/>
              <w:textAlignment w:val="auto"/>
              <w:rPr>
                <w:rFonts w:hint="default" w:ascii="宋体" w:hAnsi="宋体"/>
                <w:color w:val="auto"/>
                <w:sz w:val="21"/>
                <w:szCs w:val="21"/>
              </w:rPr>
            </w:pPr>
            <w:r>
              <w:rPr>
                <w:rFonts w:hint="eastAsia" w:ascii="宋体" w:hAnsi="宋体"/>
                <w:color w:val="auto"/>
                <w:sz w:val="21"/>
                <w:szCs w:val="21"/>
              </w:rPr>
              <w:t>身份类别</w:t>
            </w:r>
          </w:p>
        </w:tc>
        <w:tc>
          <w:tcPr>
            <w:tcW w:w="8344" w:type="dxa"/>
            <w:gridSpan w:val="13"/>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5DCF27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textAlignment w:val="auto"/>
              <w:rPr>
                <w:rFonts w:hint="default" w:ascii="宋体" w:hAnsi="宋体"/>
                <w:color w:val="auto"/>
                <w:sz w:val="21"/>
                <w:szCs w:val="21"/>
              </w:rPr>
            </w:pPr>
            <w:r>
              <w:rPr>
                <w:rFonts w:hint="eastAsia" w:ascii="宋体" w:hAnsi="宋体"/>
                <w:color w:val="auto"/>
                <w:sz w:val="21"/>
                <w:szCs w:val="21"/>
              </w:rPr>
              <w:t>□</w:t>
            </w:r>
            <w:r>
              <w:rPr>
                <w:rFonts w:hint="eastAsia" w:ascii="宋体" w:hAnsi="宋体"/>
                <w:color w:val="auto"/>
                <w:sz w:val="21"/>
                <w:szCs w:val="21"/>
                <w:lang w:eastAsia="zh-CN"/>
              </w:rPr>
              <w:t>特困人口中的老年人</w:t>
            </w:r>
            <w:r>
              <w:rPr>
                <w:rFonts w:hint="eastAsia" w:ascii="宋体" w:hAnsi="宋体"/>
                <w:color w:val="auto"/>
                <w:sz w:val="21"/>
                <w:szCs w:val="21"/>
              </w:rPr>
              <w:t>；</w:t>
            </w:r>
          </w:p>
          <w:p w14:paraId="2AFCB1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textAlignment w:val="auto"/>
              <w:rPr>
                <w:rFonts w:hint="eastAsia" w:ascii="宋体" w:hAnsi="宋体" w:eastAsiaTheme="minorEastAsia"/>
                <w:color w:val="auto"/>
                <w:sz w:val="21"/>
                <w:szCs w:val="21"/>
                <w:lang w:eastAsia="zh-CN"/>
              </w:rPr>
            </w:pPr>
            <w:r>
              <w:rPr>
                <w:rFonts w:hint="eastAsia" w:ascii="宋体" w:hAnsi="宋体"/>
                <w:color w:val="auto"/>
                <w:sz w:val="21"/>
                <w:szCs w:val="21"/>
              </w:rPr>
              <w:t>□</w:t>
            </w:r>
            <w:r>
              <w:rPr>
                <w:rFonts w:hint="eastAsia" w:ascii="宋体" w:hAnsi="宋体"/>
                <w:color w:val="auto"/>
                <w:sz w:val="21"/>
                <w:szCs w:val="21"/>
                <w:lang w:eastAsia="zh-CN"/>
              </w:rPr>
              <w:t>失能人口</w:t>
            </w:r>
            <w:r>
              <w:rPr>
                <w:rFonts w:hint="eastAsia" w:ascii="宋体" w:hAnsi="宋体"/>
                <w:color w:val="auto"/>
                <w:sz w:val="21"/>
                <w:szCs w:val="21"/>
              </w:rPr>
              <w:t>中的老年人</w:t>
            </w:r>
            <w:r>
              <w:rPr>
                <w:rFonts w:hint="eastAsia" w:ascii="宋体" w:hAnsi="宋体"/>
                <w:color w:val="auto"/>
                <w:sz w:val="21"/>
                <w:szCs w:val="21"/>
                <w:lang w:eastAsia="zh-CN"/>
              </w:rPr>
              <w:t>；</w:t>
            </w:r>
          </w:p>
          <w:p w14:paraId="4ED554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textAlignment w:val="auto"/>
              <w:rPr>
                <w:rFonts w:hint="eastAsia" w:ascii="宋体" w:hAnsi="宋体" w:eastAsiaTheme="minorEastAsia"/>
                <w:color w:val="auto"/>
                <w:sz w:val="21"/>
                <w:szCs w:val="21"/>
                <w:lang w:eastAsia="zh-CN"/>
              </w:rPr>
            </w:pPr>
            <w:r>
              <w:rPr>
                <w:rFonts w:hint="eastAsia" w:ascii="宋体" w:hAnsi="宋体"/>
                <w:color w:val="auto"/>
                <w:sz w:val="21"/>
                <w:szCs w:val="21"/>
              </w:rPr>
              <w:t>□</w:t>
            </w:r>
            <w:r>
              <w:rPr>
                <w:rFonts w:hint="eastAsia" w:ascii="宋体" w:hAnsi="宋体"/>
                <w:color w:val="auto"/>
                <w:sz w:val="21"/>
                <w:szCs w:val="21"/>
                <w:lang w:eastAsia="zh-CN"/>
              </w:rPr>
              <w:t>半失能人</w:t>
            </w:r>
            <w:r>
              <w:rPr>
                <w:rFonts w:hint="eastAsia" w:ascii="宋体" w:hAnsi="宋体"/>
                <w:color w:val="auto"/>
                <w:sz w:val="21"/>
                <w:szCs w:val="21"/>
              </w:rPr>
              <w:t>口中的老年人</w:t>
            </w:r>
            <w:r>
              <w:rPr>
                <w:rFonts w:hint="eastAsia" w:ascii="宋体" w:hAnsi="宋体"/>
                <w:color w:val="auto"/>
                <w:sz w:val="21"/>
                <w:szCs w:val="21"/>
                <w:lang w:eastAsia="zh-CN"/>
              </w:rPr>
              <w:t>；</w:t>
            </w:r>
          </w:p>
          <w:p w14:paraId="04628F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textAlignment w:val="auto"/>
              <w:rPr>
                <w:rFonts w:hint="default" w:ascii="宋体" w:hAnsi="宋体"/>
                <w:color w:val="auto"/>
                <w:sz w:val="21"/>
                <w:szCs w:val="21"/>
              </w:rPr>
            </w:pPr>
            <w:r>
              <w:rPr>
                <w:rFonts w:hint="eastAsia" w:ascii="宋体" w:hAnsi="宋体"/>
                <w:color w:val="auto"/>
                <w:sz w:val="21"/>
                <w:szCs w:val="21"/>
              </w:rPr>
              <w:t>□</w:t>
            </w:r>
            <w:r>
              <w:rPr>
                <w:rFonts w:hint="eastAsia" w:ascii="宋体" w:hAnsi="宋体"/>
                <w:color w:val="auto"/>
                <w:sz w:val="21"/>
                <w:szCs w:val="21"/>
                <w:lang w:eastAsia="zh-CN"/>
              </w:rPr>
              <w:t>低保人</w:t>
            </w:r>
            <w:r>
              <w:rPr>
                <w:rFonts w:hint="eastAsia" w:ascii="宋体" w:hAnsi="宋体"/>
                <w:color w:val="auto"/>
                <w:sz w:val="21"/>
                <w:szCs w:val="21"/>
              </w:rPr>
              <w:t>口中的老年人；</w:t>
            </w:r>
          </w:p>
          <w:p w14:paraId="23383D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textAlignment w:val="auto"/>
              <w:rPr>
                <w:rFonts w:hint="eastAsia" w:ascii="宋体" w:hAnsi="宋体"/>
                <w:color w:val="auto"/>
                <w:sz w:val="21"/>
                <w:szCs w:val="21"/>
              </w:rPr>
            </w:pPr>
            <w:r>
              <w:rPr>
                <w:rFonts w:hint="eastAsia" w:ascii="宋体" w:hAnsi="宋体"/>
                <w:color w:val="auto"/>
                <w:sz w:val="21"/>
                <w:szCs w:val="21"/>
              </w:rPr>
              <w:t>□</w:t>
            </w:r>
            <w:r>
              <w:rPr>
                <w:rFonts w:hint="eastAsia" w:ascii="宋体" w:hAnsi="宋体"/>
                <w:color w:val="auto"/>
                <w:sz w:val="21"/>
                <w:szCs w:val="21"/>
                <w:lang w:eastAsia="zh-CN"/>
              </w:rPr>
              <w:t>低保边缘人口</w:t>
            </w:r>
            <w:r>
              <w:rPr>
                <w:rFonts w:hint="eastAsia" w:ascii="宋体" w:hAnsi="宋体"/>
                <w:color w:val="auto"/>
                <w:sz w:val="21"/>
                <w:szCs w:val="21"/>
              </w:rPr>
              <w:t>中的老年人；</w:t>
            </w:r>
          </w:p>
          <w:p w14:paraId="59545E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textAlignment w:val="auto"/>
              <w:rPr>
                <w:rFonts w:hint="eastAsia" w:ascii="宋体" w:hAnsi="宋体"/>
                <w:color w:val="auto"/>
                <w:sz w:val="21"/>
                <w:szCs w:val="21"/>
              </w:rPr>
            </w:pPr>
            <w:r>
              <w:rPr>
                <w:rFonts w:hint="eastAsia" w:ascii="宋体" w:hAnsi="宋体"/>
                <w:color w:val="auto"/>
                <w:sz w:val="21"/>
                <w:szCs w:val="21"/>
              </w:rPr>
              <w:t>□重度残疾人</w:t>
            </w:r>
            <w:r>
              <w:rPr>
                <w:rFonts w:hint="eastAsia" w:ascii="宋体" w:hAnsi="宋体"/>
                <w:color w:val="auto"/>
                <w:sz w:val="21"/>
                <w:szCs w:val="21"/>
                <w:lang w:eastAsia="zh-CN"/>
              </w:rPr>
              <w:t>口</w:t>
            </w:r>
            <w:r>
              <w:rPr>
                <w:rFonts w:hint="eastAsia" w:ascii="宋体" w:hAnsi="宋体"/>
                <w:color w:val="auto"/>
                <w:sz w:val="21"/>
                <w:szCs w:val="21"/>
              </w:rPr>
              <w:t>中的老年人；</w:t>
            </w:r>
          </w:p>
        </w:tc>
      </w:tr>
      <w:tr w14:paraId="785514E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83" w:hRule="atLeast"/>
          <w:jc w:val="center"/>
        </w:trPr>
        <w:tc>
          <w:tcPr>
            <w:tcW w:w="15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7F3BEB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jc w:val="center"/>
              <w:textAlignment w:val="auto"/>
              <w:rPr>
                <w:rFonts w:hint="default" w:ascii="宋体" w:hAnsi="宋体"/>
                <w:color w:val="auto"/>
                <w:sz w:val="21"/>
                <w:szCs w:val="21"/>
              </w:rPr>
            </w:pPr>
            <w:r>
              <w:rPr>
                <w:rFonts w:hint="eastAsia" w:ascii="宋体" w:hAnsi="宋体"/>
                <w:color w:val="auto"/>
                <w:sz w:val="21"/>
                <w:szCs w:val="21"/>
              </w:rPr>
              <w:t>联系人（或代理人）</w:t>
            </w:r>
          </w:p>
        </w:tc>
        <w:tc>
          <w:tcPr>
            <w:tcW w:w="879"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250F1E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jc w:val="center"/>
              <w:textAlignment w:val="auto"/>
              <w:rPr>
                <w:rFonts w:hint="default" w:ascii="宋体" w:hAnsi="宋体"/>
                <w:color w:val="auto"/>
                <w:sz w:val="21"/>
                <w:szCs w:val="21"/>
              </w:rPr>
            </w:pPr>
            <w:r>
              <w:rPr>
                <w:rFonts w:hint="eastAsia" w:ascii="宋体" w:hAnsi="宋体"/>
                <w:color w:val="auto"/>
                <w:sz w:val="21"/>
                <w:szCs w:val="21"/>
              </w:rPr>
              <w:t>姓名</w:t>
            </w:r>
          </w:p>
        </w:tc>
        <w:tc>
          <w:tcPr>
            <w:tcW w:w="1729"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50F7E0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textAlignment w:val="auto"/>
              <w:rPr>
                <w:rFonts w:hint="default" w:ascii="宋体" w:hAnsi="宋体"/>
                <w:color w:val="auto"/>
                <w:sz w:val="21"/>
                <w:szCs w:val="21"/>
              </w:rPr>
            </w:pPr>
          </w:p>
        </w:tc>
        <w:tc>
          <w:tcPr>
            <w:tcW w:w="1296"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08C285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textAlignment w:val="auto"/>
              <w:rPr>
                <w:rFonts w:hint="default" w:ascii="宋体" w:hAnsi="宋体"/>
                <w:color w:val="auto"/>
                <w:sz w:val="21"/>
                <w:szCs w:val="21"/>
              </w:rPr>
            </w:pPr>
            <w:r>
              <w:rPr>
                <w:rFonts w:hint="eastAsia" w:ascii="宋体" w:hAnsi="宋体"/>
                <w:color w:val="auto"/>
                <w:sz w:val="21"/>
                <w:szCs w:val="21"/>
              </w:rPr>
              <w:t>与本人关系</w:t>
            </w:r>
          </w:p>
        </w:tc>
        <w:tc>
          <w:tcPr>
            <w:tcW w:w="1234"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0D05E5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textAlignment w:val="auto"/>
              <w:rPr>
                <w:rFonts w:hint="default" w:ascii="宋体" w:hAnsi="宋体"/>
                <w:color w:val="auto"/>
                <w:sz w:val="21"/>
                <w:szCs w:val="21"/>
              </w:rPr>
            </w:pPr>
          </w:p>
        </w:tc>
        <w:tc>
          <w:tcPr>
            <w:tcW w:w="1080"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269AEF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textAlignment w:val="auto"/>
              <w:rPr>
                <w:rFonts w:hint="default" w:ascii="宋体" w:hAnsi="宋体"/>
                <w:color w:val="auto"/>
                <w:sz w:val="21"/>
                <w:szCs w:val="21"/>
              </w:rPr>
            </w:pPr>
            <w:r>
              <w:rPr>
                <w:rFonts w:hint="eastAsia" w:ascii="宋体" w:hAnsi="宋体"/>
                <w:color w:val="auto"/>
                <w:sz w:val="21"/>
                <w:szCs w:val="21"/>
              </w:rPr>
              <w:t>联系电话</w:t>
            </w:r>
          </w:p>
        </w:tc>
        <w:tc>
          <w:tcPr>
            <w:tcW w:w="2126"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6765E8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textAlignment w:val="auto"/>
              <w:rPr>
                <w:rFonts w:hint="default" w:ascii="宋体" w:hAnsi="宋体"/>
                <w:color w:val="auto"/>
                <w:sz w:val="21"/>
                <w:szCs w:val="21"/>
              </w:rPr>
            </w:pPr>
          </w:p>
        </w:tc>
      </w:tr>
      <w:tr w14:paraId="3FA13A9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80" w:hRule="atLeast"/>
          <w:jc w:val="center"/>
        </w:trPr>
        <w:tc>
          <w:tcPr>
            <w:tcW w:w="15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243685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jc w:val="center"/>
              <w:textAlignment w:val="auto"/>
              <w:rPr>
                <w:rFonts w:hint="default" w:ascii="宋体" w:hAnsi="宋体"/>
                <w:color w:val="auto"/>
                <w:sz w:val="21"/>
                <w:szCs w:val="21"/>
              </w:rPr>
            </w:pPr>
            <w:r>
              <w:rPr>
                <w:rFonts w:hint="eastAsia" w:ascii="宋体" w:hAnsi="宋体"/>
                <w:color w:val="auto"/>
                <w:sz w:val="21"/>
                <w:szCs w:val="21"/>
              </w:rPr>
              <w:t>提交申请人材料目录</w:t>
            </w:r>
          </w:p>
        </w:tc>
        <w:tc>
          <w:tcPr>
            <w:tcW w:w="8344" w:type="dxa"/>
            <w:gridSpan w:val="13"/>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14269E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textAlignment w:val="auto"/>
              <w:rPr>
                <w:rFonts w:hint="default" w:ascii="宋体" w:hAnsi="宋体"/>
                <w:color w:val="auto"/>
                <w:sz w:val="21"/>
                <w:szCs w:val="21"/>
              </w:rPr>
            </w:pPr>
            <w:r>
              <w:rPr>
                <w:rFonts w:hint="eastAsia" w:ascii="宋体" w:hAnsi="宋体"/>
                <w:color w:val="auto"/>
                <w:sz w:val="21"/>
                <w:szCs w:val="21"/>
              </w:rPr>
              <w:t>□身份证复印件</w:t>
            </w:r>
          </w:p>
          <w:p w14:paraId="285591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textAlignment w:val="auto"/>
              <w:rPr>
                <w:rFonts w:hint="default" w:ascii="宋体" w:hAnsi="宋体"/>
                <w:color w:val="auto"/>
                <w:sz w:val="21"/>
                <w:szCs w:val="21"/>
              </w:rPr>
            </w:pPr>
            <w:r>
              <w:rPr>
                <w:rFonts w:hint="eastAsia" w:ascii="宋体" w:hAnsi="宋体"/>
                <w:color w:val="auto"/>
                <w:sz w:val="21"/>
                <w:szCs w:val="21"/>
              </w:rPr>
              <w:t>□户口簿首页及个人页复印件</w:t>
            </w:r>
          </w:p>
          <w:p w14:paraId="7A18B1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textAlignment w:val="auto"/>
              <w:rPr>
                <w:rFonts w:hint="default" w:ascii="宋体" w:hAnsi="宋体"/>
                <w:color w:val="auto"/>
                <w:sz w:val="21"/>
                <w:szCs w:val="21"/>
              </w:rPr>
            </w:pPr>
            <w:r>
              <w:rPr>
                <w:rFonts w:hint="eastAsia" w:ascii="宋体" w:hAnsi="宋体"/>
                <w:color w:val="auto"/>
                <w:sz w:val="21"/>
                <w:szCs w:val="21"/>
              </w:rPr>
              <w:t>□与申请身份相对应的资格证明材料</w:t>
            </w:r>
          </w:p>
          <w:p w14:paraId="0C6337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textAlignment w:val="auto"/>
              <w:rPr>
                <w:rFonts w:hint="default" w:ascii="宋体" w:hAnsi="宋体"/>
                <w:color w:val="auto"/>
                <w:sz w:val="21"/>
                <w:szCs w:val="21"/>
              </w:rPr>
            </w:pPr>
            <w:r>
              <w:rPr>
                <w:rFonts w:hint="eastAsia" w:ascii="宋体" w:hAnsi="宋体"/>
                <w:color w:val="auto"/>
                <w:sz w:val="21"/>
                <w:szCs w:val="21"/>
              </w:rPr>
              <w:t>□能力评估证明材料</w:t>
            </w:r>
          </w:p>
          <w:p w14:paraId="5196D4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textAlignment w:val="auto"/>
              <w:rPr>
                <w:rFonts w:hint="default" w:ascii="宋体" w:hAnsi="宋体"/>
                <w:color w:val="auto"/>
                <w:sz w:val="21"/>
                <w:szCs w:val="21"/>
              </w:rPr>
            </w:pPr>
            <w:r>
              <w:rPr>
                <w:rFonts w:hint="eastAsia" w:ascii="宋体" w:hAnsi="宋体"/>
                <w:color w:val="auto"/>
                <w:sz w:val="21"/>
                <w:szCs w:val="21"/>
              </w:rPr>
              <w:t>□其他证明材料</w:t>
            </w:r>
          </w:p>
        </w:tc>
      </w:tr>
      <w:tr w14:paraId="36AAD48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9859" w:type="dxa"/>
            <w:gridSpan w:val="14"/>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649400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textAlignment w:val="auto"/>
              <w:rPr>
                <w:rFonts w:hint="default" w:ascii="宋体" w:hAnsi="宋体"/>
                <w:color w:val="auto"/>
                <w:sz w:val="21"/>
                <w:szCs w:val="21"/>
                <w:u w:val="single"/>
              </w:rPr>
            </w:pPr>
            <w:r>
              <w:rPr>
                <w:rFonts w:hint="eastAsia" w:ascii="宋体" w:hAnsi="宋体"/>
                <w:color w:val="auto"/>
                <w:sz w:val="21"/>
                <w:szCs w:val="21"/>
              </w:rPr>
              <w:t>申请人其他需说明情况</w:t>
            </w:r>
            <w:r>
              <w:rPr>
                <w:rFonts w:hint="eastAsia" w:ascii="宋体" w:hAnsi="宋体"/>
                <w:color w:val="auto"/>
                <w:sz w:val="21"/>
                <w:szCs w:val="21"/>
                <w:u w:val="single"/>
              </w:rPr>
              <w:t xml:space="preserve">                                                            </w:t>
            </w:r>
          </w:p>
          <w:p w14:paraId="230764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textAlignment w:val="auto"/>
              <w:rPr>
                <w:rFonts w:hint="default" w:ascii="宋体" w:hAnsi="宋体"/>
                <w:color w:val="auto"/>
                <w:sz w:val="21"/>
                <w:szCs w:val="21"/>
                <w:u w:val="single"/>
              </w:rPr>
            </w:pPr>
          </w:p>
          <w:p w14:paraId="50C512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5880" w:firstLineChars="2800"/>
              <w:textAlignment w:val="auto"/>
              <w:rPr>
                <w:rFonts w:hint="default" w:ascii="宋体" w:hAnsi="宋体"/>
                <w:color w:val="auto"/>
                <w:sz w:val="21"/>
                <w:szCs w:val="21"/>
              </w:rPr>
            </w:pPr>
            <w:r>
              <w:rPr>
                <w:rFonts w:hint="eastAsia" w:ascii="宋体" w:hAnsi="宋体"/>
                <w:color w:val="auto"/>
                <w:sz w:val="21"/>
                <w:szCs w:val="21"/>
              </w:rPr>
              <w:t>申请人（或代理人）</w:t>
            </w:r>
          </w:p>
        </w:tc>
      </w:tr>
      <w:tr w14:paraId="05AF595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1515" w:type="dxa"/>
            <w:tcBorders>
              <w:top w:val="single" w:color="000000" w:sz="6" w:space="0"/>
              <w:left w:val="single" w:color="000000" w:sz="6" w:space="0"/>
              <w:bottom w:val="single" w:color="000000" w:sz="6" w:space="0"/>
              <w:right w:val="single" w:color="auto" w:sz="4" w:space="0"/>
            </w:tcBorders>
            <w:shd w:val="clear" w:color="auto" w:fill="FFFFFF"/>
            <w:tcMar>
              <w:top w:w="75" w:type="dxa"/>
              <w:left w:w="75" w:type="dxa"/>
              <w:bottom w:w="75" w:type="dxa"/>
              <w:right w:w="75" w:type="dxa"/>
            </w:tcMar>
            <w:vAlign w:val="center"/>
          </w:tcPr>
          <w:p w14:paraId="1E8D3F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jc w:val="center"/>
              <w:textAlignment w:val="auto"/>
              <w:rPr>
                <w:rFonts w:hint="default" w:ascii="宋体" w:hAnsi="宋体"/>
                <w:color w:val="auto"/>
                <w:kern w:val="2"/>
                <w:sz w:val="21"/>
                <w:szCs w:val="21"/>
              </w:rPr>
            </w:pPr>
            <w:r>
              <w:rPr>
                <w:rFonts w:hint="eastAsia" w:ascii="宋体" w:hAnsi="宋体"/>
                <w:color w:val="auto"/>
                <w:sz w:val="21"/>
                <w:szCs w:val="21"/>
              </w:rPr>
              <w:t>村（居）初审</w:t>
            </w:r>
          </w:p>
        </w:tc>
        <w:tc>
          <w:tcPr>
            <w:tcW w:w="8344" w:type="dxa"/>
            <w:gridSpan w:val="13"/>
            <w:tcBorders>
              <w:top w:val="single" w:color="000000" w:sz="6" w:space="0"/>
              <w:left w:val="single" w:color="auto" w:sz="4"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39CE43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5880" w:firstLineChars="2800"/>
              <w:textAlignment w:val="auto"/>
              <w:rPr>
                <w:rFonts w:hint="default" w:ascii="宋体" w:hAnsi="宋体"/>
                <w:color w:val="auto"/>
                <w:sz w:val="21"/>
                <w:szCs w:val="21"/>
              </w:rPr>
            </w:pPr>
          </w:p>
        </w:tc>
      </w:tr>
      <w:tr w14:paraId="6250039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88" w:hRule="atLeast"/>
          <w:jc w:val="center"/>
        </w:trPr>
        <w:tc>
          <w:tcPr>
            <w:tcW w:w="1515" w:type="dxa"/>
            <w:tcBorders>
              <w:top w:val="single" w:color="000000" w:sz="6" w:space="0"/>
              <w:left w:val="single" w:color="000000" w:sz="6" w:space="0"/>
              <w:bottom w:val="single" w:color="000000" w:sz="6" w:space="0"/>
              <w:right w:val="single" w:color="auto" w:sz="4" w:space="0"/>
            </w:tcBorders>
            <w:shd w:val="clear" w:color="auto" w:fill="FFFFFF"/>
            <w:tcMar>
              <w:top w:w="75" w:type="dxa"/>
              <w:left w:w="75" w:type="dxa"/>
              <w:bottom w:w="75" w:type="dxa"/>
              <w:right w:w="75" w:type="dxa"/>
            </w:tcMar>
            <w:vAlign w:val="center"/>
          </w:tcPr>
          <w:p w14:paraId="3F9296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jc w:val="center"/>
              <w:textAlignment w:val="auto"/>
              <w:rPr>
                <w:rFonts w:hint="default" w:ascii="宋体" w:hAnsi="宋体"/>
                <w:color w:val="auto"/>
                <w:kern w:val="2"/>
                <w:sz w:val="21"/>
                <w:szCs w:val="21"/>
              </w:rPr>
            </w:pPr>
            <w:r>
              <w:rPr>
                <w:rFonts w:hint="eastAsia" w:ascii="宋体" w:hAnsi="宋体"/>
                <w:color w:val="auto"/>
                <w:sz w:val="21"/>
                <w:szCs w:val="21"/>
              </w:rPr>
              <w:t>乡镇审核</w:t>
            </w:r>
          </w:p>
        </w:tc>
        <w:tc>
          <w:tcPr>
            <w:tcW w:w="8344" w:type="dxa"/>
            <w:gridSpan w:val="13"/>
            <w:tcBorders>
              <w:top w:val="single" w:color="000000" w:sz="6" w:space="0"/>
              <w:left w:val="single" w:color="auto" w:sz="4"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603898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5880" w:firstLineChars="2800"/>
              <w:textAlignment w:val="auto"/>
              <w:rPr>
                <w:rFonts w:hint="default" w:ascii="宋体" w:hAnsi="宋体"/>
                <w:color w:val="auto"/>
                <w:sz w:val="21"/>
                <w:szCs w:val="21"/>
              </w:rPr>
            </w:pPr>
          </w:p>
        </w:tc>
      </w:tr>
      <w:tr w14:paraId="5874D41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77" w:hRule="atLeast"/>
          <w:jc w:val="center"/>
        </w:trPr>
        <w:tc>
          <w:tcPr>
            <w:tcW w:w="1515" w:type="dxa"/>
            <w:tcBorders>
              <w:top w:val="single" w:color="000000" w:sz="6" w:space="0"/>
              <w:left w:val="single" w:color="000000" w:sz="6" w:space="0"/>
              <w:bottom w:val="single" w:color="000000" w:sz="6" w:space="0"/>
              <w:right w:val="single" w:color="auto" w:sz="4" w:space="0"/>
            </w:tcBorders>
            <w:shd w:val="clear" w:color="auto" w:fill="FFFFFF"/>
            <w:tcMar>
              <w:top w:w="75" w:type="dxa"/>
              <w:left w:w="75" w:type="dxa"/>
              <w:bottom w:w="75" w:type="dxa"/>
              <w:right w:w="75" w:type="dxa"/>
            </w:tcMar>
            <w:vAlign w:val="center"/>
          </w:tcPr>
          <w:p w14:paraId="2E9E66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jc w:val="center"/>
              <w:textAlignment w:val="auto"/>
              <w:rPr>
                <w:rFonts w:hint="default" w:ascii="宋体" w:hAnsi="宋体"/>
                <w:color w:val="auto"/>
                <w:kern w:val="2"/>
                <w:sz w:val="21"/>
                <w:szCs w:val="21"/>
              </w:rPr>
            </w:pPr>
            <w:r>
              <w:rPr>
                <w:rFonts w:hint="eastAsia" w:ascii="宋体" w:hAnsi="宋体"/>
                <w:color w:val="auto"/>
                <w:sz w:val="21"/>
                <w:szCs w:val="21"/>
              </w:rPr>
              <w:t>县</w:t>
            </w:r>
            <w:r>
              <w:rPr>
                <w:rFonts w:hint="eastAsia" w:ascii="宋体" w:hAnsi="宋体"/>
                <w:color w:val="auto"/>
                <w:sz w:val="21"/>
                <w:szCs w:val="21"/>
                <w:lang w:eastAsia="zh-CN"/>
              </w:rPr>
              <w:t>民政和人社局</w:t>
            </w:r>
            <w:r>
              <w:rPr>
                <w:rFonts w:hint="eastAsia" w:ascii="宋体" w:hAnsi="宋体"/>
                <w:color w:val="auto"/>
                <w:sz w:val="21"/>
                <w:szCs w:val="21"/>
              </w:rPr>
              <w:t>审批</w:t>
            </w:r>
          </w:p>
        </w:tc>
        <w:tc>
          <w:tcPr>
            <w:tcW w:w="8344" w:type="dxa"/>
            <w:gridSpan w:val="13"/>
            <w:tcBorders>
              <w:top w:val="single" w:color="000000" w:sz="6" w:space="0"/>
              <w:left w:val="single" w:color="auto" w:sz="4"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0D1756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firstLine="5880" w:firstLineChars="2800"/>
              <w:textAlignment w:val="auto"/>
              <w:rPr>
                <w:rFonts w:hint="default" w:ascii="宋体" w:hAnsi="宋体"/>
                <w:color w:val="auto"/>
                <w:sz w:val="21"/>
                <w:szCs w:val="21"/>
              </w:rPr>
            </w:pPr>
          </w:p>
        </w:tc>
      </w:tr>
    </w:tbl>
    <w:p w14:paraId="12AF8CD1">
      <w:pPr>
        <w:pStyle w:val="3"/>
        <w:keepNext w:val="0"/>
        <w:keepLines w:val="0"/>
        <w:pageBreakBefore w:val="0"/>
        <w:kinsoku w:val="0"/>
        <w:wordWrap/>
        <w:overflowPunct w:val="0"/>
        <w:topLinePunct w:val="0"/>
        <w:autoSpaceDE/>
        <w:autoSpaceDN/>
        <w:bidi w:val="0"/>
        <w:spacing w:line="560" w:lineRule="exact"/>
        <w:ind w:left="0" w:leftChars="0"/>
        <w:textAlignment w:val="auto"/>
        <w:rPr>
          <w:rFonts w:ascii="黑体" w:hAnsi="黑体" w:eastAsia="黑体"/>
          <w:color w:val="auto"/>
          <w:sz w:val="32"/>
          <w:szCs w:val="32"/>
        </w:rPr>
      </w:pPr>
    </w:p>
    <w:p w14:paraId="66B07D8C">
      <w:pPr>
        <w:pStyle w:val="3"/>
        <w:keepNext w:val="0"/>
        <w:keepLines w:val="0"/>
        <w:pageBreakBefore w:val="0"/>
        <w:kinsoku w:val="0"/>
        <w:wordWrap/>
        <w:overflowPunct w:val="0"/>
        <w:topLinePunct w:val="0"/>
        <w:autoSpaceDE/>
        <w:autoSpaceDN/>
        <w:bidi w:val="0"/>
        <w:spacing w:line="560" w:lineRule="exact"/>
        <w:ind w:left="0" w:leftChars="0"/>
        <w:textAlignment w:val="auto"/>
        <w:rPr>
          <w:rFonts w:hint="eastAsia" w:ascii="黑体" w:hAnsi="黑体" w:eastAsia="黑体"/>
          <w:color w:val="auto"/>
          <w:sz w:val="32"/>
          <w:szCs w:val="32"/>
          <w:lang w:val="en-US" w:eastAsia="zh-CN"/>
        </w:rPr>
      </w:pPr>
      <w:r>
        <w:rPr>
          <w:rFonts w:ascii="黑体" w:hAnsi="黑体" w:eastAsia="黑体"/>
          <w:color w:val="auto"/>
          <w:sz w:val="32"/>
          <w:szCs w:val="32"/>
        </w:rPr>
        <w:t>附件</w:t>
      </w:r>
      <w:r>
        <w:rPr>
          <w:rFonts w:hint="eastAsia" w:ascii="黑体" w:hAnsi="黑体" w:eastAsia="黑体"/>
          <w:color w:val="auto"/>
          <w:sz w:val="32"/>
          <w:szCs w:val="32"/>
          <w:lang w:val="en-US" w:eastAsia="zh-CN"/>
        </w:rPr>
        <w:t>2</w:t>
      </w:r>
    </w:p>
    <w:p w14:paraId="7BDDDABF">
      <w:pPr>
        <w:pStyle w:val="3"/>
        <w:keepNext w:val="0"/>
        <w:keepLines w:val="0"/>
        <w:pageBreakBefore w:val="0"/>
        <w:kinsoku w:val="0"/>
        <w:wordWrap/>
        <w:overflowPunct w:val="0"/>
        <w:topLinePunct w:val="0"/>
        <w:autoSpaceDE/>
        <w:autoSpaceDN/>
        <w:bidi w:val="0"/>
        <w:spacing w:line="560" w:lineRule="exact"/>
        <w:ind w:left="0" w:leftChars="0"/>
        <w:textAlignment w:val="auto"/>
        <w:rPr>
          <w:rFonts w:hint="eastAsia" w:ascii="黑体" w:hAnsi="黑体" w:eastAsia="黑体"/>
          <w:color w:val="auto"/>
          <w:sz w:val="32"/>
          <w:szCs w:val="32"/>
          <w:lang w:val="en-US" w:eastAsia="zh-CN"/>
        </w:rPr>
      </w:pPr>
    </w:p>
    <w:p w14:paraId="51F20C15">
      <w:pPr>
        <w:keepNext w:val="0"/>
        <w:keepLines w:val="0"/>
        <w:pageBreakBefore w:val="0"/>
        <w:wordWrap/>
        <w:topLinePunct w:val="0"/>
        <w:autoSpaceDE/>
        <w:autoSpaceDN/>
        <w:bidi w:val="0"/>
        <w:spacing w:line="560" w:lineRule="exact"/>
        <w:ind w:left="0" w:leftChars="0"/>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建宁县</w:t>
      </w:r>
      <w:r>
        <w:rPr>
          <w:rFonts w:hint="eastAsia" w:ascii="方正小标宋简体" w:hAnsi="方正小标宋简体" w:eastAsia="方正小标宋简体" w:cs="方正小标宋简体"/>
          <w:color w:val="auto"/>
          <w:sz w:val="44"/>
          <w:szCs w:val="44"/>
          <w:lang w:eastAsia="zh-CN"/>
        </w:rPr>
        <w:t>“五联五保”</w:t>
      </w:r>
      <w:r>
        <w:rPr>
          <w:rFonts w:hint="eastAsia" w:ascii="方正小标宋简体" w:hAnsi="方正小标宋简体" w:eastAsia="方正小标宋简体" w:cs="方正小标宋简体"/>
          <w:color w:val="auto"/>
          <w:sz w:val="44"/>
          <w:szCs w:val="44"/>
        </w:rPr>
        <w:t>居家养老上门服务协议</w:t>
      </w:r>
    </w:p>
    <w:p w14:paraId="55A809A6">
      <w:pPr>
        <w:keepNext w:val="0"/>
        <w:keepLines w:val="0"/>
        <w:pageBreakBefore w:val="0"/>
        <w:wordWrap/>
        <w:topLinePunct w:val="0"/>
        <w:autoSpaceDE/>
        <w:autoSpaceDN/>
        <w:bidi w:val="0"/>
        <w:spacing w:line="560" w:lineRule="exact"/>
        <w:ind w:left="0" w:leftChars="0"/>
        <w:textAlignment w:val="auto"/>
        <w:rPr>
          <w:rFonts w:ascii="宋体" w:hAnsi="宋体"/>
          <w:color w:val="auto"/>
          <w:szCs w:val="32"/>
        </w:rPr>
      </w:pPr>
    </w:p>
    <w:p w14:paraId="1B5794FC">
      <w:pPr>
        <w:keepNext w:val="0"/>
        <w:keepLines w:val="0"/>
        <w:pageBreakBefore w:val="0"/>
        <w:kinsoku/>
        <w:wordWrap/>
        <w:overflowPunct/>
        <w:topLinePunct w:val="0"/>
        <w:autoSpaceDE/>
        <w:autoSpaceDN/>
        <w:bidi w:val="0"/>
        <w:adjustRightInd w:val="0"/>
        <w:snapToGrid w:val="0"/>
        <w:spacing w:line="540" w:lineRule="exact"/>
        <w:ind w:left="0" w:leftChars="0"/>
        <w:textAlignment w:val="auto"/>
        <w:rPr>
          <w:rFonts w:ascii="仿宋_GB2312" w:hAnsi="宋体" w:eastAsia="仿宋_GB2312"/>
          <w:bCs/>
          <w:color w:val="auto"/>
          <w:sz w:val="28"/>
          <w:szCs w:val="28"/>
        </w:rPr>
      </w:pPr>
      <w:r>
        <w:rPr>
          <w:rFonts w:hint="eastAsia" w:ascii="仿宋_GB2312" w:hAnsi="宋体" w:eastAsia="仿宋_GB2312"/>
          <w:bCs/>
          <w:color w:val="auto"/>
          <w:sz w:val="28"/>
          <w:szCs w:val="28"/>
        </w:rPr>
        <w:t>承接机构</w:t>
      </w:r>
      <w:r>
        <w:rPr>
          <w:rFonts w:hint="eastAsia" w:ascii="仿宋_GB2312" w:hAnsi="宋体" w:eastAsia="仿宋_GB2312"/>
          <w:b/>
          <w:color w:val="auto"/>
          <w:sz w:val="28"/>
          <w:szCs w:val="28"/>
        </w:rPr>
        <w:t xml:space="preserve">： </w:t>
      </w:r>
      <w:r>
        <w:rPr>
          <w:rFonts w:hint="eastAsia" w:ascii="仿宋_GB2312" w:hAnsi="宋体" w:eastAsia="仿宋_GB2312"/>
          <w:b/>
          <w:color w:val="auto"/>
          <w:sz w:val="28"/>
          <w:szCs w:val="28"/>
          <w:u w:val="single"/>
        </w:rPr>
        <w:t xml:space="preserve">              </w:t>
      </w:r>
      <w:r>
        <w:rPr>
          <w:rFonts w:hint="eastAsia" w:ascii="仿宋_GB2312" w:hAnsi="宋体" w:eastAsia="仿宋_GB2312"/>
          <w:bCs/>
          <w:color w:val="auto"/>
          <w:sz w:val="28"/>
          <w:szCs w:val="28"/>
          <w:u w:val="single"/>
        </w:rPr>
        <w:t xml:space="preserve">               </w:t>
      </w:r>
      <w:r>
        <w:rPr>
          <w:rFonts w:hint="eastAsia" w:ascii="仿宋_GB2312" w:hAnsi="宋体" w:eastAsia="仿宋_GB2312"/>
          <w:bCs/>
          <w:color w:val="auto"/>
          <w:sz w:val="28"/>
          <w:szCs w:val="28"/>
        </w:rPr>
        <w:t xml:space="preserve">  </w:t>
      </w:r>
    </w:p>
    <w:p w14:paraId="0DA8118C">
      <w:pPr>
        <w:keepNext w:val="0"/>
        <w:keepLines w:val="0"/>
        <w:pageBreakBefore w:val="0"/>
        <w:kinsoku/>
        <w:wordWrap/>
        <w:overflowPunct/>
        <w:topLinePunct w:val="0"/>
        <w:autoSpaceDE/>
        <w:autoSpaceDN/>
        <w:bidi w:val="0"/>
        <w:adjustRightInd w:val="0"/>
        <w:snapToGrid w:val="0"/>
        <w:spacing w:line="540" w:lineRule="exact"/>
        <w:ind w:left="0" w:leftChars="0"/>
        <w:textAlignment w:val="auto"/>
        <w:rPr>
          <w:rFonts w:ascii="仿宋_GB2312" w:hAnsi="宋体" w:eastAsia="仿宋_GB2312"/>
          <w:bCs/>
          <w:color w:val="auto"/>
          <w:sz w:val="28"/>
          <w:szCs w:val="28"/>
        </w:rPr>
      </w:pPr>
      <w:r>
        <w:rPr>
          <w:rFonts w:hint="eastAsia" w:ascii="仿宋_GB2312" w:hAnsi="宋体" w:eastAsia="仿宋_GB2312"/>
          <w:bCs/>
          <w:color w:val="auto"/>
          <w:sz w:val="28"/>
          <w:szCs w:val="28"/>
        </w:rPr>
        <w:t>服务对象</w:t>
      </w:r>
      <w:r>
        <w:rPr>
          <w:rFonts w:hint="eastAsia" w:ascii="仿宋_GB2312" w:hAnsi="宋体" w:eastAsia="仿宋_GB2312"/>
          <w:b/>
          <w:color w:val="auto"/>
          <w:sz w:val="28"/>
          <w:szCs w:val="28"/>
        </w:rPr>
        <w:t>：</w:t>
      </w:r>
      <w:r>
        <w:rPr>
          <w:rFonts w:hint="eastAsia" w:ascii="仿宋_GB2312" w:hAnsi="宋体" w:eastAsia="仿宋_GB2312"/>
          <w:bCs/>
          <w:color w:val="auto"/>
          <w:sz w:val="28"/>
          <w:szCs w:val="28"/>
        </w:rPr>
        <w:t xml:space="preserve"> </w:t>
      </w:r>
      <w:r>
        <w:rPr>
          <w:rFonts w:hint="eastAsia" w:ascii="仿宋_GB2312" w:hAnsi="宋体" w:eastAsia="仿宋_GB2312"/>
          <w:bCs/>
          <w:color w:val="auto"/>
          <w:sz w:val="28"/>
          <w:szCs w:val="28"/>
          <w:u w:val="single"/>
        </w:rPr>
        <w:t xml:space="preserve">                             </w:t>
      </w:r>
      <w:r>
        <w:rPr>
          <w:rFonts w:hint="eastAsia" w:ascii="仿宋_GB2312" w:hAnsi="宋体" w:eastAsia="仿宋_GB2312"/>
          <w:bCs/>
          <w:color w:val="auto"/>
          <w:sz w:val="28"/>
          <w:szCs w:val="28"/>
        </w:rPr>
        <w:t xml:space="preserve">            </w:t>
      </w:r>
    </w:p>
    <w:p w14:paraId="2FAC2EE8">
      <w:pPr>
        <w:keepNext w:val="0"/>
        <w:keepLines w:val="0"/>
        <w:pageBreakBefore w:val="0"/>
        <w:kinsoku/>
        <w:wordWrap/>
        <w:overflowPunct/>
        <w:topLinePunct w:val="0"/>
        <w:autoSpaceDE/>
        <w:autoSpaceDN/>
        <w:bidi w:val="0"/>
        <w:adjustRightInd w:val="0"/>
        <w:spacing w:line="540" w:lineRule="exact"/>
        <w:ind w:left="0" w:leftChars="0" w:firstLine="560" w:firstLineChars="200"/>
        <w:jc w:val="left"/>
        <w:textAlignment w:val="auto"/>
        <w:rPr>
          <w:rFonts w:ascii="仿宋_GB2312" w:hAnsi="宋体" w:eastAsia="仿宋_GB2312"/>
          <w:color w:val="auto"/>
          <w:sz w:val="28"/>
          <w:szCs w:val="28"/>
        </w:rPr>
      </w:pPr>
      <w:r>
        <w:rPr>
          <w:rFonts w:hint="eastAsia" w:ascii="仿宋_GB2312" w:hAnsi="仿宋_GB2312" w:eastAsia="仿宋_GB2312" w:cs="仿宋_GB2312"/>
          <w:color w:val="auto"/>
          <w:sz w:val="28"/>
          <w:szCs w:val="28"/>
        </w:rPr>
        <w:t>为贯彻落实国家积极应对人口老龄化战略，实施</w:t>
      </w:r>
      <w:r>
        <w:rPr>
          <w:rFonts w:hint="eastAsia" w:ascii="仿宋_GB2312" w:hAnsi="仿宋_GB2312" w:eastAsia="仿宋_GB2312" w:cs="仿宋_GB2312"/>
          <w:color w:val="auto"/>
          <w:sz w:val="28"/>
          <w:szCs w:val="28"/>
          <w:lang w:eastAsia="zh-CN"/>
        </w:rPr>
        <w:t>居家养老上门服务</w:t>
      </w:r>
      <w:r>
        <w:rPr>
          <w:rFonts w:hint="eastAsia" w:ascii="仿宋_GB2312" w:hAnsi="仿宋_GB2312" w:eastAsia="仿宋_GB2312" w:cs="仿宋_GB2312"/>
          <w:color w:val="auto"/>
          <w:sz w:val="28"/>
          <w:szCs w:val="28"/>
        </w:rPr>
        <w:t>，根据《建宁县</w:t>
      </w:r>
      <w:r>
        <w:rPr>
          <w:rFonts w:hint="eastAsia" w:ascii="仿宋_GB2312" w:hAnsi="仿宋_GB2312" w:eastAsia="仿宋_GB2312" w:cs="仿宋_GB2312"/>
          <w:color w:val="auto"/>
          <w:sz w:val="28"/>
          <w:szCs w:val="28"/>
          <w:lang w:eastAsia="zh-CN"/>
        </w:rPr>
        <w:t>“五联五保”居家养老上门服务项目</w:t>
      </w:r>
      <w:r>
        <w:rPr>
          <w:rFonts w:hint="eastAsia" w:ascii="仿宋_GB2312" w:hAnsi="仿宋_GB2312" w:eastAsia="仿宋_GB2312" w:cs="仿宋_GB2312"/>
          <w:color w:val="auto"/>
          <w:sz w:val="28"/>
          <w:szCs w:val="28"/>
        </w:rPr>
        <w:t>实施方案》精神，经双方协商一致签订本协议</w:t>
      </w:r>
      <w:r>
        <w:rPr>
          <w:rFonts w:hint="eastAsia" w:ascii="仿宋_GB2312" w:hAnsi="宋体" w:eastAsia="仿宋_GB2312"/>
          <w:color w:val="auto"/>
          <w:sz w:val="28"/>
          <w:szCs w:val="28"/>
        </w:rPr>
        <w:t>。</w:t>
      </w:r>
    </w:p>
    <w:p w14:paraId="674B60F7">
      <w:pPr>
        <w:keepNext w:val="0"/>
        <w:keepLines w:val="0"/>
        <w:pageBreakBefore w:val="0"/>
        <w:kinsoku/>
        <w:wordWrap/>
        <w:overflowPunct/>
        <w:topLinePunct w:val="0"/>
        <w:autoSpaceDE/>
        <w:autoSpaceDN/>
        <w:bidi w:val="0"/>
        <w:adjustRightInd w:val="0"/>
        <w:snapToGrid w:val="0"/>
        <w:spacing w:line="540" w:lineRule="exact"/>
        <w:ind w:left="0" w:leftChars="0" w:firstLine="560" w:firstLineChars="200"/>
        <w:jc w:val="left"/>
        <w:textAlignment w:val="auto"/>
        <w:rPr>
          <w:rFonts w:ascii="黑体" w:hAnsi="黑体" w:eastAsia="黑体" w:cs="黑体"/>
          <w:bCs/>
          <w:color w:val="auto"/>
          <w:sz w:val="28"/>
          <w:szCs w:val="28"/>
        </w:rPr>
      </w:pPr>
      <w:r>
        <w:rPr>
          <w:rFonts w:hint="eastAsia" w:ascii="黑体" w:hAnsi="黑体" w:eastAsia="黑体" w:cs="黑体"/>
          <w:bCs/>
          <w:color w:val="auto"/>
          <w:sz w:val="28"/>
          <w:szCs w:val="28"/>
        </w:rPr>
        <w:t>一、服务地点</w:t>
      </w:r>
    </w:p>
    <w:p w14:paraId="77550D1B">
      <w:pPr>
        <w:keepNext w:val="0"/>
        <w:keepLines w:val="0"/>
        <w:pageBreakBefore w:val="0"/>
        <w:kinsoku/>
        <w:wordWrap/>
        <w:overflowPunct/>
        <w:topLinePunct w:val="0"/>
        <w:autoSpaceDE/>
        <w:autoSpaceDN/>
        <w:bidi w:val="0"/>
        <w:adjustRightInd w:val="0"/>
        <w:snapToGrid w:val="0"/>
        <w:spacing w:line="540" w:lineRule="exact"/>
        <w:ind w:left="0" w:leftChars="0" w:firstLine="560" w:firstLineChars="200"/>
        <w:jc w:val="left"/>
        <w:textAlignment w:val="auto"/>
        <w:rPr>
          <w:rFonts w:ascii="仿宋_GB2312" w:hAnsi="宋体" w:eastAsia="仿宋_GB2312"/>
          <w:color w:val="auto"/>
          <w:sz w:val="28"/>
          <w:szCs w:val="28"/>
        </w:rPr>
      </w:pPr>
      <w:r>
        <w:rPr>
          <w:rFonts w:hint="eastAsia" w:ascii="仿宋_GB2312" w:hAnsi="宋体" w:eastAsia="仿宋_GB2312"/>
          <w:color w:val="auto"/>
          <w:sz w:val="28"/>
          <w:szCs w:val="28"/>
        </w:rPr>
        <w:t>1.服务地点为服务对象居住地，即建宁县</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rPr>
        <w:t>乡（镇）</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rPr>
        <w:t>村</w:t>
      </w:r>
      <w:r>
        <w:rPr>
          <w:rFonts w:hint="eastAsia" w:ascii="仿宋_GB2312" w:hAnsi="宋体" w:eastAsia="仿宋_GB2312"/>
          <w:color w:val="auto"/>
          <w:sz w:val="28"/>
          <w:szCs w:val="28"/>
          <w:lang w:eastAsia="zh-CN"/>
        </w:rPr>
        <w:t>（社区）</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u w:val="single"/>
          <w:lang w:val="en-US" w:eastAsia="zh-CN"/>
        </w:rPr>
        <w:t xml:space="preserve">                （详细地址）                                                 </w:t>
      </w:r>
      <w:r>
        <w:rPr>
          <w:rFonts w:hint="eastAsia" w:ascii="仿宋_GB2312" w:hAnsi="宋体" w:eastAsia="仿宋_GB2312"/>
          <w:color w:val="auto"/>
          <w:sz w:val="28"/>
          <w:szCs w:val="28"/>
        </w:rPr>
        <w:t>。</w:t>
      </w:r>
    </w:p>
    <w:p w14:paraId="12AA39B7">
      <w:pPr>
        <w:keepNext w:val="0"/>
        <w:keepLines w:val="0"/>
        <w:pageBreakBefore w:val="0"/>
        <w:kinsoku/>
        <w:wordWrap/>
        <w:overflowPunct/>
        <w:topLinePunct w:val="0"/>
        <w:autoSpaceDE/>
        <w:autoSpaceDN/>
        <w:bidi w:val="0"/>
        <w:adjustRightInd w:val="0"/>
        <w:snapToGrid w:val="0"/>
        <w:spacing w:line="540" w:lineRule="exact"/>
        <w:ind w:left="0" w:leftChars="0" w:firstLine="560" w:firstLineChars="200"/>
        <w:textAlignment w:val="auto"/>
        <w:rPr>
          <w:rFonts w:ascii="仿宋_GB2312" w:hAnsi="宋体" w:eastAsia="仿宋_GB2312"/>
          <w:color w:val="auto"/>
          <w:sz w:val="28"/>
          <w:szCs w:val="28"/>
        </w:rPr>
      </w:pPr>
      <w:r>
        <w:rPr>
          <w:rFonts w:hint="eastAsia" w:ascii="仿宋_GB2312" w:hAnsi="宋体" w:eastAsia="仿宋_GB2312"/>
          <w:color w:val="auto"/>
          <w:sz w:val="28"/>
          <w:szCs w:val="28"/>
        </w:rPr>
        <w:t>2.服务对象变更服务地点，在符合政策情况下，须提前向承接机构再次提出申请。</w:t>
      </w:r>
    </w:p>
    <w:p w14:paraId="6E318304">
      <w:pPr>
        <w:keepNext w:val="0"/>
        <w:keepLines w:val="0"/>
        <w:pageBreakBefore w:val="0"/>
        <w:kinsoku/>
        <w:wordWrap/>
        <w:overflowPunct/>
        <w:topLinePunct w:val="0"/>
        <w:autoSpaceDE/>
        <w:autoSpaceDN/>
        <w:bidi w:val="0"/>
        <w:adjustRightInd w:val="0"/>
        <w:snapToGrid w:val="0"/>
        <w:spacing w:line="540" w:lineRule="exact"/>
        <w:ind w:left="0" w:leftChars="0" w:firstLine="560" w:firstLineChars="200"/>
        <w:jc w:val="left"/>
        <w:textAlignment w:val="auto"/>
        <w:rPr>
          <w:rFonts w:ascii="黑体" w:hAnsi="黑体" w:eastAsia="黑体" w:cs="黑体"/>
          <w:bCs/>
          <w:color w:val="auto"/>
          <w:sz w:val="28"/>
          <w:szCs w:val="28"/>
        </w:rPr>
      </w:pPr>
      <w:r>
        <w:rPr>
          <w:rFonts w:hint="eastAsia" w:ascii="黑体" w:hAnsi="黑体" w:eastAsia="黑体" w:cs="黑体"/>
          <w:bCs/>
          <w:color w:val="auto"/>
          <w:sz w:val="28"/>
          <w:szCs w:val="28"/>
        </w:rPr>
        <w:t>二、服务内容</w:t>
      </w:r>
    </w:p>
    <w:p w14:paraId="2B30F387">
      <w:pPr>
        <w:keepNext w:val="0"/>
        <w:keepLines w:val="0"/>
        <w:pageBreakBefore w:val="0"/>
        <w:kinsoku/>
        <w:wordWrap/>
        <w:overflowPunct/>
        <w:topLinePunct w:val="0"/>
        <w:autoSpaceDE/>
        <w:autoSpaceDN/>
        <w:bidi w:val="0"/>
        <w:adjustRightInd w:val="0"/>
        <w:snapToGrid w:val="0"/>
        <w:spacing w:line="540" w:lineRule="exact"/>
        <w:ind w:left="0" w:leftChars="0" w:firstLine="560" w:firstLineChars="200"/>
        <w:textAlignment w:val="auto"/>
        <w:rPr>
          <w:rFonts w:ascii="仿宋_GB2312" w:hAnsi="仿宋_GB2312" w:eastAsia="仿宋_GB2312" w:cs="仿宋_GB2312"/>
          <w:color w:val="auto"/>
          <w:sz w:val="28"/>
          <w:szCs w:val="28"/>
        </w:rPr>
      </w:pPr>
      <w:r>
        <w:rPr>
          <w:rFonts w:hint="eastAsia" w:ascii="仿宋_GB2312" w:hAnsi="宋体" w:eastAsia="仿宋_GB2312"/>
          <w:color w:val="auto"/>
          <w:sz w:val="28"/>
          <w:szCs w:val="28"/>
        </w:rPr>
        <w:t>1.承接机构</w:t>
      </w:r>
      <w:r>
        <w:rPr>
          <w:rFonts w:hint="eastAsia" w:ascii="仿宋_GB2312" w:hAnsi="仿宋_GB2312" w:eastAsia="仿宋_GB2312" w:cs="仿宋_GB2312"/>
          <w:color w:val="auto"/>
          <w:sz w:val="28"/>
          <w:szCs w:val="28"/>
        </w:rPr>
        <w:t>根据服务对象申请，入户开展评估，根据《</w:t>
      </w:r>
      <w:r>
        <w:rPr>
          <w:rFonts w:hint="eastAsia" w:ascii="仿宋_GB2312" w:hAnsi="仿宋_GB2312" w:eastAsia="仿宋_GB2312" w:cs="仿宋_GB2312"/>
          <w:color w:val="auto"/>
          <w:kern w:val="2"/>
          <w:sz w:val="28"/>
          <w:szCs w:val="28"/>
        </w:rPr>
        <w:t>建宁县居家养老上门服务指导清单</w:t>
      </w:r>
      <w:r>
        <w:rPr>
          <w:rFonts w:hint="eastAsia" w:ascii="仿宋_GB2312" w:hAnsi="仿宋_GB2312" w:eastAsia="仿宋_GB2312" w:cs="仿宋_GB2312"/>
          <w:color w:val="auto"/>
          <w:sz w:val="28"/>
          <w:szCs w:val="28"/>
        </w:rPr>
        <w:t>》</w:t>
      </w:r>
      <w:r>
        <w:rPr>
          <w:rFonts w:hint="eastAsia" w:ascii="仿宋_GB2312" w:hAnsi="宋体" w:eastAsia="仿宋_GB2312"/>
          <w:color w:val="auto"/>
          <w:sz w:val="28"/>
          <w:szCs w:val="28"/>
        </w:rPr>
        <w:t>，</w:t>
      </w:r>
      <w:r>
        <w:rPr>
          <w:rFonts w:hint="eastAsia" w:ascii="仿宋_GB2312" w:hAnsi="仿宋_GB2312" w:eastAsia="仿宋_GB2312" w:cs="仿宋_GB2312"/>
          <w:color w:val="auto"/>
          <w:sz w:val="28"/>
          <w:szCs w:val="28"/>
        </w:rPr>
        <w:t>双方商定以下服务项目：</w:t>
      </w:r>
    </w:p>
    <w:tbl>
      <w:tblPr>
        <w:tblStyle w:val="10"/>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3220"/>
        <w:gridCol w:w="829"/>
        <w:gridCol w:w="815"/>
        <w:gridCol w:w="932"/>
        <w:gridCol w:w="1649"/>
      </w:tblGrid>
      <w:tr w14:paraId="61C96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tcPr>
          <w:p w14:paraId="321133B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40" w:lineRule="exact"/>
              <w:ind w:left="0" w:leftChars="0" w:right="0"/>
              <w:textAlignment w:val="auto"/>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3220" w:type="dxa"/>
          </w:tcPr>
          <w:p w14:paraId="53D848C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40" w:lineRule="exact"/>
              <w:ind w:left="0" w:leftChars="0" w:right="0" w:firstLine="560" w:firstLineChars="200"/>
              <w:textAlignment w:val="auto"/>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服务项目名称</w:t>
            </w:r>
          </w:p>
        </w:tc>
        <w:tc>
          <w:tcPr>
            <w:tcW w:w="829" w:type="dxa"/>
          </w:tcPr>
          <w:p w14:paraId="4183AC5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40" w:lineRule="exact"/>
              <w:ind w:left="0" w:leftChars="0" w:right="0"/>
              <w:textAlignment w:val="auto"/>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单位</w:t>
            </w:r>
          </w:p>
        </w:tc>
        <w:tc>
          <w:tcPr>
            <w:tcW w:w="815" w:type="dxa"/>
          </w:tcPr>
          <w:p w14:paraId="0CCFF05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40" w:lineRule="exact"/>
              <w:ind w:left="0" w:leftChars="0" w:right="0"/>
              <w:textAlignment w:val="auto"/>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数量</w:t>
            </w:r>
          </w:p>
        </w:tc>
        <w:tc>
          <w:tcPr>
            <w:tcW w:w="932" w:type="dxa"/>
          </w:tcPr>
          <w:p w14:paraId="784DA32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40" w:lineRule="exact"/>
              <w:ind w:left="0" w:leftChars="0" w:right="0"/>
              <w:textAlignment w:val="auto"/>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单价</w:t>
            </w:r>
          </w:p>
        </w:tc>
        <w:tc>
          <w:tcPr>
            <w:tcW w:w="1649" w:type="dxa"/>
          </w:tcPr>
          <w:p w14:paraId="4BA66B2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40" w:lineRule="exact"/>
              <w:ind w:left="0" w:leftChars="0" w:right="0"/>
              <w:textAlignment w:val="auto"/>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金额（元）</w:t>
            </w:r>
          </w:p>
        </w:tc>
      </w:tr>
      <w:tr w14:paraId="4A739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tcPr>
          <w:p w14:paraId="36A1753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40" w:lineRule="exact"/>
              <w:ind w:left="0" w:leftChars="0" w:right="0" w:firstLine="280" w:firstLineChars="100"/>
              <w:textAlignment w:val="auto"/>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3220" w:type="dxa"/>
          </w:tcPr>
          <w:p w14:paraId="7B7C94D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40" w:lineRule="exact"/>
              <w:ind w:left="0" w:leftChars="0" w:right="0" w:firstLine="560" w:firstLineChars="200"/>
              <w:textAlignment w:val="auto"/>
              <w:rPr>
                <w:rFonts w:hint="default" w:ascii="仿宋_GB2312" w:hAnsi="仿宋_GB2312" w:eastAsia="仿宋_GB2312" w:cs="仿宋_GB2312"/>
                <w:color w:val="auto"/>
                <w:sz w:val="28"/>
                <w:szCs w:val="28"/>
              </w:rPr>
            </w:pPr>
          </w:p>
        </w:tc>
        <w:tc>
          <w:tcPr>
            <w:tcW w:w="829" w:type="dxa"/>
          </w:tcPr>
          <w:p w14:paraId="14E2335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40" w:lineRule="exact"/>
              <w:ind w:left="0" w:leftChars="0" w:right="0" w:firstLine="560" w:firstLineChars="200"/>
              <w:textAlignment w:val="auto"/>
              <w:rPr>
                <w:rFonts w:hint="default" w:ascii="仿宋_GB2312" w:hAnsi="仿宋_GB2312" w:eastAsia="仿宋_GB2312" w:cs="仿宋_GB2312"/>
                <w:color w:val="auto"/>
                <w:sz w:val="28"/>
                <w:szCs w:val="28"/>
              </w:rPr>
            </w:pPr>
          </w:p>
        </w:tc>
        <w:tc>
          <w:tcPr>
            <w:tcW w:w="815" w:type="dxa"/>
          </w:tcPr>
          <w:p w14:paraId="76BB864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40" w:lineRule="exact"/>
              <w:ind w:left="0" w:leftChars="0" w:right="0" w:firstLine="560" w:firstLineChars="200"/>
              <w:textAlignment w:val="auto"/>
              <w:rPr>
                <w:rFonts w:hint="default" w:ascii="仿宋_GB2312" w:hAnsi="仿宋_GB2312" w:eastAsia="仿宋_GB2312" w:cs="仿宋_GB2312"/>
                <w:color w:val="auto"/>
                <w:sz w:val="28"/>
                <w:szCs w:val="28"/>
              </w:rPr>
            </w:pPr>
          </w:p>
        </w:tc>
        <w:tc>
          <w:tcPr>
            <w:tcW w:w="932" w:type="dxa"/>
          </w:tcPr>
          <w:p w14:paraId="76BADA1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40" w:lineRule="exact"/>
              <w:ind w:left="0" w:leftChars="0" w:right="0" w:firstLine="560" w:firstLineChars="200"/>
              <w:textAlignment w:val="auto"/>
              <w:rPr>
                <w:rFonts w:hint="default" w:ascii="仿宋_GB2312" w:hAnsi="仿宋_GB2312" w:eastAsia="仿宋_GB2312" w:cs="仿宋_GB2312"/>
                <w:color w:val="auto"/>
                <w:sz w:val="28"/>
                <w:szCs w:val="28"/>
              </w:rPr>
            </w:pPr>
          </w:p>
        </w:tc>
        <w:tc>
          <w:tcPr>
            <w:tcW w:w="1649" w:type="dxa"/>
          </w:tcPr>
          <w:p w14:paraId="37B9601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40" w:lineRule="exact"/>
              <w:ind w:left="0" w:leftChars="0" w:right="0" w:firstLine="560" w:firstLineChars="200"/>
              <w:textAlignment w:val="auto"/>
              <w:rPr>
                <w:rFonts w:hint="default" w:ascii="仿宋_GB2312" w:hAnsi="仿宋_GB2312" w:eastAsia="仿宋_GB2312" w:cs="仿宋_GB2312"/>
                <w:color w:val="auto"/>
                <w:sz w:val="28"/>
                <w:szCs w:val="28"/>
              </w:rPr>
            </w:pPr>
          </w:p>
        </w:tc>
      </w:tr>
      <w:tr w14:paraId="1AB16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tcPr>
          <w:p w14:paraId="3A2BD5C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40" w:lineRule="exact"/>
              <w:ind w:left="0" w:leftChars="0" w:right="0" w:firstLine="280" w:firstLineChars="100"/>
              <w:textAlignment w:val="auto"/>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p>
        </w:tc>
        <w:tc>
          <w:tcPr>
            <w:tcW w:w="3220" w:type="dxa"/>
          </w:tcPr>
          <w:p w14:paraId="084BFA6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40" w:lineRule="exact"/>
              <w:ind w:left="0" w:leftChars="0" w:right="0" w:firstLine="560" w:firstLineChars="200"/>
              <w:textAlignment w:val="auto"/>
              <w:rPr>
                <w:rFonts w:hint="default" w:ascii="仿宋_GB2312" w:hAnsi="仿宋_GB2312" w:eastAsia="仿宋_GB2312" w:cs="仿宋_GB2312"/>
                <w:color w:val="auto"/>
                <w:sz w:val="28"/>
                <w:szCs w:val="28"/>
              </w:rPr>
            </w:pPr>
          </w:p>
        </w:tc>
        <w:tc>
          <w:tcPr>
            <w:tcW w:w="829" w:type="dxa"/>
          </w:tcPr>
          <w:p w14:paraId="26D3946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40" w:lineRule="exact"/>
              <w:ind w:left="0" w:leftChars="0" w:right="0" w:firstLine="560" w:firstLineChars="200"/>
              <w:textAlignment w:val="auto"/>
              <w:rPr>
                <w:rFonts w:hint="default" w:ascii="仿宋_GB2312" w:hAnsi="仿宋_GB2312" w:eastAsia="仿宋_GB2312" w:cs="仿宋_GB2312"/>
                <w:color w:val="auto"/>
                <w:sz w:val="28"/>
                <w:szCs w:val="28"/>
              </w:rPr>
            </w:pPr>
          </w:p>
        </w:tc>
        <w:tc>
          <w:tcPr>
            <w:tcW w:w="815" w:type="dxa"/>
          </w:tcPr>
          <w:p w14:paraId="167E570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40" w:lineRule="exact"/>
              <w:ind w:left="0" w:leftChars="0" w:right="0" w:firstLine="560" w:firstLineChars="200"/>
              <w:textAlignment w:val="auto"/>
              <w:rPr>
                <w:rFonts w:hint="default" w:ascii="仿宋_GB2312" w:hAnsi="仿宋_GB2312" w:eastAsia="仿宋_GB2312" w:cs="仿宋_GB2312"/>
                <w:color w:val="auto"/>
                <w:sz w:val="28"/>
                <w:szCs w:val="28"/>
              </w:rPr>
            </w:pPr>
          </w:p>
        </w:tc>
        <w:tc>
          <w:tcPr>
            <w:tcW w:w="932" w:type="dxa"/>
          </w:tcPr>
          <w:p w14:paraId="1E35724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40" w:lineRule="exact"/>
              <w:ind w:left="0" w:leftChars="0" w:right="0" w:firstLine="560" w:firstLineChars="200"/>
              <w:textAlignment w:val="auto"/>
              <w:rPr>
                <w:rFonts w:hint="default" w:ascii="仿宋_GB2312" w:hAnsi="仿宋_GB2312" w:eastAsia="仿宋_GB2312" w:cs="仿宋_GB2312"/>
                <w:color w:val="auto"/>
                <w:sz w:val="28"/>
                <w:szCs w:val="28"/>
              </w:rPr>
            </w:pPr>
          </w:p>
        </w:tc>
        <w:tc>
          <w:tcPr>
            <w:tcW w:w="1649" w:type="dxa"/>
          </w:tcPr>
          <w:p w14:paraId="66ABF7F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40" w:lineRule="exact"/>
              <w:ind w:left="0" w:leftChars="0" w:right="0" w:firstLine="560" w:firstLineChars="200"/>
              <w:textAlignment w:val="auto"/>
              <w:rPr>
                <w:rFonts w:hint="default" w:ascii="仿宋_GB2312" w:hAnsi="仿宋_GB2312" w:eastAsia="仿宋_GB2312" w:cs="仿宋_GB2312"/>
                <w:color w:val="auto"/>
                <w:sz w:val="28"/>
                <w:szCs w:val="28"/>
              </w:rPr>
            </w:pPr>
          </w:p>
        </w:tc>
      </w:tr>
      <w:tr w14:paraId="54F49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tcPr>
          <w:p w14:paraId="29AA4CB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40" w:lineRule="exact"/>
              <w:ind w:left="0" w:leftChars="0" w:right="0" w:firstLine="280" w:firstLineChars="100"/>
              <w:textAlignment w:val="auto"/>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p>
        </w:tc>
        <w:tc>
          <w:tcPr>
            <w:tcW w:w="3220" w:type="dxa"/>
          </w:tcPr>
          <w:p w14:paraId="5A2F937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40" w:lineRule="exact"/>
              <w:ind w:left="0" w:leftChars="0" w:right="0" w:firstLine="560" w:firstLineChars="200"/>
              <w:textAlignment w:val="auto"/>
              <w:rPr>
                <w:rFonts w:hint="default" w:ascii="仿宋_GB2312" w:hAnsi="仿宋_GB2312" w:eastAsia="仿宋_GB2312" w:cs="仿宋_GB2312"/>
                <w:color w:val="auto"/>
                <w:sz w:val="28"/>
                <w:szCs w:val="28"/>
              </w:rPr>
            </w:pPr>
          </w:p>
        </w:tc>
        <w:tc>
          <w:tcPr>
            <w:tcW w:w="829" w:type="dxa"/>
          </w:tcPr>
          <w:p w14:paraId="3635FC1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40" w:lineRule="exact"/>
              <w:ind w:left="0" w:leftChars="0" w:right="0" w:firstLine="560" w:firstLineChars="200"/>
              <w:textAlignment w:val="auto"/>
              <w:rPr>
                <w:rFonts w:hint="default" w:ascii="仿宋_GB2312" w:hAnsi="仿宋_GB2312" w:eastAsia="仿宋_GB2312" w:cs="仿宋_GB2312"/>
                <w:color w:val="auto"/>
                <w:sz w:val="28"/>
                <w:szCs w:val="28"/>
              </w:rPr>
            </w:pPr>
          </w:p>
        </w:tc>
        <w:tc>
          <w:tcPr>
            <w:tcW w:w="815" w:type="dxa"/>
          </w:tcPr>
          <w:p w14:paraId="4D46B24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40" w:lineRule="exact"/>
              <w:ind w:left="0" w:leftChars="0" w:right="0" w:firstLine="560" w:firstLineChars="200"/>
              <w:textAlignment w:val="auto"/>
              <w:rPr>
                <w:rFonts w:hint="default" w:ascii="仿宋_GB2312" w:hAnsi="仿宋_GB2312" w:eastAsia="仿宋_GB2312" w:cs="仿宋_GB2312"/>
                <w:color w:val="auto"/>
                <w:sz w:val="28"/>
                <w:szCs w:val="28"/>
              </w:rPr>
            </w:pPr>
          </w:p>
        </w:tc>
        <w:tc>
          <w:tcPr>
            <w:tcW w:w="932" w:type="dxa"/>
          </w:tcPr>
          <w:p w14:paraId="6799128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40" w:lineRule="exact"/>
              <w:ind w:left="0" w:leftChars="0" w:right="0" w:firstLine="560" w:firstLineChars="200"/>
              <w:textAlignment w:val="auto"/>
              <w:rPr>
                <w:rFonts w:hint="default" w:ascii="仿宋_GB2312" w:hAnsi="仿宋_GB2312" w:eastAsia="仿宋_GB2312" w:cs="仿宋_GB2312"/>
                <w:color w:val="auto"/>
                <w:sz w:val="28"/>
                <w:szCs w:val="28"/>
              </w:rPr>
            </w:pPr>
          </w:p>
        </w:tc>
        <w:tc>
          <w:tcPr>
            <w:tcW w:w="1649" w:type="dxa"/>
          </w:tcPr>
          <w:p w14:paraId="090D372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40" w:lineRule="exact"/>
              <w:ind w:left="0" w:leftChars="0" w:right="0" w:firstLine="560" w:firstLineChars="200"/>
              <w:textAlignment w:val="auto"/>
              <w:rPr>
                <w:rFonts w:hint="default" w:ascii="仿宋_GB2312" w:hAnsi="仿宋_GB2312" w:eastAsia="仿宋_GB2312" w:cs="仿宋_GB2312"/>
                <w:color w:val="auto"/>
                <w:sz w:val="28"/>
                <w:szCs w:val="28"/>
              </w:rPr>
            </w:pPr>
          </w:p>
        </w:tc>
      </w:tr>
      <w:tr w14:paraId="361AB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tcPr>
          <w:p w14:paraId="6C68701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40" w:lineRule="exact"/>
              <w:ind w:left="0" w:leftChars="0" w:right="0" w:firstLine="280" w:firstLineChars="100"/>
              <w:textAlignment w:val="auto"/>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w:t>
            </w:r>
          </w:p>
        </w:tc>
        <w:tc>
          <w:tcPr>
            <w:tcW w:w="3220" w:type="dxa"/>
          </w:tcPr>
          <w:p w14:paraId="08D4631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40" w:lineRule="exact"/>
              <w:ind w:left="0" w:leftChars="0" w:right="0" w:firstLine="560" w:firstLineChars="200"/>
              <w:textAlignment w:val="auto"/>
              <w:rPr>
                <w:rFonts w:hint="default" w:ascii="仿宋_GB2312" w:hAnsi="仿宋_GB2312" w:eastAsia="仿宋_GB2312" w:cs="仿宋_GB2312"/>
                <w:color w:val="auto"/>
                <w:sz w:val="28"/>
                <w:szCs w:val="28"/>
              </w:rPr>
            </w:pPr>
          </w:p>
        </w:tc>
        <w:tc>
          <w:tcPr>
            <w:tcW w:w="829" w:type="dxa"/>
          </w:tcPr>
          <w:p w14:paraId="516F04F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40" w:lineRule="exact"/>
              <w:ind w:left="0" w:leftChars="0" w:right="0" w:firstLine="560" w:firstLineChars="200"/>
              <w:textAlignment w:val="auto"/>
              <w:rPr>
                <w:rFonts w:hint="default" w:ascii="仿宋_GB2312" w:hAnsi="仿宋_GB2312" w:eastAsia="仿宋_GB2312" w:cs="仿宋_GB2312"/>
                <w:color w:val="auto"/>
                <w:sz w:val="28"/>
                <w:szCs w:val="28"/>
              </w:rPr>
            </w:pPr>
          </w:p>
        </w:tc>
        <w:tc>
          <w:tcPr>
            <w:tcW w:w="815" w:type="dxa"/>
          </w:tcPr>
          <w:p w14:paraId="3AC1D64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40" w:lineRule="exact"/>
              <w:ind w:left="0" w:leftChars="0" w:right="0" w:firstLine="560" w:firstLineChars="200"/>
              <w:textAlignment w:val="auto"/>
              <w:rPr>
                <w:rFonts w:hint="default" w:ascii="仿宋_GB2312" w:hAnsi="仿宋_GB2312" w:eastAsia="仿宋_GB2312" w:cs="仿宋_GB2312"/>
                <w:color w:val="auto"/>
                <w:sz w:val="28"/>
                <w:szCs w:val="28"/>
              </w:rPr>
            </w:pPr>
          </w:p>
        </w:tc>
        <w:tc>
          <w:tcPr>
            <w:tcW w:w="932" w:type="dxa"/>
          </w:tcPr>
          <w:p w14:paraId="38C234C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40" w:lineRule="exact"/>
              <w:ind w:left="0" w:leftChars="0" w:right="0" w:firstLine="560" w:firstLineChars="200"/>
              <w:textAlignment w:val="auto"/>
              <w:rPr>
                <w:rFonts w:hint="default" w:ascii="仿宋_GB2312" w:hAnsi="仿宋_GB2312" w:eastAsia="仿宋_GB2312" w:cs="仿宋_GB2312"/>
                <w:color w:val="auto"/>
                <w:sz w:val="28"/>
                <w:szCs w:val="28"/>
              </w:rPr>
            </w:pPr>
          </w:p>
        </w:tc>
        <w:tc>
          <w:tcPr>
            <w:tcW w:w="1649" w:type="dxa"/>
          </w:tcPr>
          <w:p w14:paraId="37CE795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40" w:lineRule="exact"/>
              <w:ind w:left="0" w:leftChars="0" w:right="0" w:firstLine="560" w:firstLineChars="200"/>
              <w:textAlignment w:val="auto"/>
              <w:rPr>
                <w:rFonts w:hint="default" w:ascii="仿宋_GB2312" w:hAnsi="仿宋_GB2312" w:eastAsia="仿宋_GB2312" w:cs="仿宋_GB2312"/>
                <w:color w:val="auto"/>
                <w:sz w:val="28"/>
                <w:szCs w:val="28"/>
              </w:rPr>
            </w:pPr>
          </w:p>
        </w:tc>
      </w:tr>
      <w:tr w14:paraId="05225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tcPr>
          <w:p w14:paraId="7E0F485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40" w:lineRule="exact"/>
              <w:ind w:left="0" w:right="0" w:firstLine="280" w:firstLineChars="100"/>
              <w:textAlignment w:val="auto"/>
              <w:rPr>
                <w:rFonts w:hint="default" w:ascii="仿宋_GB2312" w:hAnsi="仿宋_GB2312" w:eastAsia="仿宋_GB2312" w:cs="仿宋_GB2312"/>
                <w:color w:val="auto"/>
                <w:sz w:val="28"/>
                <w:szCs w:val="28"/>
                <w:lang w:val="en-US" w:eastAsia="zh-CN"/>
              </w:rPr>
            </w:pPr>
            <w:r>
              <w:rPr>
                <w:rFonts w:hint="default" w:ascii="Arial" w:hAnsi="Arial" w:eastAsia="仿宋_GB2312" w:cs="Arial"/>
                <w:color w:val="auto"/>
                <w:sz w:val="28"/>
                <w:szCs w:val="28"/>
                <w:lang w:val="en-US" w:eastAsia="zh-CN"/>
              </w:rPr>
              <w:t>…</w:t>
            </w:r>
          </w:p>
        </w:tc>
        <w:tc>
          <w:tcPr>
            <w:tcW w:w="3220" w:type="dxa"/>
          </w:tcPr>
          <w:p w14:paraId="1F6520D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40" w:lineRule="exact"/>
              <w:ind w:left="0" w:leftChars="0" w:right="0" w:firstLine="560" w:firstLineChars="200"/>
              <w:textAlignment w:val="auto"/>
              <w:rPr>
                <w:rFonts w:hint="default" w:ascii="仿宋_GB2312" w:hAnsi="仿宋_GB2312" w:eastAsia="仿宋_GB2312" w:cs="仿宋_GB2312"/>
                <w:color w:val="auto"/>
                <w:sz w:val="28"/>
                <w:szCs w:val="28"/>
              </w:rPr>
            </w:pPr>
          </w:p>
        </w:tc>
        <w:tc>
          <w:tcPr>
            <w:tcW w:w="829" w:type="dxa"/>
          </w:tcPr>
          <w:p w14:paraId="1861FBE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40" w:lineRule="exact"/>
              <w:ind w:left="0" w:leftChars="0" w:right="0" w:firstLine="560" w:firstLineChars="200"/>
              <w:textAlignment w:val="auto"/>
              <w:rPr>
                <w:rFonts w:hint="default" w:ascii="仿宋_GB2312" w:hAnsi="仿宋_GB2312" w:eastAsia="仿宋_GB2312" w:cs="仿宋_GB2312"/>
                <w:color w:val="auto"/>
                <w:sz w:val="28"/>
                <w:szCs w:val="28"/>
              </w:rPr>
            </w:pPr>
          </w:p>
        </w:tc>
        <w:tc>
          <w:tcPr>
            <w:tcW w:w="815" w:type="dxa"/>
          </w:tcPr>
          <w:p w14:paraId="3E34CE1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40" w:lineRule="exact"/>
              <w:ind w:left="0" w:leftChars="0" w:right="0" w:firstLine="560" w:firstLineChars="200"/>
              <w:textAlignment w:val="auto"/>
              <w:rPr>
                <w:rFonts w:hint="default" w:ascii="仿宋_GB2312" w:hAnsi="仿宋_GB2312" w:eastAsia="仿宋_GB2312" w:cs="仿宋_GB2312"/>
                <w:color w:val="auto"/>
                <w:sz w:val="28"/>
                <w:szCs w:val="28"/>
              </w:rPr>
            </w:pPr>
          </w:p>
        </w:tc>
        <w:tc>
          <w:tcPr>
            <w:tcW w:w="932" w:type="dxa"/>
          </w:tcPr>
          <w:p w14:paraId="63F4BCB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40" w:lineRule="exact"/>
              <w:ind w:left="0" w:leftChars="0" w:right="0" w:firstLine="560" w:firstLineChars="200"/>
              <w:textAlignment w:val="auto"/>
              <w:rPr>
                <w:rFonts w:hint="default" w:ascii="仿宋_GB2312" w:hAnsi="仿宋_GB2312" w:eastAsia="仿宋_GB2312" w:cs="仿宋_GB2312"/>
                <w:color w:val="auto"/>
                <w:sz w:val="28"/>
                <w:szCs w:val="28"/>
              </w:rPr>
            </w:pPr>
          </w:p>
        </w:tc>
        <w:tc>
          <w:tcPr>
            <w:tcW w:w="1649" w:type="dxa"/>
          </w:tcPr>
          <w:p w14:paraId="52844D1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40" w:lineRule="exact"/>
              <w:ind w:left="0" w:leftChars="0" w:right="0" w:firstLine="560" w:firstLineChars="200"/>
              <w:textAlignment w:val="auto"/>
              <w:rPr>
                <w:rFonts w:hint="default" w:ascii="仿宋_GB2312" w:hAnsi="仿宋_GB2312" w:eastAsia="仿宋_GB2312" w:cs="仿宋_GB2312"/>
                <w:color w:val="auto"/>
                <w:sz w:val="28"/>
                <w:szCs w:val="28"/>
              </w:rPr>
            </w:pPr>
          </w:p>
        </w:tc>
      </w:tr>
      <w:tr w14:paraId="2B0E1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7" w:type="dxa"/>
            <w:gridSpan w:val="2"/>
          </w:tcPr>
          <w:p w14:paraId="180F68C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40" w:lineRule="exact"/>
              <w:ind w:left="0" w:leftChars="0" w:right="0" w:firstLine="560" w:firstLineChars="200"/>
              <w:textAlignment w:val="auto"/>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合计</w:t>
            </w:r>
          </w:p>
        </w:tc>
        <w:tc>
          <w:tcPr>
            <w:tcW w:w="829" w:type="dxa"/>
          </w:tcPr>
          <w:p w14:paraId="2A73F50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40" w:lineRule="exact"/>
              <w:ind w:left="0" w:leftChars="0" w:right="0" w:firstLine="560" w:firstLineChars="200"/>
              <w:textAlignment w:val="auto"/>
              <w:rPr>
                <w:rFonts w:hint="default" w:ascii="仿宋_GB2312" w:hAnsi="仿宋_GB2312" w:eastAsia="仿宋_GB2312" w:cs="仿宋_GB2312"/>
                <w:color w:val="auto"/>
                <w:sz w:val="28"/>
                <w:szCs w:val="28"/>
              </w:rPr>
            </w:pPr>
          </w:p>
        </w:tc>
        <w:tc>
          <w:tcPr>
            <w:tcW w:w="815" w:type="dxa"/>
          </w:tcPr>
          <w:p w14:paraId="1B138C2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40" w:lineRule="exact"/>
              <w:ind w:left="0" w:leftChars="0" w:right="0" w:firstLine="560" w:firstLineChars="200"/>
              <w:textAlignment w:val="auto"/>
              <w:rPr>
                <w:rFonts w:hint="default" w:ascii="仿宋_GB2312" w:hAnsi="仿宋_GB2312" w:eastAsia="仿宋_GB2312" w:cs="仿宋_GB2312"/>
                <w:color w:val="auto"/>
                <w:sz w:val="28"/>
                <w:szCs w:val="28"/>
              </w:rPr>
            </w:pPr>
          </w:p>
        </w:tc>
        <w:tc>
          <w:tcPr>
            <w:tcW w:w="932" w:type="dxa"/>
          </w:tcPr>
          <w:p w14:paraId="650277D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40" w:lineRule="exact"/>
              <w:ind w:left="0" w:leftChars="0" w:right="0" w:firstLine="560" w:firstLineChars="200"/>
              <w:textAlignment w:val="auto"/>
              <w:rPr>
                <w:rFonts w:hint="default" w:ascii="仿宋_GB2312" w:hAnsi="仿宋_GB2312" w:eastAsia="仿宋_GB2312" w:cs="仿宋_GB2312"/>
                <w:color w:val="auto"/>
                <w:sz w:val="28"/>
                <w:szCs w:val="28"/>
              </w:rPr>
            </w:pPr>
          </w:p>
        </w:tc>
        <w:tc>
          <w:tcPr>
            <w:tcW w:w="1649" w:type="dxa"/>
          </w:tcPr>
          <w:p w14:paraId="4F75B67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40" w:lineRule="exact"/>
              <w:ind w:left="0" w:leftChars="0" w:right="0" w:firstLine="560" w:firstLineChars="200"/>
              <w:textAlignment w:val="auto"/>
              <w:rPr>
                <w:rFonts w:hint="default" w:ascii="仿宋_GB2312" w:hAnsi="仿宋_GB2312" w:eastAsia="仿宋_GB2312" w:cs="仿宋_GB2312"/>
                <w:color w:val="auto"/>
                <w:sz w:val="28"/>
                <w:szCs w:val="28"/>
              </w:rPr>
            </w:pPr>
          </w:p>
        </w:tc>
      </w:tr>
    </w:tbl>
    <w:p w14:paraId="6C7343A9">
      <w:pPr>
        <w:keepNext w:val="0"/>
        <w:keepLines w:val="0"/>
        <w:pageBreakBefore w:val="0"/>
        <w:kinsoku/>
        <w:wordWrap/>
        <w:overflowPunct/>
        <w:topLinePunct w:val="0"/>
        <w:autoSpaceDE/>
        <w:autoSpaceDN/>
        <w:bidi w:val="0"/>
        <w:adjustRightInd w:val="0"/>
        <w:spacing w:line="540" w:lineRule="exact"/>
        <w:ind w:left="0" w:leftChars="0" w:firstLine="560" w:firstLineChars="200"/>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2.服务对象如有其他临时服务，拨打承接机构提供的24小时服务热线。</w:t>
      </w:r>
    </w:p>
    <w:p w14:paraId="67FF3E41">
      <w:pPr>
        <w:keepNext w:val="0"/>
        <w:keepLines w:val="0"/>
        <w:pageBreakBefore w:val="0"/>
        <w:kinsoku/>
        <w:wordWrap/>
        <w:overflowPunct/>
        <w:topLinePunct w:val="0"/>
        <w:autoSpaceDE/>
        <w:autoSpaceDN/>
        <w:bidi w:val="0"/>
        <w:adjustRightInd w:val="0"/>
        <w:snapToGrid w:val="0"/>
        <w:spacing w:line="540" w:lineRule="exact"/>
        <w:ind w:left="0" w:leftChars="0" w:firstLine="560" w:firstLineChars="200"/>
        <w:jc w:val="left"/>
        <w:textAlignment w:val="auto"/>
        <w:rPr>
          <w:rFonts w:ascii="黑体" w:hAnsi="黑体" w:eastAsia="黑体" w:cs="黑体"/>
          <w:bCs/>
          <w:color w:val="auto"/>
          <w:sz w:val="28"/>
          <w:szCs w:val="28"/>
        </w:rPr>
      </w:pPr>
      <w:r>
        <w:rPr>
          <w:rFonts w:hint="eastAsia" w:ascii="黑体" w:hAnsi="黑体" w:eastAsia="黑体" w:cs="黑体"/>
          <w:bCs/>
          <w:color w:val="auto"/>
          <w:sz w:val="28"/>
          <w:szCs w:val="28"/>
        </w:rPr>
        <w:t>三、服务声明</w:t>
      </w:r>
    </w:p>
    <w:p w14:paraId="312A0A5A">
      <w:pPr>
        <w:keepNext w:val="0"/>
        <w:keepLines w:val="0"/>
        <w:pageBreakBefore w:val="0"/>
        <w:kinsoku/>
        <w:wordWrap/>
        <w:overflowPunct/>
        <w:topLinePunct w:val="0"/>
        <w:autoSpaceDE/>
        <w:autoSpaceDN/>
        <w:bidi w:val="0"/>
        <w:adjustRightInd w:val="0"/>
        <w:snapToGrid w:val="0"/>
        <w:spacing w:line="540" w:lineRule="exact"/>
        <w:ind w:left="0" w:leftChars="0"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1.</w:t>
      </w:r>
      <w:r>
        <w:rPr>
          <w:rFonts w:hint="eastAsia" w:ascii="仿宋_GB2312" w:hAnsi="宋体" w:eastAsia="仿宋_GB2312" w:cs="黑体"/>
          <w:color w:val="auto"/>
          <w:sz w:val="28"/>
          <w:szCs w:val="28"/>
          <w:lang w:eastAsia="zh-CN"/>
        </w:rPr>
        <w:t>对</w:t>
      </w:r>
      <w:r>
        <w:rPr>
          <w:rFonts w:hint="eastAsia" w:ascii="仿宋_GB2312" w:hAnsi="宋体" w:eastAsia="仿宋_GB2312" w:cs="黑体"/>
          <w:color w:val="auto"/>
          <w:sz w:val="28"/>
          <w:szCs w:val="28"/>
          <w:lang w:val="en-US" w:eastAsia="zh-CN"/>
        </w:rPr>
        <w:t>7类</w:t>
      </w:r>
      <w:r>
        <w:rPr>
          <w:rFonts w:hint="eastAsia" w:ascii="仿宋_GB2312" w:hAnsi="宋体" w:eastAsia="仿宋_GB2312" w:cs="黑体"/>
          <w:color w:val="auto"/>
          <w:sz w:val="28"/>
          <w:szCs w:val="28"/>
        </w:rPr>
        <w:t>服务对象的居家上门服务费按实际费用</w:t>
      </w:r>
      <w:r>
        <w:rPr>
          <w:rFonts w:hint="eastAsia" w:ascii="仿宋_GB2312" w:hAnsi="宋体" w:eastAsia="仿宋_GB2312" w:cs="黑体"/>
          <w:color w:val="auto"/>
          <w:sz w:val="28"/>
          <w:szCs w:val="28"/>
          <w:lang w:eastAsia="zh-CN"/>
        </w:rPr>
        <w:t>补贴且</w:t>
      </w:r>
      <w:r>
        <w:rPr>
          <w:rFonts w:hint="eastAsia" w:ascii="仿宋_GB2312" w:hAnsi="宋体" w:eastAsia="仿宋_GB2312" w:cs="黑体"/>
          <w:color w:val="auto"/>
          <w:sz w:val="28"/>
          <w:szCs w:val="28"/>
        </w:rPr>
        <w:t>最高不超过</w:t>
      </w:r>
      <w:r>
        <w:rPr>
          <w:rFonts w:hint="eastAsia" w:ascii="仿宋_GB2312" w:hAnsi="宋体" w:eastAsia="仿宋_GB2312" w:cs="黑体"/>
          <w:color w:val="auto"/>
          <w:sz w:val="28"/>
          <w:szCs w:val="28"/>
          <w:lang w:val="en-US" w:eastAsia="zh-CN"/>
        </w:rPr>
        <w:t>70</w:t>
      </w:r>
      <w:r>
        <w:rPr>
          <w:rFonts w:hint="eastAsia" w:ascii="仿宋_GB2312" w:hAnsi="宋体" w:eastAsia="仿宋_GB2312" w:cs="黑体"/>
          <w:color w:val="auto"/>
          <w:sz w:val="28"/>
          <w:szCs w:val="28"/>
        </w:rPr>
        <w:t>元</w:t>
      </w:r>
      <w:r>
        <w:rPr>
          <w:rFonts w:hint="eastAsia" w:ascii="仿宋_GB2312" w:hAnsi="宋体" w:eastAsia="仿宋_GB2312" w:cs="黑体"/>
          <w:color w:val="auto"/>
          <w:sz w:val="28"/>
          <w:szCs w:val="28"/>
          <w:lang w:val="en-US" w:eastAsia="zh-CN"/>
        </w:rPr>
        <w:t>/人.月，</w:t>
      </w:r>
      <w:r>
        <w:rPr>
          <w:rFonts w:hint="eastAsia" w:ascii="仿宋_GB2312" w:hAnsi="仿宋_GB2312" w:eastAsia="仿宋_GB2312" w:cs="仿宋_GB2312"/>
          <w:color w:val="auto"/>
          <w:sz w:val="28"/>
          <w:szCs w:val="28"/>
        </w:rPr>
        <w:t>超出补贴部分由服务对象承担</w:t>
      </w:r>
      <w:r>
        <w:rPr>
          <w:rFonts w:hint="eastAsia" w:ascii="仿宋_GB2312" w:hAnsi="仿宋_GB2312" w:eastAsia="仿宋_GB2312" w:cs="仿宋_GB2312"/>
          <w:color w:val="auto"/>
          <w:sz w:val="28"/>
          <w:szCs w:val="28"/>
          <w:lang w:eastAsia="zh-CN"/>
        </w:rPr>
        <w:t>。</w:t>
      </w:r>
    </w:p>
    <w:p w14:paraId="45BF8995">
      <w:pPr>
        <w:keepNext w:val="0"/>
        <w:keepLines w:val="0"/>
        <w:pageBreakBefore w:val="0"/>
        <w:kinsoku/>
        <w:wordWrap/>
        <w:overflowPunct/>
        <w:topLinePunct w:val="0"/>
        <w:autoSpaceDE/>
        <w:autoSpaceDN/>
        <w:bidi w:val="0"/>
        <w:adjustRightInd w:val="0"/>
        <w:snapToGrid w:val="0"/>
        <w:spacing w:line="540" w:lineRule="exact"/>
        <w:ind w:left="0" w:leftChars="0" w:firstLine="560" w:firstLineChars="200"/>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2.承接机构根据服务协议，</w:t>
      </w:r>
      <w:r>
        <w:rPr>
          <w:rFonts w:hint="eastAsia" w:ascii="仿宋_GB2312" w:hAnsi="仿宋_GB2312" w:eastAsia="仿宋_GB2312" w:cs="仿宋_GB2312"/>
          <w:color w:val="auto"/>
          <w:sz w:val="28"/>
          <w:szCs w:val="28"/>
          <w:lang w:eastAsia="zh-CN"/>
        </w:rPr>
        <w:t>每半年</w:t>
      </w:r>
      <w:r>
        <w:rPr>
          <w:rFonts w:hint="eastAsia" w:ascii="仿宋_GB2312" w:hAnsi="仿宋_GB2312" w:eastAsia="仿宋_GB2312" w:cs="仿宋_GB2312"/>
          <w:color w:val="auto"/>
          <w:sz w:val="28"/>
          <w:szCs w:val="28"/>
        </w:rPr>
        <w:t>向县</w:t>
      </w:r>
      <w:r>
        <w:rPr>
          <w:rFonts w:hint="eastAsia" w:ascii="仿宋_GB2312" w:hAnsi="仿宋_GB2312" w:eastAsia="仿宋_GB2312" w:cs="仿宋_GB2312"/>
          <w:color w:val="auto"/>
          <w:sz w:val="28"/>
          <w:szCs w:val="28"/>
          <w:lang w:eastAsia="zh-CN"/>
        </w:rPr>
        <w:t>民政和人社局</w:t>
      </w:r>
      <w:r>
        <w:rPr>
          <w:rFonts w:hint="eastAsia" w:ascii="仿宋_GB2312" w:hAnsi="仿宋_GB2312" w:eastAsia="仿宋_GB2312" w:cs="仿宋_GB2312"/>
          <w:color w:val="auto"/>
          <w:sz w:val="28"/>
          <w:szCs w:val="28"/>
        </w:rPr>
        <w:t>提交服务清单，经审核无误后由承接机构统一申领服务补贴，用于抵扣居家养老上门服务费用。</w:t>
      </w:r>
    </w:p>
    <w:p w14:paraId="790B85F2">
      <w:pPr>
        <w:keepNext w:val="0"/>
        <w:keepLines w:val="0"/>
        <w:pageBreakBefore w:val="0"/>
        <w:kinsoku/>
        <w:wordWrap/>
        <w:overflowPunct/>
        <w:topLinePunct w:val="0"/>
        <w:autoSpaceDE/>
        <w:autoSpaceDN/>
        <w:bidi w:val="0"/>
        <w:adjustRightInd w:val="0"/>
        <w:snapToGrid w:val="0"/>
        <w:spacing w:line="540" w:lineRule="exact"/>
        <w:ind w:left="0" w:leftChars="0" w:firstLine="560" w:firstLineChars="200"/>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3.承接机构应开通监督电话，加强服务人员队伍管理，规范服务行为。上门服务人员必须身体健康、具有一定沟通能力、具备基本养老服务技能。  </w:t>
      </w:r>
    </w:p>
    <w:p w14:paraId="4115B28D">
      <w:pPr>
        <w:keepNext w:val="0"/>
        <w:keepLines w:val="0"/>
        <w:pageBreakBefore w:val="0"/>
        <w:kinsoku/>
        <w:wordWrap/>
        <w:overflowPunct/>
        <w:topLinePunct w:val="0"/>
        <w:autoSpaceDE/>
        <w:autoSpaceDN/>
        <w:bidi w:val="0"/>
        <w:adjustRightInd w:val="0"/>
        <w:snapToGrid w:val="0"/>
        <w:spacing w:line="540" w:lineRule="exact"/>
        <w:ind w:left="0" w:leftChars="0" w:firstLine="560" w:firstLineChars="200"/>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4.承接机构为服务对象提供服务过程中，若非服务人员故意，服务对象所发生的身体损伤事故或财产损失的，由服务机构、服务对象和服务人员三方协商解决或按第五条规定执行。</w:t>
      </w:r>
    </w:p>
    <w:p w14:paraId="46AD824C">
      <w:pPr>
        <w:keepNext w:val="0"/>
        <w:keepLines w:val="0"/>
        <w:pageBreakBefore w:val="0"/>
        <w:kinsoku/>
        <w:wordWrap/>
        <w:overflowPunct/>
        <w:topLinePunct w:val="0"/>
        <w:autoSpaceDE/>
        <w:autoSpaceDN/>
        <w:bidi w:val="0"/>
        <w:adjustRightInd w:val="0"/>
        <w:snapToGrid w:val="0"/>
        <w:spacing w:line="540" w:lineRule="exact"/>
        <w:ind w:left="0" w:leftChars="0" w:firstLine="560" w:firstLineChars="200"/>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5.承接机构每月需对服务对象进行服务质量电话回访，及时协调解决在服务过程中出现的问题。</w:t>
      </w:r>
    </w:p>
    <w:p w14:paraId="00ADF28B">
      <w:pPr>
        <w:keepNext w:val="0"/>
        <w:keepLines w:val="0"/>
        <w:pageBreakBefore w:val="0"/>
        <w:kinsoku/>
        <w:wordWrap/>
        <w:overflowPunct/>
        <w:topLinePunct w:val="0"/>
        <w:autoSpaceDE/>
        <w:autoSpaceDN/>
        <w:bidi w:val="0"/>
        <w:adjustRightInd w:val="0"/>
        <w:snapToGrid w:val="0"/>
        <w:spacing w:line="540" w:lineRule="exact"/>
        <w:ind w:left="0" w:leftChars="0" w:firstLine="560" w:firstLineChars="200"/>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6.服务对象或其监护人应积极配合承接机构做好居家养老上门服务各项工作，</w:t>
      </w:r>
      <w:r>
        <w:rPr>
          <w:rFonts w:hint="eastAsia" w:ascii="仿宋_GB2312" w:hAnsi="仿宋_GB2312" w:eastAsia="仿宋_GB2312" w:cs="仿宋_GB2312"/>
          <w:color w:val="auto"/>
          <w:sz w:val="28"/>
          <w:szCs w:val="28"/>
          <w:lang w:eastAsia="zh-CN"/>
        </w:rPr>
        <w:t>并</w:t>
      </w:r>
      <w:r>
        <w:rPr>
          <w:rFonts w:hint="eastAsia" w:ascii="仿宋_GB2312" w:hAnsi="仿宋_GB2312" w:eastAsia="仿宋_GB2312" w:cs="仿宋_GB2312"/>
          <w:color w:val="auto"/>
          <w:sz w:val="28"/>
          <w:szCs w:val="28"/>
        </w:rPr>
        <w:t>对服务人员的服务态度作出评价，对服务人员工作不满意的，有权向承接机构要求更换，协商不成可向县</w:t>
      </w:r>
      <w:r>
        <w:rPr>
          <w:rFonts w:hint="eastAsia" w:ascii="仿宋_GB2312" w:hAnsi="仿宋_GB2312" w:eastAsia="仿宋_GB2312" w:cs="仿宋_GB2312"/>
          <w:color w:val="auto"/>
          <w:sz w:val="28"/>
          <w:szCs w:val="28"/>
          <w:lang w:eastAsia="zh-CN"/>
        </w:rPr>
        <w:t>民政和人社局</w:t>
      </w:r>
      <w:r>
        <w:rPr>
          <w:rFonts w:hint="eastAsia" w:ascii="仿宋_GB2312" w:hAnsi="仿宋_GB2312" w:eastAsia="仿宋_GB2312" w:cs="仿宋_GB2312"/>
          <w:color w:val="auto"/>
          <w:sz w:val="28"/>
          <w:szCs w:val="28"/>
        </w:rPr>
        <w:t>反映或投诉。</w:t>
      </w:r>
    </w:p>
    <w:p w14:paraId="57AA5022">
      <w:pPr>
        <w:keepNext w:val="0"/>
        <w:keepLines w:val="0"/>
        <w:pageBreakBefore w:val="0"/>
        <w:kinsoku/>
        <w:wordWrap/>
        <w:overflowPunct/>
        <w:topLinePunct w:val="0"/>
        <w:autoSpaceDE/>
        <w:autoSpaceDN/>
        <w:bidi w:val="0"/>
        <w:adjustRightInd w:val="0"/>
        <w:snapToGrid w:val="0"/>
        <w:spacing w:line="540" w:lineRule="exact"/>
        <w:ind w:left="0" w:leftChars="0" w:firstLine="560" w:firstLineChars="200"/>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7.服务对象应尊重上门服务人员的人格尊严和劳动，提供安全的服务环境，不得歧视、虐待或性骚扰。</w:t>
      </w:r>
    </w:p>
    <w:p w14:paraId="685FF140">
      <w:pPr>
        <w:keepNext w:val="0"/>
        <w:keepLines w:val="0"/>
        <w:pageBreakBefore w:val="0"/>
        <w:kinsoku/>
        <w:wordWrap/>
        <w:overflowPunct/>
        <w:topLinePunct w:val="0"/>
        <w:autoSpaceDE/>
        <w:autoSpaceDN/>
        <w:bidi w:val="0"/>
        <w:adjustRightInd w:val="0"/>
        <w:snapToGrid w:val="0"/>
        <w:spacing w:line="540" w:lineRule="exact"/>
        <w:ind w:left="0" w:leftChars="0" w:firstLine="560" w:firstLineChars="200"/>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8.服务对象对承接机构提供的设施设备不得转移、拆卸、转借、出租</w:t>
      </w:r>
      <w:r>
        <w:rPr>
          <w:rFonts w:hint="eastAsia" w:ascii="仿宋_GB2312" w:hAnsi="仿宋_GB2312" w:eastAsia="仿宋_GB2312" w:cs="仿宋_GB2312"/>
          <w:color w:val="auto"/>
          <w:sz w:val="28"/>
          <w:szCs w:val="28"/>
          <w:lang w:eastAsia="zh-CN"/>
        </w:rPr>
        <w:t>、赠予</w:t>
      </w:r>
      <w:r>
        <w:rPr>
          <w:rFonts w:hint="eastAsia" w:ascii="仿宋_GB2312" w:hAnsi="仿宋_GB2312" w:eastAsia="仿宋_GB2312" w:cs="仿宋_GB2312"/>
          <w:color w:val="auto"/>
          <w:sz w:val="28"/>
          <w:szCs w:val="28"/>
        </w:rPr>
        <w:t>任何第三方使用或用做其他商业用途等，如违反本条规定，承接机构有权要求服务对象恢复原状、赔偿损失，情节严重的，可终止服务协议，并依法追究其相应</w:t>
      </w:r>
      <w:r>
        <w:rPr>
          <w:rFonts w:hint="eastAsia" w:ascii="仿宋_GB2312" w:hAnsi="仿宋_GB2312" w:eastAsia="仿宋_GB2312" w:cs="仿宋_GB2312"/>
          <w:color w:val="auto"/>
          <w:sz w:val="28"/>
          <w:szCs w:val="28"/>
          <w:lang w:eastAsia="zh-CN"/>
        </w:rPr>
        <w:t>法律</w:t>
      </w:r>
      <w:r>
        <w:rPr>
          <w:rFonts w:hint="eastAsia" w:ascii="仿宋_GB2312" w:hAnsi="仿宋_GB2312" w:eastAsia="仿宋_GB2312" w:cs="仿宋_GB2312"/>
          <w:color w:val="auto"/>
          <w:sz w:val="28"/>
          <w:szCs w:val="28"/>
        </w:rPr>
        <w:t>责任。</w:t>
      </w:r>
    </w:p>
    <w:p w14:paraId="28D8A9F2">
      <w:pPr>
        <w:keepNext w:val="0"/>
        <w:keepLines w:val="0"/>
        <w:pageBreakBefore w:val="0"/>
        <w:kinsoku/>
        <w:wordWrap/>
        <w:overflowPunct/>
        <w:topLinePunct w:val="0"/>
        <w:autoSpaceDE/>
        <w:autoSpaceDN/>
        <w:bidi w:val="0"/>
        <w:adjustRightInd w:val="0"/>
        <w:snapToGrid w:val="0"/>
        <w:spacing w:line="540" w:lineRule="exact"/>
        <w:ind w:left="0" w:leftChars="0" w:firstLine="560" w:firstLineChars="200"/>
        <w:jc w:val="left"/>
        <w:textAlignment w:val="auto"/>
        <w:rPr>
          <w:rFonts w:ascii="黑体" w:hAnsi="黑体" w:eastAsia="黑体" w:cs="黑体"/>
          <w:bCs/>
          <w:color w:val="auto"/>
          <w:sz w:val="28"/>
          <w:szCs w:val="28"/>
        </w:rPr>
      </w:pPr>
      <w:r>
        <w:rPr>
          <w:rFonts w:hint="eastAsia" w:ascii="黑体" w:hAnsi="黑体" w:eastAsia="黑体" w:cs="黑体"/>
          <w:bCs/>
          <w:color w:val="auto"/>
          <w:sz w:val="28"/>
          <w:szCs w:val="28"/>
        </w:rPr>
        <w:t>四、期限及终止</w:t>
      </w:r>
    </w:p>
    <w:p w14:paraId="52B3C176">
      <w:pPr>
        <w:keepNext w:val="0"/>
        <w:keepLines w:val="0"/>
        <w:pageBreakBefore w:val="0"/>
        <w:kinsoku/>
        <w:wordWrap/>
        <w:overflowPunct/>
        <w:topLinePunct w:val="0"/>
        <w:autoSpaceDE/>
        <w:autoSpaceDN/>
        <w:bidi w:val="0"/>
        <w:adjustRightInd w:val="0"/>
        <w:snapToGrid w:val="0"/>
        <w:spacing w:line="540" w:lineRule="exact"/>
        <w:ind w:left="0" w:leftChars="0" w:firstLine="560" w:firstLineChars="200"/>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1.协议期限自     年   月   日至     年   月  日。</w:t>
      </w:r>
    </w:p>
    <w:p w14:paraId="067282CF">
      <w:pPr>
        <w:keepNext w:val="0"/>
        <w:keepLines w:val="0"/>
        <w:pageBreakBefore w:val="0"/>
        <w:kinsoku/>
        <w:wordWrap/>
        <w:overflowPunct/>
        <w:topLinePunct w:val="0"/>
        <w:autoSpaceDE/>
        <w:autoSpaceDN/>
        <w:bidi w:val="0"/>
        <w:adjustRightInd w:val="0"/>
        <w:snapToGrid w:val="0"/>
        <w:spacing w:line="540" w:lineRule="exact"/>
        <w:ind w:left="0" w:leftChars="0" w:firstLine="560" w:firstLineChars="200"/>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2.发生以下情形之一，终止服务：签约服务对象死亡；签约服务对象变更的居住地超出县域；承接机构被依法依规责令停业整顿或关停；老年人不再符合确定的服务对象范围的；其他导致服务终止的情形。</w:t>
      </w:r>
    </w:p>
    <w:p w14:paraId="32B129A1">
      <w:pPr>
        <w:keepNext w:val="0"/>
        <w:keepLines w:val="0"/>
        <w:pageBreakBefore w:val="0"/>
        <w:kinsoku/>
        <w:wordWrap/>
        <w:overflowPunct/>
        <w:topLinePunct w:val="0"/>
        <w:autoSpaceDE/>
        <w:autoSpaceDN/>
        <w:bidi w:val="0"/>
        <w:adjustRightInd w:val="0"/>
        <w:snapToGrid w:val="0"/>
        <w:spacing w:line="540" w:lineRule="exact"/>
        <w:ind w:left="0" w:leftChars="0" w:firstLine="560" w:firstLineChars="200"/>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3.协议期未满，服务对象要求解除协议的，应提前7天告知承接机构</w:t>
      </w:r>
      <w:r>
        <w:rPr>
          <w:rFonts w:hint="eastAsia" w:ascii="仿宋_GB2312" w:hAnsi="仿宋_GB2312" w:eastAsia="仿宋_GB2312" w:cs="仿宋_GB2312"/>
          <w:color w:val="auto"/>
          <w:sz w:val="28"/>
          <w:szCs w:val="28"/>
          <w:lang w:eastAsia="zh-CN"/>
        </w:rPr>
        <w:t>，并报县民政和人社局备案</w:t>
      </w:r>
      <w:r>
        <w:rPr>
          <w:rFonts w:hint="eastAsia" w:ascii="仿宋_GB2312" w:hAnsi="仿宋_GB2312" w:eastAsia="仿宋_GB2312" w:cs="仿宋_GB2312"/>
          <w:color w:val="auto"/>
          <w:sz w:val="28"/>
          <w:szCs w:val="28"/>
        </w:rPr>
        <w:t>。</w:t>
      </w:r>
    </w:p>
    <w:p w14:paraId="2BDFB493">
      <w:pPr>
        <w:keepNext w:val="0"/>
        <w:keepLines w:val="0"/>
        <w:pageBreakBefore w:val="0"/>
        <w:kinsoku/>
        <w:wordWrap/>
        <w:overflowPunct/>
        <w:topLinePunct w:val="0"/>
        <w:autoSpaceDE/>
        <w:autoSpaceDN/>
        <w:bidi w:val="0"/>
        <w:adjustRightInd w:val="0"/>
        <w:snapToGrid w:val="0"/>
        <w:spacing w:line="540" w:lineRule="exact"/>
        <w:ind w:left="0" w:leftChars="0" w:firstLine="560" w:firstLineChars="200"/>
        <w:jc w:val="left"/>
        <w:textAlignment w:val="auto"/>
        <w:rPr>
          <w:rFonts w:ascii="黑体" w:hAnsi="黑体" w:eastAsia="黑体" w:cs="黑体"/>
          <w:bCs/>
          <w:color w:val="auto"/>
          <w:sz w:val="28"/>
          <w:szCs w:val="28"/>
        </w:rPr>
      </w:pPr>
      <w:r>
        <w:rPr>
          <w:rFonts w:hint="eastAsia" w:ascii="黑体" w:hAnsi="黑体" w:eastAsia="黑体" w:cs="黑体"/>
          <w:bCs/>
          <w:color w:val="auto"/>
          <w:sz w:val="28"/>
          <w:szCs w:val="28"/>
        </w:rPr>
        <w:t>五、争议解决</w:t>
      </w:r>
    </w:p>
    <w:p w14:paraId="3FD053A1">
      <w:pPr>
        <w:keepNext w:val="0"/>
        <w:keepLines w:val="0"/>
        <w:pageBreakBefore w:val="0"/>
        <w:kinsoku/>
        <w:wordWrap/>
        <w:overflowPunct/>
        <w:topLinePunct w:val="0"/>
        <w:autoSpaceDE/>
        <w:autoSpaceDN/>
        <w:bidi w:val="0"/>
        <w:adjustRightInd w:val="0"/>
        <w:snapToGrid w:val="0"/>
        <w:spacing w:line="540" w:lineRule="exact"/>
        <w:ind w:left="0" w:leftChars="0" w:firstLine="560" w:firstLineChars="200"/>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1.任何一方违反协议约定，另一方均有权要求其赔偿因违约造成的损失（包括但不限于诉讼费、律师费、保全费、保全担保费、鉴定费、差旅费、调查取证费等）。</w:t>
      </w:r>
    </w:p>
    <w:p w14:paraId="3F65DB21">
      <w:pPr>
        <w:keepNext w:val="0"/>
        <w:keepLines w:val="0"/>
        <w:pageBreakBefore w:val="0"/>
        <w:kinsoku/>
        <w:wordWrap/>
        <w:overflowPunct/>
        <w:topLinePunct w:val="0"/>
        <w:autoSpaceDE/>
        <w:autoSpaceDN/>
        <w:bidi w:val="0"/>
        <w:adjustRightInd w:val="0"/>
        <w:snapToGrid w:val="0"/>
        <w:spacing w:line="540" w:lineRule="exact"/>
        <w:ind w:left="0" w:leftChars="0" w:firstLine="560" w:firstLineChars="200"/>
        <w:textAlignment w:val="auto"/>
        <w:rPr>
          <w:rFonts w:ascii="仿宋_GB2312" w:hAnsi="宋体" w:eastAsia="仿宋_GB2312"/>
          <w:color w:val="auto"/>
          <w:sz w:val="28"/>
          <w:szCs w:val="28"/>
        </w:rPr>
      </w:pPr>
      <w:r>
        <w:rPr>
          <w:rFonts w:hint="eastAsia" w:ascii="仿宋_GB2312" w:hAnsi="仿宋_GB2312" w:eastAsia="仿宋_GB2312" w:cs="仿宋_GB2312"/>
          <w:color w:val="auto"/>
          <w:sz w:val="28"/>
          <w:szCs w:val="28"/>
        </w:rPr>
        <w:t>2.本协议项目发生争议的，由服务机构、服务对象和服务人员协商解决或向建宁县</w:t>
      </w:r>
      <w:r>
        <w:rPr>
          <w:rFonts w:hint="eastAsia" w:ascii="仿宋_GB2312" w:hAnsi="仿宋_GB2312" w:eastAsia="仿宋_GB2312" w:cs="仿宋_GB2312"/>
          <w:color w:val="auto"/>
          <w:sz w:val="28"/>
          <w:szCs w:val="28"/>
          <w:lang w:eastAsia="zh-CN"/>
        </w:rPr>
        <w:t>民政和人社局</w:t>
      </w:r>
      <w:r>
        <w:rPr>
          <w:rFonts w:hint="eastAsia" w:ascii="仿宋_GB2312" w:hAnsi="仿宋_GB2312" w:eastAsia="仿宋_GB2312" w:cs="仿宋_GB2312"/>
          <w:color w:val="auto"/>
          <w:sz w:val="28"/>
          <w:szCs w:val="28"/>
        </w:rPr>
        <w:t>申请调解解决；协商或调解解决不成的，向建宁县人民法院诉讼解决。</w:t>
      </w:r>
    </w:p>
    <w:p w14:paraId="60204A8D">
      <w:pPr>
        <w:keepNext w:val="0"/>
        <w:keepLines w:val="0"/>
        <w:pageBreakBefore w:val="0"/>
        <w:widowControl/>
        <w:kinsoku/>
        <w:wordWrap/>
        <w:overflowPunct/>
        <w:topLinePunct w:val="0"/>
        <w:autoSpaceDE/>
        <w:autoSpaceDN/>
        <w:bidi w:val="0"/>
        <w:spacing w:line="540" w:lineRule="exact"/>
        <w:ind w:left="0" w:leftChars="0" w:firstLine="562" w:firstLineChars="200"/>
        <w:jc w:val="left"/>
        <w:textAlignment w:val="auto"/>
        <w:rPr>
          <w:rFonts w:ascii="Microsoft YaHei UI" w:hAnsi="Microsoft YaHei UI" w:eastAsia="Microsoft YaHei UI" w:cs="Microsoft YaHei UI"/>
          <w:color w:val="auto"/>
          <w:spacing w:val="8"/>
          <w:sz w:val="25"/>
          <w:szCs w:val="25"/>
          <w:shd w:val="clear" w:color="auto" w:fill="FFFFFF"/>
        </w:rPr>
      </w:pPr>
      <w:r>
        <w:rPr>
          <w:rFonts w:hint="eastAsia" w:ascii="黑体" w:hAnsi="黑体" w:eastAsia="黑体" w:cs="黑体"/>
          <w:b/>
          <w:color w:val="auto"/>
          <w:sz w:val="28"/>
          <w:szCs w:val="28"/>
        </w:rPr>
        <w:t>六、其它事项</w:t>
      </w:r>
      <w:r>
        <w:rPr>
          <w:rFonts w:hint="eastAsia" w:ascii="黑体" w:hAnsi="黑体" w:eastAsia="黑体" w:cs="黑体"/>
          <w:b/>
          <w:color w:val="auto"/>
          <w:sz w:val="28"/>
          <w:szCs w:val="28"/>
        </w:rPr>
        <w:tab/>
      </w:r>
      <w:r>
        <w:rPr>
          <w:rFonts w:hint="eastAsia" w:ascii="Microsoft YaHei UI" w:hAnsi="Microsoft YaHei UI" w:eastAsia="Microsoft YaHei UI" w:cs="Microsoft YaHei UI"/>
          <w:color w:val="auto"/>
          <w:spacing w:val="8"/>
          <w:sz w:val="25"/>
          <w:szCs w:val="25"/>
          <w:shd w:val="clear" w:color="auto" w:fill="FFFFFF"/>
        </w:rPr>
        <w:tab/>
      </w:r>
      <w:r>
        <w:rPr>
          <w:rFonts w:hint="eastAsia" w:ascii="Microsoft YaHei UI" w:hAnsi="Microsoft YaHei UI" w:eastAsia="Microsoft YaHei UI" w:cs="Microsoft YaHei UI"/>
          <w:color w:val="auto"/>
          <w:spacing w:val="8"/>
          <w:sz w:val="25"/>
          <w:szCs w:val="25"/>
          <w:shd w:val="clear" w:color="auto" w:fill="FFFFFF"/>
        </w:rPr>
        <w:tab/>
      </w:r>
      <w:r>
        <w:rPr>
          <w:rFonts w:hint="eastAsia" w:ascii="Microsoft YaHei UI" w:hAnsi="Microsoft YaHei UI" w:eastAsia="Microsoft YaHei UI" w:cs="Microsoft YaHei UI"/>
          <w:color w:val="auto"/>
          <w:spacing w:val="8"/>
          <w:sz w:val="25"/>
          <w:szCs w:val="25"/>
          <w:shd w:val="clear" w:color="auto" w:fill="FFFFFF"/>
        </w:rPr>
        <w:tab/>
      </w:r>
      <w:r>
        <w:rPr>
          <w:rFonts w:hint="eastAsia" w:ascii="Microsoft YaHei UI" w:hAnsi="Microsoft YaHei UI" w:eastAsia="Microsoft YaHei UI" w:cs="Microsoft YaHei UI"/>
          <w:color w:val="auto"/>
          <w:spacing w:val="8"/>
          <w:sz w:val="25"/>
          <w:szCs w:val="25"/>
          <w:shd w:val="clear" w:color="auto" w:fill="FFFFFF"/>
        </w:rPr>
        <w:tab/>
      </w:r>
      <w:r>
        <w:rPr>
          <w:rFonts w:hint="eastAsia" w:ascii="Microsoft YaHei UI" w:hAnsi="Microsoft YaHei UI" w:eastAsia="Microsoft YaHei UI" w:cs="Microsoft YaHei UI"/>
          <w:color w:val="auto"/>
          <w:spacing w:val="8"/>
          <w:sz w:val="25"/>
          <w:szCs w:val="25"/>
          <w:shd w:val="clear" w:color="auto" w:fill="FFFFFF"/>
        </w:rPr>
        <w:tab/>
      </w:r>
      <w:r>
        <w:rPr>
          <w:rFonts w:hint="eastAsia" w:ascii="Microsoft YaHei UI" w:hAnsi="Microsoft YaHei UI" w:eastAsia="Microsoft YaHei UI" w:cs="Microsoft YaHei UI"/>
          <w:color w:val="auto"/>
          <w:spacing w:val="8"/>
          <w:sz w:val="25"/>
          <w:szCs w:val="25"/>
          <w:shd w:val="clear" w:color="auto" w:fill="FFFFFF"/>
        </w:rPr>
        <w:tab/>
      </w:r>
      <w:r>
        <w:rPr>
          <w:rFonts w:hint="eastAsia" w:ascii="Microsoft YaHei UI" w:hAnsi="Microsoft YaHei UI" w:eastAsia="Microsoft YaHei UI" w:cs="Microsoft YaHei UI"/>
          <w:color w:val="auto"/>
          <w:spacing w:val="8"/>
          <w:sz w:val="25"/>
          <w:szCs w:val="25"/>
          <w:shd w:val="clear" w:color="auto" w:fill="FFFFFF"/>
        </w:rPr>
        <w:tab/>
      </w:r>
      <w:r>
        <w:rPr>
          <w:rFonts w:hint="eastAsia" w:ascii="Microsoft YaHei UI" w:hAnsi="Microsoft YaHei UI" w:eastAsia="Microsoft YaHei UI" w:cs="Microsoft YaHei UI"/>
          <w:color w:val="auto"/>
          <w:spacing w:val="8"/>
          <w:sz w:val="25"/>
          <w:szCs w:val="25"/>
          <w:shd w:val="clear" w:color="auto" w:fill="FFFFFF"/>
        </w:rPr>
        <w:tab/>
      </w:r>
      <w:r>
        <w:rPr>
          <w:rFonts w:hint="eastAsia" w:ascii="Microsoft YaHei UI" w:hAnsi="Microsoft YaHei UI" w:eastAsia="Microsoft YaHei UI" w:cs="Microsoft YaHei UI"/>
          <w:color w:val="auto"/>
          <w:spacing w:val="8"/>
          <w:sz w:val="25"/>
          <w:szCs w:val="25"/>
          <w:shd w:val="clear" w:color="auto" w:fill="FFFFFF"/>
        </w:rPr>
        <w:tab/>
      </w:r>
      <w:r>
        <w:rPr>
          <w:rFonts w:hint="eastAsia" w:ascii="Microsoft YaHei UI" w:hAnsi="Microsoft YaHei UI" w:eastAsia="Microsoft YaHei UI" w:cs="Microsoft YaHei UI"/>
          <w:color w:val="auto"/>
          <w:spacing w:val="8"/>
          <w:sz w:val="25"/>
          <w:szCs w:val="25"/>
          <w:shd w:val="clear" w:color="auto" w:fill="FFFFFF"/>
        </w:rPr>
        <w:tab/>
      </w:r>
      <w:r>
        <w:rPr>
          <w:rFonts w:hint="eastAsia" w:ascii="Microsoft YaHei UI" w:hAnsi="Microsoft YaHei UI" w:eastAsia="Microsoft YaHei UI" w:cs="Microsoft YaHei UI"/>
          <w:color w:val="auto"/>
          <w:spacing w:val="8"/>
          <w:sz w:val="25"/>
          <w:szCs w:val="25"/>
          <w:shd w:val="clear" w:color="auto" w:fill="FFFFFF"/>
        </w:rPr>
        <w:tab/>
      </w:r>
      <w:r>
        <w:rPr>
          <w:rFonts w:hint="eastAsia" w:ascii="Microsoft YaHei UI" w:hAnsi="Microsoft YaHei UI" w:eastAsia="Microsoft YaHei UI" w:cs="Microsoft YaHei UI"/>
          <w:color w:val="auto"/>
          <w:spacing w:val="8"/>
          <w:sz w:val="25"/>
          <w:szCs w:val="25"/>
          <w:shd w:val="clear" w:color="auto" w:fill="FFFFFF"/>
        </w:rPr>
        <w:tab/>
      </w:r>
      <w:r>
        <w:rPr>
          <w:rFonts w:hint="eastAsia" w:ascii="Microsoft YaHei UI" w:hAnsi="Microsoft YaHei UI" w:eastAsia="Microsoft YaHei UI" w:cs="Microsoft YaHei UI"/>
          <w:color w:val="auto"/>
          <w:spacing w:val="8"/>
          <w:sz w:val="25"/>
          <w:szCs w:val="25"/>
          <w:shd w:val="clear" w:color="auto" w:fill="FFFFFF"/>
        </w:rPr>
        <w:tab/>
      </w:r>
    </w:p>
    <w:p w14:paraId="5F9FE2C6">
      <w:pPr>
        <w:keepNext w:val="0"/>
        <w:keepLines w:val="0"/>
        <w:pageBreakBefore w:val="0"/>
        <w:kinsoku/>
        <w:wordWrap/>
        <w:overflowPunct/>
        <w:topLinePunct w:val="0"/>
        <w:autoSpaceDE/>
        <w:autoSpaceDN/>
        <w:bidi w:val="0"/>
        <w:adjustRightInd w:val="0"/>
        <w:snapToGrid w:val="0"/>
        <w:spacing w:line="540" w:lineRule="exact"/>
        <w:ind w:left="0" w:leftChars="0" w:firstLine="560" w:firstLineChars="200"/>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本协议一式叁份，承接机构、服务对象双方各执一份，县</w:t>
      </w:r>
      <w:r>
        <w:rPr>
          <w:rFonts w:hint="eastAsia" w:ascii="仿宋_GB2312" w:hAnsi="仿宋_GB2312" w:eastAsia="仿宋_GB2312" w:cs="仿宋_GB2312"/>
          <w:color w:val="auto"/>
          <w:sz w:val="28"/>
          <w:szCs w:val="28"/>
          <w:lang w:eastAsia="zh-CN"/>
        </w:rPr>
        <w:t>民政和人社局</w:t>
      </w:r>
      <w:r>
        <w:rPr>
          <w:rFonts w:hint="eastAsia" w:ascii="仿宋_GB2312" w:hAnsi="仿宋_GB2312" w:eastAsia="仿宋_GB2312" w:cs="仿宋_GB2312"/>
          <w:color w:val="auto"/>
          <w:sz w:val="28"/>
          <w:szCs w:val="28"/>
        </w:rPr>
        <w:t>备案一份，自签订之日起生效。如有未尽事宜可另订补充协议，附件作为本合同的组成部分，具有同等法律效力。</w:t>
      </w:r>
    </w:p>
    <w:p w14:paraId="76A47144">
      <w:pPr>
        <w:keepNext w:val="0"/>
        <w:keepLines w:val="0"/>
        <w:pageBreakBefore w:val="0"/>
        <w:kinsoku/>
        <w:wordWrap/>
        <w:overflowPunct/>
        <w:topLinePunct w:val="0"/>
        <w:autoSpaceDE/>
        <w:autoSpaceDN/>
        <w:bidi w:val="0"/>
        <w:adjustRightInd w:val="0"/>
        <w:snapToGrid w:val="0"/>
        <w:spacing w:line="540" w:lineRule="exact"/>
        <w:ind w:left="0" w:leftChars="0" w:firstLine="560" w:firstLineChars="200"/>
        <w:textAlignment w:val="auto"/>
        <w:rPr>
          <w:rFonts w:ascii="仿宋_GB2312" w:hAnsi="仿宋_GB2312" w:eastAsia="仿宋_GB2312" w:cs="仿宋_GB2312"/>
          <w:color w:val="auto"/>
          <w:sz w:val="28"/>
          <w:szCs w:val="28"/>
        </w:rPr>
      </w:pPr>
    </w:p>
    <w:p w14:paraId="3E5B8302">
      <w:pPr>
        <w:pStyle w:val="8"/>
        <w:keepNext w:val="0"/>
        <w:keepLines w:val="0"/>
        <w:pageBreakBefore w:val="0"/>
        <w:kinsoku/>
        <w:wordWrap/>
        <w:overflowPunct/>
        <w:topLinePunct w:val="0"/>
        <w:autoSpaceDE/>
        <w:autoSpaceDN/>
        <w:bidi w:val="0"/>
        <w:spacing w:after="0" w:line="540" w:lineRule="exact"/>
        <w:ind w:left="0" w:leftChars="0" w:firstLine="640"/>
        <w:textAlignment w:val="auto"/>
        <w:rPr>
          <w:color w:val="auto"/>
        </w:rPr>
      </w:pPr>
    </w:p>
    <w:p w14:paraId="66C4CF28">
      <w:pPr>
        <w:keepNext w:val="0"/>
        <w:keepLines w:val="0"/>
        <w:pageBreakBefore w:val="0"/>
        <w:kinsoku/>
        <w:wordWrap/>
        <w:overflowPunct/>
        <w:topLinePunct w:val="0"/>
        <w:autoSpaceDE/>
        <w:autoSpaceDN/>
        <w:bidi w:val="0"/>
        <w:adjustRightInd w:val="0"/>
        <w:snapToGrid w:val="0"/>
        <w:spacing w:line="540" w:lineRule="exact"/>
        <w:ind w:left="0" w:leftChars="0" w:firstLine="560" w:firstLineChars="200"/>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承接机构：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服务对象：</w:t>
      </w:r>
    </w:p>
    <w:p w14:paraId="19158F6C">
      <w:pPr>
        <w:keepNext w:val="0"/>
        <w:keepLines w:val="0"/>
        <w:pageBreakBefore w:val="0"/>
        <w:kinsoku/>
        <w:wordWrap/>
        <w:overflowPunct/>
        <w:topLinePunct w:val="0"/>
        <w:autoSpaceDE/>
        <w:autoSpaceDN/>
        <w:bidi w:val="0"/>
        <w:adjustRightInd w:val="0"/>
        <w:snapToGrid w:val="0"/>
        <w:spacing w:line="540" w:lineRule="exact"/>
        <w:ind w:left="0" w:leftChars="0" w:firstLine="560" w:firstLineChars="200"/>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代    表：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服务对象监护人：</w:t>
      </w:r>
    </w:p>
    <w:p w14:paraId="2BA9CBEF">
      <w:pPr>
        <w:keepNext w:val="0"/>
        <w:keepLines w:val="0"/>
        <w:pageBreakBefore w:val="0"/>
        <w:kinsoku/>
        <w:wordWrap/>
        <w:overflowPunct/>
        <w:topLinePunct w:val="0"/>
        <w:autoSpaceDE/>
        <w:autoSpaceDN/>
        <w:bidi w:val="0"/>
        <w:adjustRightInd w:val="0"/>
        <w:snapToGrid w:val="0"/>
        <w:spacing w:line="540" w:lineRule="exact"/>
        <w:ind w:left="0" w:leftChars="0" w:firstLine="560" w:firstLineChars="200"/>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电    话：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电    话：</w:t>
      </w:r>
    </w:p>
    <w:p w14:paraId="2C1D2116">
      <w:pPr>
        <w:keepNext w:val="0"/>
        <w:keepLines w:val="0"/>
        <w:pageBreakBefore w:val="0"/>
        <w:kinsoku/>
        <w:wordWrap/>
        <w:overflowPunct/>
        <w:topLinePunct w:val="0"/>
        <w:autoSpaceDE/>
        <w:autoSpaceDN/>
        <w:bidi w:val="0"/>
        <w:adjustRightInd w:val="0"/>
        <w:snapToGrid w:val="0"/>
        <w:spacing w:line="540" w:lineRule="exact"/>
        <w:ind w:left="0" w:leftChars="0" w:firstLine="560" w:firstLineChars="200"/>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日    期：   年   月   日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日    期：   年  月   日</w:t>
      </w:r>
    </w:p>
    <w:p w14:paraId="6B1D8BCC">
      <w:pPr>
        <w:pStyle w:val="8"/>
        <w:keepNext w:val="0"/>
        <w:keepLines w:val="0"/>
        <w:pageBreakBefore w:val="0"/>
        <w:wordWrap/>
        <w:topLinePunct w:val="0"/>
        <w:autoSpaceDE/>
        <w:autoSpaceDN/>
        <w:bidi w:val="0"/>
        <w:spacing w:after="0" w:line="560" w:lineRule="exact"/>
        <w:ind w:left="0" w:leftChars="0" w:firstLine="640"/>
        <w:textAlignment w:val="auto"/>
        <w:rPr>
          <w:color w:val="auto"/>
        </w:rPr>
      </w:pPr>
      <w:r>
        <w:rPr>
          <w:color w:val="auto"/>
        </w:rPr>
        <w:br w:type="page"/>
      </w:r>
    </w:p>
    <w:p w14:paraId="42FB4D06">
      <w:pPr>
        <w:pStyle w:val="3"/>
        <w:keepNext w:val="0"/>
        <w:keepLines w:val="0"/>
        <w:pageBreakBefore w:val="0"/>
        <w:kinsoku w:val="0"/>
        <w:wordWrap/>
        <w:overflowPunct w:val="0"/>
        <w:topLinePunct w:val="0"/>
        <w:autoSpaceDE/>
        <w:autoSpaceDN/>
        <w:bidi w:val="0"/>
        <w:spacing w:line="560" w:lineRule="exact"/>
        <w:ind w:left="0" w:leftChars="0"/>
        <w:textAlignment w:val="auto"/>
        <w:rPr>
          <w:rFonts w:hint="default" w:ascii="黑体" w:hAnsi="黑体" w:eastAsia="黑体"/>
          <w:color w:val="auto"/>
          <w:sz w:val="32"/>
          <w:szCs w:val="32"/>
        </w:rPr>
      </w:pPr>
      <w:r>
        <w:rPr>
          <w:rFonts w:ascii="黑体" w:hAnsi="黑体" w:eastAsia="黑体"/>
          <w:color w:val="auto"/>
          <w:sz w:val="32"/>
          <w:szCs w:val="32"/>
        </w:rPr>
        <w:t>附件3</w:t>
      </w:r>
    </w:p>
    <w:p w14:paraId="34C9380B">
      <w:pPr>
        <w:keepNext w:val="0"/>
        <w:keepLines w:val="0"/>
        <w:pageBreakBefore w:val="0"/>
        <w:wordWrap/>
        <w:topLinePunct w:val="0"/>
        <w:autoSpaceDE/>
        <w:autoSpaceDN/>
        <w:bidi w:val="0"/>
        <w:spacing w:line="560" w:lineRule="exact"/>
        <w:ind w:left="0" w:leftChars="0"/>
        <w:jc w:val="center"/>
        <w:textAlignment w:val="auto"/>
        <w:rPr>
          <w:rFonts w:hint="eastAsia" w:ascii="方正小标宋简体" w:hAnsi="方正小标宋简体" w:eastAsia="方正小标宋简体" w:cs="方正小标宋简体"/>
          <w:color w:val="auto"/>
          <w:sz w:val="44"/>
          <w:szCs w:val="44"/>
        </w:rPr>
      </w:pPr>
    </w:p>
    <w:p w14:paraId="07D34646">
      <w:pPr>
        <w:keepNext w:val="0"/>
        <w:keepLines w:val="0"/>
        <w:pageBreakBefore w:val="0"/>
        <w:wordWrap/>
        <w:topLinePunct w:val="0"/>
        <w:autoSpaceDE/>
        <w:autoSpaceDN/>
        <w:bidi w:val="0"/>
        <w:spacing w:line="560" w:lineRule="exact"/>
        <w:ind w:left="0" w:leftChars="0"/>
        <w:jc w:val="center"/>
        <w:textAlignment w:val="auto"/>
        <w:rPr>
          <w:rFonts w:ascii="方正小标宋简体" w:hAnsi="方正小标宋简体" w:eastAsia="方正小标宋简体" w:cs="方正小标宋简体"/>
          <w:color w:val="auto"/>
          <w:spacing w:val="-6"/>
          <w:sz w:val="44"/>
          <w:szCs w:val="44"/>
        </w:rPr>
      </w:pPr>
      <w:r>
        <w:rPr>
          <w:rFonts w:hint="eastAsia" w:ascii="方正小标宋简体" w:hAnsi="方正小标宋简体" w:eastAsia="方正小标宋简体" w:cs="方正小标宋简体"/>
          <w:color w:val="auto"/>
          <w:spacing w:val="-11"/>
          <w:sz w:val="44"/>
          <w:szCs w:val="44"/>
        </w:rPr>
        <w:t>建宁县</w:t>
      </w:r>
      <w:r>
        <w:rPr>
          <w:rFonts w:hint="eastAsia" w:ascii="方正小标宋简体" w:hAnsi="方正小标宋简体" w:eastAsia="方正小标宋简体" w:cs="方正小标宋简体"/>
          <w:color w:val="auto"/>
          <w:spacing w:val="-11"/>
          <w:sz w:val="44"/>
          <w:szCs w:val="44"/>
          <w:lang w:eastAsia="zh-CN"/>
        </w:rPr>
        <w:t>“五联五保”</w:t>
      </w:r>
      <w:r>
        <w:rPr>
          <w:rFonts w:hint="eastAsia" w:ascii="方正小标宋简体" w:hAnsi="方正小标宋简体" w:eastAsia="方正小标宋简体" w:cs="方正小标宋简体"/>
          <w:color w:val="auto"/>
          <w:spacing w:val="-11"/>
          <w:sz w:val="44"/>
          <w:szCs w:val="44"/>
        </w:rPr>
        <w:t>居家养老上门服务指导目录</w:t>
      </w:r>
    </w:p>
    <w:tbl>
      <w:tblPr>
        <w:tblStyle w:val="9"/>
        <w:tblpPr w:leftFromText="180" w:rightFromText="180" w:vertAnchor="text" w:horzAnchor="page" w:tblpX="1732" w:tblpY="597"/>
        <w:tblOverlap w:val="never"/>
        <w:tblW w:w="8597"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215"/>
        <w:gridCol w:w="7382"/>
      </w:tblGrid>
      <w:tr w14:paraId="6CE8035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80" w:hRule="atLeast"/>
        </w:trPr>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7FC6E8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jc w:val="center"/>
              <w:textAlignment w:val="auto"/>
              <w:rPr>
                <w:rFonts w:hint="default" w:ascii="仿宋_GB2312" w:hAnsi="宋体" w:eastAsia="仿宋_GB2312"/>
                <w:b/>
                <w:bCs/>
                <w:color w:val="auto"/>
                <w:sz w:val="24"/>
              </w:rPr>
            </w:pPr>
            <w:r>
              <w:rPr>
                <w:rFonts w:hint="eastAsia" w:ascii="仿宋_GB2312" w:hAnsi="宋体" w:eastAsia="仿宋_GB2312"/>
                <w:b/>
                <w:bCs/>
                <w:color w:val="auto"/>
                <w:sz w:val="24"/>
              </w:rPr>
              <w:t>科   目</w:t>
            </w:r>
          </w:p>
        </w:tc>
        <w:tc>
          <w:tcPr>
            <w:tcW w:w="7382"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4EDD49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jc w:val="center"/>
              <w:textAlignment w:val="auto"/>
              <w:rPr>
                <w:rFonts w:hint="default" w:ascii="仿宋_GB2312" w:hAnsi="宋体" w:eastAsia="仿宋_GB2312"/>
                <w:b/>
                <w:bCs/>
                <w:color w:val="auto"/>
                <w:sz w:val="24"/>
              </w:rPr>
            </w:pPr>
            <w:r>
              <w:rPr>
                <w:rFonts w:hint="eastAsia" w:ascii="仿宋_GB2312" w:hAnsi="宋体" w:eastAsia="仿宋_GB2312"/>
                <w:b/>
                <w:bCs/>
                <w:color w:val="auto"/>
                <w:sz w:val="24"/>
              </w:rPr>
              <w:t>详    解</w:t>
            </w:r>
          </w:p>
        </w:tc>
      </w:tr>
      <w:tr w14:paraId="4211D13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190" w:hRule="exact"/>
        </w:trPr>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600638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jc w:val="center"/>
              <w:textAlignment w:val="auto"/>
              <w:rPr>
                <w:rFonts w:hint="default" w:ascii="仿宋_GB2312" w:hAnsi="宋体" w:eastAsia="仿宋_GB2312"/>
                <w:color w:val="auto"/>
                <w:sz w:val="24"/>
              </w:rPr>
            </w:pPr>
            <w:bookmarkStart w:id="0" w:name="_Hlk77593256"/>
            <w:r>
              <w:rPr>
                <w:rFonts w:hint="eastAsia" w:ascii="仿宋_GB2312" w:hAnsi="宋体" w:eastAsia="仿宋_GB2312"/>
                <w:color w:val="auto"/>
                <w:sz w:val="24"/>
              </w:rPr>
              <w:t>紧急救援服务</w:t>
            </w:r>
          </w:p>
        </w:tc>
        <w:tc>
          <w:tcPr>
            <w:tcW w:w="7382"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20524A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jc w:val="left"/>
              <w:textAlignment w:val="auto"/>
              <w:rPr>
                <w:rFonts w:hint="eastAsia" w:ascii="仿宋_GB2312" w:hAnsi="宋体" w:eastAsia="仿宋_GB2312"/>
                <w:color w:val="auto"/>
                <w:sz w:val="24"/>
                <w:lang w:eastAsia="zh-CN"/>
              </w:rPr>
            </w:pPr>
            <w:r>
              <w:rPr>
                <w:rFonts w:hint="eastAsia" w:ascii="仿宋_GB2312" w:hAnsi="宋体" w:eastAsia="仿宋_GB2312"/>
                <w:color w:val="auto"/>
                <w:sz w:val="24"/>
              </w:rPr>
              <w:t>1.提供紧急呼叫设备；2.设立24小时响应服务平台，老人紧急呼叫，应在5分钟内响应并对应处理</w:t>
            </w:r>
            <w:r>
              <w:rPr>
                <w:rFonts w:hint="eastAsia" w:ascii="仿宋_GB2312" w:hAnsi="宋体" w:eastAsia="仿宋_GB2312"/>
                <w:color w:val="auto"/>
                <w:sz w:val="24"/>
                <w:lang w:eastAsia="zh-CN"/>
              </w:rPr>
              <w:t>。</w:t>
            </w:r>
          </w:p>
        </w:tc>
      </w:tr>
      <w:tr w14:paraId="530682C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490" w:hRule="exact"/>
        </w:trPr>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47BC81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jc w:val="center"/>
              <w:textAlignment w:val="auto"/>
              <w:rPr>
                <w:rFonts w:hint="default" w:ascii="仿宋_GB2312" w:hAnsi="宋体" w:eastAsia="仿宋_GB2312"/>
                <w:color w:val="auto"/>
                <w:sz w:val="24"/>
              </w:rPr>
            </w:pPr>
            <w:r>
              <w:rPr>
                <w:rFonts w:hint="eastAsia" w:ascii="仿宋_GB2312" w:hAnsi="宋体" w:eastAsia="仿宋_GB2312"/>
                <w:color w:val="auto"/>
                <w:sz w:val="24"/>
              </w:rPr>
              <w:t>巡访关爱服务</w:t>
            </w:r>
          </w:p>
        </w:tc>
        <w:tc>
          <w:tcPr>
            <w:tcW w:w="7382"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2ACFB3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jc w:val="left"/>
              <w:textAlignment w:val="auto"/>
              <w:rPr>
                <w:rFonts w:hint="default" w:ascii="仿宋_GB2312" w:hAnsi="宋体" w:eastAsia="仿宋_GB2312"/>
                <w:color w:val="auto"/>
                <w:sz w:val="24"/>
              </w:rPr>
            </w:pPr>
            <w:r>
              <w:rPr>
                <w:rFonts w:hint="eastAsia" w:ascii="仿宋_GB2312" w:hAnsi="宋体" w:eastAsia="仿宋_GB2312"/>
                <w:color w:val="auto"/>
                <w:sz w:val="24"/>
              </w:rPr>
              <w:t>为老年人提供上门</w:t>
            </w:r>
            <w:r>
              <w:rPr>
                <w:rFonts w:hint="eastAsia" w:ascii="仿宋_GB2312" w:hAnsi="宋体" w:eastAsia="仿宋_GB2312"/>
                <w:color w:val="auto"/>
                <w:sz w:val="24"/>
                <w:lang w:eastAsia="zh-CN"/>
              </w:rPr>
              <w:t>探访</w:t>
            </w:r>
            <w:r>
              <w:rPr>
                <w:rFonts w:hint="eastAsia" w:ascii="仿宋_GB2312" w:hAnsi="宋体" w:eastAsia="仿宋_GB2312"/>
                <w:color w:val="auto"/>
                <w:sz w:val="24"/>
              </w:rPr>
              <w:t>、电话定期回访、生日关怀、节日关怀等服务。每月至少1次上门探访、每两日1次电话联系；对于独居老年人，每月至少2次上门探访，每日1次电话联系。采取技术手段掌握老人活动信息的，可适当减少电话互动。</w:t>
            </w:r>
          </w:p>
        </w:tc>
      </w:tr>
      <w:bookmarkEnd w:id="0"/>
      <w:tr w14:paraId="7A24611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304" w:hRule="exact"/>
        </w:trPr>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58B317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jc w:val="center"/>
              <w:textAlignment w:val="auto"/>
              <w:rPr>
                <w:rFonts w:hint="default" w:ascii="仿宋_GB2312" w:hAnsi="宋体" w:eastAsia="仿宋_GB2312"/>
                <w:color w:val="auto"/>
                <w:sz w:val="24"/>
              </w:rPr>
            </w:pPr>
            <w:r>
              <w:rPr>
                <w:rFonts w:hint="eastAsia" w:ascii="仿宋_GB2312" w:hAnsi="宋体" w:eastAsia="仿宋_GB2312"/>
                <w:color w:val="auto"/>
                <w:sz w:val="24"/>
              </w:rPr>
              <w:t>助餐服务</w:t>
            </w:r>
          </w:p>
        </w:tc>
        <w:tc>
          <w:tcPr>
            <w:tcW w:w="7382"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3EB638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jc w:val="left"/>
              <w:textAlignment w:val="auto"/>
              <w:rPr>
                <w:rFonts w:hint="default" w:ascii="仿宋_GB2312" w:hAnsi="宋体" w:eastAsia="仿宋_GB2312"/>
                <w:color w:val="auto"/>
                <w:sz w:val="24"/>
              </w:rPr>
            </w:pPr>
            <w:r>
              <w:rPr>
                <w:rFonts w:hint="eastAsia" w:ascii="仿宋_GB2312" w:hAnsi="宋体" w:eastAsia="仿宋_GB2312"/>
                <w:color w:val="auto"/>
                <w:sz w:val="24"/>
              </w:rPr>
              <w:t>利用自有食堂或与餐饮企业合作、中央厨房配餐等方式向辐射区域内老年人提供符合食品安全规定要求的老年餐，包括集中用餐、上门送餐等。</w:t>
            </w:r>
          </w:p>
        </w:tc>
      </w:tr>
      <w:tr w14:paraId="33095BF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804" w:hRule="exact"/>
        </w:trPr>
        <w:tc>
          <w:tcPr>
            <w:tcW w:w="121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44872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jc w:val="center"/>
              <w:textAlignment w:val="auto"/>
              <w:rPr>
                <w:rFonts w:hint="default" w:ascii="仿宋_GB2312" w:hAnsi="宋体" w:eastAsia="仿宋_GB2312"/>
                <w:color w:val="auto"/>
                <w:sz w:val="24"/>
              </w:rPr>
            </w:pPr>
            <w:r>
              <w:rPr>
                <w:rFonts w:hint="eastAsia" w:ascii="仿宋_GB2312" w:hAnsi="宋体" w:eastAsia="仿宋_GB2312"/>
                <w:color w:val="auto"/>
                <w:sz w:val="24"/>
              </w:rPr>
              <w:t>助洁服务</w:t>
            </w:r>
          </w:p>
        </w:tc>
        <w:tc>
          <w:tcPr>
            <w:tcW w:w="7382"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37B343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jc w:val="left"/>
              <w:textAlignment w:val="auto"/>
              <w:rPr>
                <w:rFonts w:hint="default" w:ascii="仿宋_GB2312" w:hAnsi="宋体" w:eastAsia="仿宋_GB2312"/>
                <w:color w:val="auto"/>
                <w:sz w:val="24"/>
              </w:rPr>
            </w:pPr>
            <w:r>
              <w:rPr>
                <w:rFonts w:hint="eastAsia" w:ascii="仿宋_GB2312" w:hAnsi="宋体" w:eastAsia="仿宋_GB2312"/>
                <w:color w:val="auto"/>
                <w:sz w:val="24"/>
              </w:rPr>
              <w:t>上门入户为老年人开展室内清洁服务和专项清洁服务。室内清洁服务包括地面和墙面清扫，家具及用品擦试，厨房清洁，卫生间清洁，卧床老年人床铺清洁等；专项清洁服务包括空调通风系统清洁，厨房抽油烟机清洁，衣服、床品清洗，室内消毒，老年专用设备清洁服务等。</w:t>
            </w:r>
          </w:p>
        </w:tc>
      </w:tr>
      <w:tr w14:paraId="4EED3AB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824" w:hRule="exact"/>
        </w:trPr>
        <w:tc>
          <w:tcPr>
            <w:tcW w:w="121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AEE81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jc w:val="center"/>
              <w:textAlignment w:val="auto"/>
              <w:rPr>
                <w:rFonts w:hint="default" w:ascii="仿宋_GB2312" w:hAnsi="宋体" w:eastAsia="仿宋_GB2312"/>
                <w:color w:val="auto"/>
                <w:sz w:val="24"/>
              </w:rPr>
            </w:pPr>
            <w:r>
              <w:rPr>
                <w:rFonts w:hint="eastAsia" w:ascii="仿宋_GB2312" w:hAnsi="宋体" w:eastAsia="仿宋_GB2312"/>
                <w:color w:val="auto"/>
                <w:sz w:val="24"/>
              </w:rPr>
              <w:t>助行服务</w:t>
            </w:r>
          </w:p>
        </w:tc>
        <w:tc>
          <w:tcPr>
            <w:tcW w:w="7382"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65C26F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jc w:val="left"/>
              <w:textAlignment w:val="auto"/>
              <w:rPr>
                <w:rFonts w:hint="default" w:ascii="仿宋_GB2312" w:hAnsi="宋体" w:eastAsia="仿宋_GB2312"/>
                <w:color w:val="auto"/>
                <w:sz w:val="24"/>
              </w:rPr>
            </w:pPr>
            <w:r>
              <w:rPr>
                <w:rFonts w:hint="eastAsia" w:ascii="仿宋_GB2312" w:hAnsi="宋体" w:eastAsia="仿宋_GB2312"/>
                <w:color w:val="auto"/>
                <w:sz w:val="24"/>
              </w:rPr>
              <w:t>为老年人提供上、下楼服务；从家到医院</w:t>
            </w:r>
            <w:r>
              <w:rPr>
                <w:rFonts w:hint="eastAsia" w:ascii="仿宋_GB2312" w:hAnsi="宋体" w:eastAsia="仿宋_GB2312"/>
                <w:color w:val="auto"/>
                <w:sz w:val="24"/>
                <w:lang w:eastAsia="zh-CN"/>
              </w:rPr>
              <w:t>或卫生院</w:t>
            </w:r>
            <w:r>
              <w:rPr>
                <w:rFonts w:hint="eastAsia" w:ascii="仿宋_GB2312" w:hAnsi="宋体" w:eastAsia="仿宋_GB2312"/>
                <w:color w:val="auto"/>
                <w:sz w:val="24"/>
              </w:rPr>
              <w:t>的交通接送服务；陪同老年人散步、外出等服务。</w:t>
            </w:r>
          </w:p>
        </w:tc>
      </w:tr>
      <w:tr w14:paraId="27673EB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67" w:hRule="exact"/>
        </w:trPr>
        <w:tc>
          <w:tcPr>
            <w:tcW w:w="121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7E6DF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jc w:val="center"/>
              <w:textAlignment w:val="auto"/>
              <w:rPr>
                <w:rFonts w:hint="default" w:ascii="仿宋_GB2312" w:hAnsi="宋体" w:eastAsia="仿宋_GB2312"/>
                <w:color w:val="auto"/>
                <w:sz w:val="24"/>
              </w:rPr>
            </w:pPr>
            <w:r>
              <w:rPr>
                <w:rFonts w:hint="eastAsia" w:ascii="仿宋_GB2312" w:hAnsi="宋体" w:eastAsia="仿宋_GB2312"/>
                <w:color w:val="auto"/>
                <w:sz w:val="24"/>
              </w:rPr>
              <w:t>助浴服务</w:t>
            </w:r>
          </w:p>
        </w:tc>
        <w:tc>
          <w:tcPr>
            <w:tcW w:w="7382"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498A31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jc w:val="left"/>
              <w:textAlignment w:val="auto"/>
              <w:rPr>
                <w:rFonts w:hint="default" w:ascii="仿宋_GB2312" w:hAnsi="宋体" w:eastAsia="仿宋_GB2312"/>
                <w:color w:val="auto"/>
                <w:sz w:val="24"/>
              </w:rPr>
            </w:pPr>
            <w:r>
              <w:rPr>
                <w:rFonts w:hint="eastAsia" w:ascii="仿宋_GB2312" w:hAnsi="宋体" w:eastAsia="仿宋_GB2312"/>
                <w:color w:val="auto"/>
                <w:sz w:val="24"/>
              </w:rPr>
              <w:t>上门入户为老年人，尤其是针对失能老年人开展的淋浴、擦浴及个人卫生清洁（头、脸、手、脚清洁，剪指甲、修脚、理发、口腔护理、全身护理）等服务。</w:t>
            </w:r>
          </w:p>
        </w:tc>
      </w:tr>
      <w:tr w14:paraId="774AD44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61" w:hRule="exact"/>
        </w:trPr>
        <w:tc>
          <w:tcPr>
            <w:tcW w:w="121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EBF01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jc w:val="center"/>
              <w:textAlignment w:val="auto"/>
              <w:rPr>
                <w:rFonts w:hint="default" w:ascii="仿宋_GB2312" w:hAnsi="宋体" w:eastAsia="仿宋_GB2312"/>
                <w:color w:val="auto"/>
                <w:sz w:val="24"/>
              </w:rPr>
            </w:pPr>
            <w:r>
              <w:rPr>
                <w:rFonts w:hint="eastAsia" w:ascii="仿宋_GB2312" w:hAnsi="宋体" w:eastAsia="仿宋_GB2312"/>
                <w:color w:val="auto"/>
                <w:sz w:val="24"/>
              </w:rPr>
              <w:t>助医服务</w:t>
            </w:r>
          </w:p>
        </w:tc>
        <w:tc>
          <w:tcPr>
            <w:tcW w:w="7382"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6A2185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jc w:val="left"/>
              <w:textAlignment w:val="auto"/>
              <w:rPr>
                <w:rFonts w:hint="default" w:ascii="仿宋_GB2312" w:hAnsi="宋体" w:eastAsia="仿宋_GB2312"/>
                <w:color w:val="auto"/>
                <w:sz w:val="24"/>
              </w:rPr>
            </w:pPr>
            <w:r>
              <w:rPr>
                <w:rFonts w:hint="eastAsia" w:ascii="仿宋_GB2312" w:hAnsi="宋体" w:eastAsia="仿宋_GB2312"/>
                <w:color w:val="auto"/>
                <w:sz w:val="24"/>
              </w:rPr>
              <w:t>为老年人就医和转诊提供陪同就诊、取药等服务；在社区卫生医疗机构医生的指导下提供医疗保健养生知识指导和咨询服务。</w:t>
            </w:r>
          </w:p>
        </w:tc>
      </w:tr>
      <w:tr w14:paraId="50FD39B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35" w:hRule="exact"/>
        </w:trPr>
        <w:tc>
          <w:tcPr>
            <w:tcW w:w="121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B7209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jc w:val="center"/>
              <w:textAlignment w:val="auto"/>
              <w:rPr>
                <w:rFonts w:hint="default" w:ascii="仿宋_GB2312" w:hAnsi="宋体" w:eastAsia="仿宋_GB2312"/>
                <w:color w:val="auto"/>
                <w:sz w:val="24"/>
              </w:rPr>
            </w:pPr>
            <w:r>
              <w:rPr>
                <w:rFonts w:hint="eastAsia" w:ascii="仿宋_GB2312" w:hAnsi="宋体" w:eastAsia="仿宋_GB2312"/>
                <w:color w:val="auto"/>
                <w:sz w:val="24"/>
              </w:rPr>
              <w:t>康复服务</w:t>
            </w:r>
          </w:p>
        </w:tc>
        <w:tc>
          <w:tcPr>
            <w:tcW w:w="7382" w:type="dxa"/>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14:paraId="389278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jc w:val="left"/>
              <w:textAlignment w:val="auto"/>
              <w:rPr>
                <w:rFonts w:hint="default" w:ascii="仿宋_GB2312" w:hAnsi="宋体" w:eastAsia="仿宋_GB2312"/>
                <w:color w:val="auto"/>
                <w:sz w:val="24"/>
              </w:rPr>
            </w:pPr>
            <w:r>
              <w:rPr>
                <w:rFonts w:hint="eastAsia" w:ascii="仿宋_GB2312" w:hAnsi="宋体" w:eastAsia="仿宋_GB2312"/>
                <w:color w:val="auto"/>
                <w:sz w:val="24"/>
              </w:rPr>
              <w:t>专业康复师为老年人提供康复知识指导和咨询服务</w:t>
            </w:r>
            <w:r>
              <w:rPr>
                <w:rFonts w:hint="eastAsia" w:ascii="仿宋_GB2312" w:hAnsi="宋体" w:eastAsia="仿宋_GB2312"/>
                <w:color w:val="auto"/>
                <w:sz w:val="24"/>
                <w:lang w:eastAsia="zh-CN"/>
              </w:rPr>
              <w:t>；</w:t>
            </w:r>
            <w:r>
              <w:rPr>
                <w:rFonts w:hint="eastAsia" w:ascii="仿宋_GB2312" w:hAnsi="宋体" w:eastAsia="仿宋_GB2312"/>
                <w:color w:val="auto"/>
                <w:sz w:val="24"/>
              </w:rPr>
              <w:t>运用综合康复手段，为老年人提供维护身心功能的康复服务。</w:t>
            </w:r>
          </w:p>
        </w:tc>
      </w:tr>
      <w:tr w14:paraId="1BE02C3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35" w:hRule="exact"/>
        </w:trPr>
        <w:tc>
          <w:tcPr>
            <w:tcW w:w="1215" w:type="dxa"/>
            <w:tcBorders>
              <w:top w:val="single" w:color="000000" w:sz="6" w:space="0"/>
              <w:left w:val="single" w:color="000000" w:sz="6" w:space="0"/>
              <w:bottom w:val="single" w:color="auto" w:sz="4" w:space="0"/>
              <w:right w:val="single" w:color="000000" w:sz="6" w:space="0"/>
            </w:tcBorders>
            <w:shd w:val="clear" w:color="auto" w:fill="FFFFFF"/>
            <w:vAlign w:val="center"/>
          </w:tcPr>
          <w:p w14:paraId="2AE91B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jc w:val="center"/>
              <w:textAlignment w:val="auto"/>
              <w:rPr>
                <w:rFonts w:hint="eastAsia" w:ascii="仿宋_GB2312" w:hAnsi="宋体" w:eastAsia="仿宋_GB2312"/>
                <w:color w:val="auto"/>
                <w:sz w:val="24"/>
                <w:lang w:eastAsia="zh-CN"/>
              </w:rPr>
            </w:pPr>
            <w:r>
              <w:rPr>
                <w:rFonts w:hint="eastAsia" w:ascii="仿宋_GB2312" w:hAnsi="宋体" w:eastAsia="仿宋_GB2312"/>
                <w:color w:val="auto"/>
                <w:sz w:val="24"/>
                <w:lang w:eastAsia="zh-CN"/>
              </w:rPr>
              <w:t>精神慰藉</w:t>
            </w:r>
          </w:p>
          <w:p w14:paraId="6C6342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jc w:val="center"/>
              <w:textAlignment w:val="auto"/>
              <w:rPr>
                <w:rFonts w:hint="eastAsia" w:ascii="仿宋_GB2312" w:hAnsi="宋体" w:eastAsia="仿宋_GB2312"/>
                <w:color w:val="auto"/>
                <w:sz w:val="24"/>
                <w:lang w:eastAsia="zh-CN"/>
              </w:rPr>
            </w:pPr>
            <w:r>
              <w:rPr>
                <w:rFonts w:hint="eastAsia" w:ascii="仿宋_GB2312" w:hAnsi="宋体" w:eastAsia="仿宋_GB2312"/>
                <w:color w:val="auto"/>
                <w:sz w:val="24"/>
                <w:lang w:eastAsia="zh-CN"/>
              </w:rPr>
              <w:t>服务</w:t>
            </w:r>
          </w:p>
        </w:tc>
        <w:tc>
          <w:tcPr>
            <w:tcW w:w="7382" w:type="dxa"/>
            <w:tcBorders>
              <w:top w:val="single" w:color="000000" w:sz="6" w:space="0"/>
              <w:left w:val="single" w:color="000000" w:sz="6" w:space="0"/>
              <w:bottom w:val="single" w:color="auto" w:sz="4" w:space="0"/>
              <w:right w:val="single" w:color="000000" w:sz="6" w:space="0"/>
            </w:tcBorders>
            <w:shd w:val="clear" w:color="auto" w:fill="FFFFFF"/>
            <w:tcMar>
              <w:top w:w="75" w:type="dxa"/>
              <w:left w:w="75" w:type="dxa"/>
              <w:bottom w:w="75" w:type="dxa"/>
              <w:right w:w="75" w:type="dxa"/>
            </w:tcMar>
            <w:vAlign w:val="center"/>
          </w:tcPr>
          <w:p w14:paraId="583A61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jc w:val="left"/>
              <w:textAlignment w:val="auto"/>
              <w:rPr>
                <w:rFonts w:hint="eastAsia" w:ascii="仿宋_GB2312" w:hAnsi="宋体" w:eastAsia="仿宋_GB2312"/>
                <w:color w:val="auto"/>
                <w:sz w:val="24"/>
                <w:lang w:eastAsia="zh-CN"/>
              </w:rPr>
            </w:pPr>
            <w:r>
              <w:rPr>
                <w:rFonts w:hint="eastAsia" w:ascii="仿宋_GB2312" w:hAnsi="仿宋_GB2312" w:eastAsia="仿宋_GB2312" w:cs="仿宋_GB2312"/>
                <w:color w:val="auto"/>
                <w:sz w:val="24"/>
                <w:szCs w:val="24"/>
                <w:lang w:eastAsia="zh-CN"/>
              </w:rPr>
              <w:t>为</w:t>
            </w:r>
            <w:r>
              <w:rPr>
                <w:rFonts w:hint="eastAsia" w:ascii="仿宋_GB2312" w:hAnsi="仿宋_GB2312" w:eastAsia="仿宋_GB2312" w:cs="仿宋_GB2312"/>
                <w:color w:val="auto"/>
                <w:sz w:val="24"/>
                <w:szCs w:val="24"/>
              </w:rPr>
              <w:t>护理对象</w:t>
            </w:r>
            <w:r>
              <w:rPr>
                <w:rFonts w:hint="eastAsia" w:ascii="仿宋_GB2312" w:hAnsi="仿宋_GB2312" w:eastAsia="仿宋_GB2312" w:cs="仿宋_GB2312"/>
                <w:color w:val="auto"/>
                <w:sz w:val="24"/>
                <w:szCs w:val="24"/>
                <w:lang w:eastAsia="zh-CN"/>
              </w:rPr>
              <w:t>提供</w:t>
            </w:r>
            <w:r>
              <w:rPr>
                <w:rFonts w:hint="eastAsia" w:ascii="仿宋_GB2312" w:hAnsi="仿宋_GB2312" w:eastAsia="仿宋_GB2312" w:cs="仿宋_GB2312"/>
                <w:color w:val="auto"/>
                <w:sz w:val="24"/>
                <w:szCs w:val="24"/>
              </w:rPr>
              <w:t>亲情抚慰和</w:t>
            </w:r>
            <w:r>
              <w:rPr>
                <w:rFonts w:hint="eastAsia" w:ascii="仿宋_GB2312" w:hAnsi="宋体" w:eastAsia="仿宋_GB2312"/>
                <w:color w:val="auto"/>
                <w:sz w:val="24"/>
              </w:rPr>
              <w:t>陪聊、心理疏导、文化娱乐活动等</w:t>
            </w:r>
            <w:r>
              <w:rPr>
                <w:rFonts w:hint="eastAsia" w:ascii="仿宋_GB2312" w:hAnsi="宋体" w:eastAsia="仿宋_GB2312"/>
                <w:color w:val="auto"/>
                <w:sz w:val="24"/>
                <w:lang w:eastAsia="zh-CN"/>
              </w:rPr>
              <w:t>服务</w:t>
            </w:r>
          </w:p>
        </w:tc>
      </w:tr>
    </w:tbl>
    <w:p w14:paraId="00EBBB76">
      <w:pPr>
        <w:keepNext w:val="0"/>
        <w:keepLines w:val="0"/>
        <w:pageBreakBefore w:val="0"/>
        <w:wordWrap/>
        <w:topLinePunct w:val="0"/>
        <w:autoSpaceDE/>
        <w:autoSpaceDN/>
        <w:bidi w:val="0"/>
        <w:spacing w:line="560" w:lineRule="exact"/>
        <w:ind w:left="0" w:leftChars="0"/>
        <w:jc w:val="center"/>
        <w:textAlignment w:val="auto"/>
        <w:rPr>
          <w:rFonts w:ascii="宋体" w:hAnsi="宋体" w:eastAsia="楷体_GB2312" w:cs="楷体_GB2312"/>
          <w:bCs/>
          <w:color w:val="auto"/>
          <w:sz w:val="32"/>
          <w:szCs w:val="32"/>
        </w:rPr>
      </w:pPr>
      <w:r>
        <w:rPr>
          <w:rFonts w:hint="eastAsia" w:ascii="宋体" w:hAnsi="宋体" w:eastAsia="楷体_GB2312" w:cs="楷体_GB2312"/>
          <w:bCs/>
          <w:color w:val="auto"/>
          <w:sz w:val="32"/>
          <w:szCs w:val="32"/>
        </w:rPr>
        <w:t>（试行）</w:t>
      </w:r>
    </w:p>
    <w:p w14:paraId="2E6EAF24">
      <w:pPr>
        <w:pStyle w:val="3"/>
        <w:keepNext w:val="0"/>
        <w:keepLines w:val="0"/>
        <w:pageBreakBefore w:val="0"/>
        <w:kinsoku w:val="0"/>
        <w:wordWrap/>
        <w:overflowPunct w:val="0"/>
        <w:topLinePunct w:val="0"/>
        <w:autoSpaceDE/>
        <w:autoSpaceDN/>
        <w:bidi w:val="0"/>
        <w:spacing w:line="560" w:lineRule="exact"/>
        <w:ind w:left="0" w:leftChars="0"/>
        <w:textAlignment w:val="auto"/>
        <w:rPr>
          <w:rFonts w:hint="eastAsia" w:ascii="黑体" w:hAnsi="黑体" w:eastAsia="黑体"/>
          <w:color w:val="auto"/>
          <w:sz w:val="32"/>
          <w:szCs w:val="32"/>
          <w:lang w:val="en-US" w:eastAsia="zh-CN"/>
        </w:rPr>
      </w:pPr>
      <w:r>
        <w:rPr>
          <w:rFonts w:ascii="黑体" w:hAnsi="黑体" w:eastAsia="黑体"/>
          <w:color w:val="auto"/>
          <w:sz w:val="32"/>
          <w:szCs w:val="32"/>
        </w:rPr>
        <w:t>附件</w:t>
      </w:r>
      <w:r>
        <w:rPr>
          <w:rFonts w:hint="eastAsia" w:ascii="黑体" w:hAnsi="黑体" w:eastAsia="黑体"/>
          <w:color w:val="auto"/>
          <w:sz w:val="32"/>
          <w:szCs w:val="32"/>
          <w:lang w:val="en-US" w:eastAsia="zh-CN"/>
        </w:rPr>
        <w:t>4</w:t>
      </w:r>
    </w:p>
    <w:p w14:paraId="5A2D1F1A">
      <w:pPr>
        <w:pStyle w:val="3"/>
        <w:keepNext w:val="0"/>
        <w:keepLines w:val="0"/>
        <w:pageBreakBefore w:val="0"/>
        <w:kinsoku w:val="0"/>
        <w:wordWrap/>
        <w:overflowPunct w:val="0"/>
        <w:topLinePunct w:val="0"/>
        <w:autoSpaceDE/>
        <w:autoSpaceDN/>
        <w:bidi w:val="0"/>
        <w:spacing w:line="560" w:lineRule="exact"/>
        <w:ind w:left="0" w:leftChars="0"/>
        <w:textAlignment w:val="auto"/>
        <w:rPr>
          <w:rFonts w:hint="eastAsia" w:ascii="黑体" w:hAnsi="黑体" w:eastAsia="黑体"/>
          <w:color w:val="auto"/>
          <w:sz w:val="32"/>
          <w:szCs w:val="32"/>
          <w:lang w:val="en-US" w:eastAsia="zh-CN"/>
        </w:rPr>
      </w:pPr>
    </w:p>
    <w:p w14:paraId="2534E9B6">
      <w:pPr>
        <w:keepNext w:val="0"/>
        <w:keepLines w:val="0"/>
        <w:pageBreakBefore w:val="0"/>
        <w:wordWrap/>
        <w:topLinePunct w:val="0"/>
        <w:autoSpaceDE/>
        <w:autoSpaceDN/>
        <w:bidi w:val="0"/>
        <w:spacing w:line="560" w:lineRule="exact"/>
        <w:ind w:left="0" w:leftChars="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pacing w:val="-11"/>
          <w:sz w:val="44"/>
          <w:szCs w:val="44"/>
        </w:rPr>
        <w:t>建宁县</w:t>
      </w:r>
      <w:r>
        <w:rPr>
          <w:rFonts w:hint="eastAsia" w:ascii="方正小标宋简体" w:hAnsi="方正小标宋简体" w:eastAsia="方正小标宋简体" w:cs="方正小标宋简体"/>
          <w:color w:val="auto"/>
          <w:spacing w:val="-11"/>
          <w:sz w:val="44"/>
          <w:szCs w:val="44"/>
          <w:lang w:eastAsia="zh-CN"/>
        </w:rPr>
        <w:t>“五联五保”</w:t>
      </w:r>
      <w:r>
        <w:rPr>
          <w:rFonts w:hint="eastAsia" w:ascii="方正小标宋简体" w:hAnsi="方正小标宋简体" w:eastAsia="方正小标宋简体" w:cs="方正小标宋简体"/>
          <w:color w:val="auto"/>
          <w:spacing w:val="-11"/>
          <w:sz w:val="44"/>
          <w:szCs w:val="44"/>
        </w:rPr>
        <w:t>居家养老上门服务指导清单</w:t>
      </w:r>
    </w:p>
    <w:tbl>
      <w:tblPr>
        <w:tblStyle w:val="9"/>
        <w:tblW w:w="4610" w:type="pct"/>
        <w:jc w:val="center"/>
        <w:tblLayout w:type="fixed"/>
        <w:tblCellMar>
          <w:top w:w="0" w:type="dxa"/>
          <w:left w:w="108" w:type="dxa"/>
          <w:bottom w:w="0" w:type="dxa"/>
          <w:right w:w="108" w:type="dxa"/>
        </w:tblCellMar>
      </w:tblPr>
      <w:tblGrid>
        <w:gridCol w:w="741"/>
        <w:gridCol w:w="1071"/>
        <w:gridCol w:w="976"/>
        <w:gridCol w:w="1435"/>
        <w:gridCol w:w="2929"/>
        <w:gridCol w:w="1103"/>
      </w:tblGrid>
      <w:tr w14:paraId="57ECDE21">
        <w:tblPrEx>
          <w:tblCellMar>
            <w:top w:w="0" w:type="dxa"/>
            <w:left w:w="108" w:type="dxa"/>
            <w:bottom w:w="0" w:type="dxa"/>
            <w:right w:w="108" w:type="dxa"/>
          </w:tblCellMar>
        </w:tblPrEx>
        <w:trPr>
          <w:trHeight w:val="480" w:hRule="atLeast"/>
          <w:tblHeader/>
          <w:jc w:val="center"/>
        </w:trPr>
        <w:tc>
          <w:tcPr>
            <w:tcW w:w="44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2FC60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序号</w:t>
            </w:r>
          </w:p>
        </w:tc>
        <w:tc>
          <w:tcPr>
            <w:tcW w:w="1239" w:type="pct"/>
            <w:gridSpan w:val="2"/>
            <w:tcBorders>
              <w:top w:val="single" w:color="auto" w:sz="4" w:space="0"/>
              <w:left w:val="nil"/>
              <w:bottom w:val="single" w:color="auto" w:sz="4" w:space="0"/>
              <w:right w:val="single" w:color="auto" w:sz="4" w:space="0"/>
              <w:tl2br w:val="nil"/>
              <w:tr2bl w:val="nil"/>
            </w:tcBorders>
            <w:noWrap w:val="0"/>
            <w:vAlign w:val="center"/>
          </w:tcPr>
          <w:p w14:paraId="7187B3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482" w:firstLineChars="200"/>
              <w:jc w:val="both"/>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项目分类</w:t>
            </w:r>
          </w:p>
        </w:tc>
        <w:tc>
          <w:tcPr>
            <w:tcW w:w="869" w:type="pct"/>
            <w:tcBorders>
              <w:top w:val="single" w:color="auto" w:sz="4" w:space="0"/>
              <w:left w:val="nil"/>
              <w:bottom w:val="single" w:color="auto" w:sz="4" w:space="0"/>
              <w:right w:val="single" w:color="auto" w:sz="4" w:space="0"/>
              <w:tl2br w:val="nil"/>
              <w:tr2bl w:val="nil"/>
            </w:tcBorders>
            <w:noWrap w:val="0"/>
            <w:vAlign w:val="center"/>
          </w:tcPr>
          <w:p w14:paraId="334644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both"/>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项目名称</w:t>
            </w:r>
          </w:p>
        </w:tc>
        <w:tc>
          <w:tcPr>
            <w:tcW w:w="1774" w:type="pct"/>
            <w:tcBorders>
              <w:top w:val="single" w:color="auto" w:sz="4" w:space="0"/>
              <w:left w:val="nil"/>
              <w:bottom w:val="single" w:color="auto" w:sz="4" w:space="0"/>
              <w:right w:val="single" w:color="auto" w:sz="4" w:space="0"/>
              <w:tl2br w:val="nil"/>
              <w:tr2bl w:val="nil"/>
            </w:tcBorders>
            <w:noWrap w:val="0"/>
            <w:vAlign w:val="center"/>
          </w:tcPr>
          <w:p w14:paraId="4579C8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color w:val="auto"/>
                <w:sz w:val="24"/>
                <w:szCs w:val="24"/>
                <w:lang w:eastAsia="zh-CN"/>
              </w:rPr>
            </w:pPr>
            <w:r>
              <w:rPr>
                <w:rFonts w:hint="eastAsia" w:ascii="仿宋_GB2312" w:hAnsi="仿宋_GB2312" w:eastAsia="仿宋_GB2312" w:cs="仿宋_GB2312"/>
                <w:b/>
                <w:color w:val="auto"/>
                <w:sz w:val="24"/>
                <w:szCs w:val="24"/>
              </w:rPr>
              <w:t>项目</w:t>
            </w:r>
            <w:r>
              <w:rPr>
                <w:rFonts w:hint="eastAsia" w:ascii="仿宋_GB2312" w:hAnsi="仿宋_GB2312" w:eastAsia="仿宋_GB2312" w:cs="仿宋_GB2312"/>
                <w:b/>
                <w:color w:val="auto"/>
                <w:sz w:val="24"/>
                <w:szCs w:val="24"/>
                <w:lang w:eastAsia="zh-CN"/>
              </w:rPr>
              <w:t>内容</w:t>
            </w:r>
          </w:p>
        </w:tc>
        <w:tc>
          <w:tcPr>
            <w:tcW w:w="668" w:type="pct"/>
            <w:tcBorders>
              <w:top w:val="single" w:color="auto" w:sz="4" w:space="0"/>
              <w:left w:val="nil"/>
              <w:bottom w:val="single" w:color="auto" w:sz="4" w:space="0"/>
              <w:right w:val="single" w:color="auto" w:sz="4" w:space="0"/>
              <w:tl2br w:val="nil"/>
              <w:tr2bl w:val="nil"/>
            </w:tcBorders>
            <w:noWrap w:val="0"/>
            <w:vAlign w:val="center"/>
          </w:tcPr>
          <w:p w14:paraId="79CD07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仿宋_GB2312" w:hAnsi="仿宋_GB2312" w:eastAsia="仿宋_GB2312" w:cs="仿宋_GB2312"/>
                <w:b/>
                <w:color w:val="auto"/>
                <w:sz w:val="24"/>
                <w:szCs w:val="24"/>
                <w:lang w:val="en-US" w:eastAsia="zh-CN"/>
              </w:rPr>
            </w:pPr>
            <w:r>
              <w:rPr>
                <w:rFonts w:hint="default" w:ascii="仿宋_GB2312" w:hAnsi="仿宋_GB2312" w:eastAsia="仿宋_GB2312" w:cs="仿宋_GB2312"/>
                <w:b/>
                <w:color w:val="auto"/>
                <w:sz w:val="24"/>
                <w:szCs w:val="24"/>
                <w:lang w:eastAsia="zh-CN"/>
              </w:rPr>
              <w:t>指导价</w:t>
            </w:r>
            <w:r>
              <w:rPr>
                <w:rFonts w:hint="eastAsia" w:ascii="仿宋_GB2312" w:hAnsi="仿宋_GB2312" w:eastAsia="仿宋_GB2312" w:cs="仿宋_GB2312"/>
                <w:b/>
                <w:color w:val="auto"/>
                <w:sz w:val="24"/>
                <w:szCs w:val="24"/>
                <w:lang w:val="en-US" w:eastAsia="zh-CN"/>
              </w:rPr>
              <w:t>（元）</w:t>
            </w:r>
          </w:p>
        </w:tc>
      </w:tr>
      <w:tr w14:paraId="5E1285FF">
        <w:tblPrEx>
          <w:tblCellMar>
            <w:top w:w="0" w:type="dxa"/>
            <w:left w:w="108" w:type="dxa"/>
            <w:bottom w:w="0" w:type="dxa"/>
            <w:right w:w="108" w:type="dxa"/>
          </w:tblCellMar>
        </w:tblPrEx>
        <w:trPr>
          <w:trHeight w:val="855" w:hRule="atLeast"/>
          <w:jc w:val="center"/>
        </w:trPr>
        <w:tc>
          <w:tcPr>
            <w:tcW w:w="448" w:type="pct"/>
            <w:tcBorders>
              <w:top w:val="nil"/>
              <w:left w:val="single" w:color="auto" w:sz="4" w:space="0"/>
              <w:bottom w:val="single" w:color="auto" w:sz="4" w:space="0"/>
              <w:right w:val="single" w:color="auto" w:sz="4" w:space="0"/>
              <w:tl2br w:val="nil"/>
              <w:tr2bl w:val="nil"/>
            </w:tcBorders>
            <w:noWrap w:val="0"/>
            <w:vAlign w:val="center"/>
          </w:tcPr>
          <w:p w14:paraId="73A55C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648" w:type="pct"/>
            <w:vMerge w:val="restart"/>
            <w:tcBorders>
              <w:top w:val="nil"/>
              <w:left w:val="single" w:color="auto" w:sz="4" w:space="0"/>
              <w:right w:val="single" w:color="auto" w:sz="4" w:space="0"/>
              <w:tl2br w:val="nil"/>
              <w:tr2bl w:val="nil"/>
            </w:tcBorders>
            <w:noWrap w:val="0"/>
            <w:vAlign w:val="center"/>
          </w:tcPr>
          <w:p w14:paraId="3275B7D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textAlignment w:val="auto"/>
              <w:rPr>
                <w:rFonts w:hint="eastAsia" w:ascii="仿宋_GB2312" w:hAnsi="仿宋_GB2312" w:eastAsia="仿宋_GB2312" w:cs="仿宋_GB2312"/>
                <w:color w:val="auto"/>
                <w:sz w:val="24"/>
                <w:szCs w:val="24"/>
              </w:rPr>
            </w:pPr>
          </w:p>
          <w:p w14:paraId="43CEE56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textAlignment w:val="auto"/>
              <w:rPr>
                <w:rFonts w:hint="eastAsia" w:ascii="仿宋_GB2312" w:hAnsi="仿宋_GB2312" w:eastAsia="仿宋_GB2312" w:cs="仿宋_GB2312"/>
                <w:color w:val="auto"/>
                <w:sz w:val="24"/>
                <w:szCs w:val="24"/>
              </w:rPr>
            </w:pPr>
          </w:p>
          <w:p w14:paraId="750399D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textAlignment w:val="auto"/>
              <w:rPr>
                <w:rFonts w:hint="eastAsia" w:ascii="仿宋_GB2312" w:hAnsi="仿宋_GB2312" w:eastAsia="仿宋_GB2312" w:cs="仿宋_GB2312"/>
                <w:color w:val="auto"/>
                <w:sz w:val="24"/>
                <w:szCs w:val="24"/>
              </w:rPr>
            </w:pPr>
          </w:p>
          <w:p w14:paraId="52D45FA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textAlignment w:val="auto"/>
              <w:rPr>
                <w:rFonts w:hint="eastAsia" w:ascii="仿宋_GB2312" w:hAnsi="仿宋_GB2312" w:eastAsia="仿宋_GB2312" w:cs="仿宋_GB2312"/>
                <w:color w:val="auto"/>
                <w:sz w:val="24"/>
                <w:szCs w:val="24"/>
              </w:rPr>
            </w:pPr>
          </w:p>
          <w:p w14:paraId="3892638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textAlignment w:val="auto"/>
              <w:rPr>
                <w:rFonts w:hint="eastAsia" w:ascii="仿宋_GB2312" w:hAnsi="仿宋_GB2312" w:eastAsia="仿宋_GB2312" w:cs="仿宋_GB2312"/>
                <w:color w:val="auto"/>
                <w:sz w:val="24"/>
                <w:szCs w:val="24"/>
              </w:rPr>
            </w:pPr>
          </w:p>
          <w:p w14:paraId="16899C2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textAlignment w:val="auto"/>
              <w:rPr>
                <w:rFonts w:hint="eastAsia" w:ascii="仿宋_GB2312" w:hAnsi="仿宋_GB2312" w:eastAsia="仿宋_GB2312" w:cs="仿宋_GB2312"/>
                <w:color w:val="auto"/>
                <w:sz w:val="24"/>
                <w:szCs w:val="24"/>
              </w:rPr>
            </w:pPr>
          </w:p>
          <w:p w14:paraId="16C80DF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textAlignment w:val="auto"/>
              <w:rPr>
                <w:rFonts w:hint="eastAsia" w:ascii="仿宋_GB2312" w:hAnsi="仿宋_GB2312" w:eastAsia="仿宋_GB2312" w:cs="仿宋_GB2312"/>
                <w:color w:val="auto"/>
                <w:sz w:val="24"/>
                <w:szCs w:val="24"/>
              </w:rPr>
            </w:pPr>
          </w:p>
          <w:p w14:paraId="046B7BB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textAlignment w:val="auto"/>
              <w:rPr>
                <w:rFonts w:hint="eastAsia" w:ascii="仿宋_GB2312" w:hAnsi="仿宋_GB2312" w:eastAsia="仿宋_GB2312" w:cs="仿宋_GB2312"/>
                <w:color w:val="auto"/>
                <w:sz w:val="24"/>
                <w:szCs w:val="24"/>
              </w:rPr>
            </w:pPr>
          </w:p>
          <w:p w14:paraId="72DD245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textAlignment w:val="auto"/>
              <w:rPr>
                <w:rFonts w:hint="eastAsia" w:ascii="仿宋_GB2312" w:hAnsi="仿宋_GB2312" w:eastAsia="仿宋_GB2312" w:cs="仿宋_GB2312"/>
                <w:color w:val="auto"/>
                <w:sz w:val="24"/>
                <w:szCs w:val="24"/>
              </w:rPr>
            </w:pPr>
          </w:p>
          <w:p w14:paraId="7C98D66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一、</w:t>
            </w:r>
            <w:r>
              <w:rPr>
                <w:rFonts w:hint="eastAsia" w:ascii="仿宋_GB2312" w:hAnsi="仿宋_GB2312" w:eastAsia="仿宋_GB2312" w:cs="仿宋_GB2312"/>
                <w:color w:val="auto"/>
                <w:sz w:val="24"/>
                <w:szCs w:val="24"/>
              </w:rPr>
              <w:t>基本生活护理服务类</w:t>
            </w:r>
          </w:p>
          <w:p w14:paraId="0C2955C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both"/>
              <w:textAlignment w:val="auto"/>
              <w:rPr>
                <w:rFonts w:hint="eastAsia" w:ascii="仿宋_GB2312" w:hAnsi="仿宋_GB2312" w:eastAsia="仿宋_GB2312" w:cs="仿宋_GB2312"/>
                <w:color w:val="auto"/>
                <w:sz w:val="24"/>
                <w:szCs w:val="24"/>
              </w:rPr>
            </w:pPr>
          </w:p>
          <w:p w14:paraId="60AC531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both"/>
              <w:textAlignment w:val="auto"/>
              <w:rPr>
                <w:rFonts w:hint="eastAsia" w:ascii="仿宋_GB2312" w:hAnsi="仿宋_GB2312" w:eastAsia="仿宋_GB2312" w:cs="仿宋_GB2312"/>
                <w:color w:val="auto"/>
                <w:sz w:val="24"/>
                <w:szCs w:val="24"/>
              </w:rPr>
            </w:pPr>
          </w:p>
          <w:p w14:paraId="5CB1361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both"/>
              <w:textAlignment w:val="auto"/>
              <w:rPr>
                <w:rFonts w:hint="eastAsia" w:ascii="仿宋_GB2312" w:hAnsi="仿宋_GB2312" w:eastAsia="仿宋_GB2312" w:cs="仿宋_GB2312"/>
                <w:color w:val="auto"/>
                <w:sz w:val="24"/>
                <w:szCs w:val="24"/>
              </w:rPr>
            </w:pPr>
          </w:p>
          <w:p w14:paraId="135A65F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both"/>
              <w:textAlignment w:val="auto"/>
              <w:rPr>
                <w:rFonts w:hint="eastAsia" w:ascii="仿宋_GB2312" w:hAnsi="仿宋_GB2312" w:eastAsia="仿宋_GB2312" w:cs="仿宋_GB2312"/>
                <w:color w:val="auto"/>
                <w:sz w:val="24"/>
                <w:szCs w:val="24"/>
              </w:rPr>
            </w:pPr>
          </w:p>
          <w:p w14:paraId="3000E31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both"/>
              <w:textAlignment w:val="auto"/>
              <w:rPr>
                <w:rFonts w:hint="eastAsia" w:ascii="仿宋_GB2312" w:hAnsi="仿宋_GB2312" w:eastAsia="仿宋_GB2312" w:cs="仿宋_GB2312"/>
                <w:color w:val="auto"/>
                <w:sz w:val="24"/>
                <w:szCs w:val="24"/>
              </w:rPr>
            </w:pPr>
          </w:p>
          <w:p w14:paraId="3E97A9B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both"/>
              <w:textAlignment w:val="auto"/>
              <w:rPr>
                <w:rFonts w:hint="eastAsia" w:ascii="仿宋_GB2312" w:hAnsi="仿宋_GB2312" w:eastAsia="仿宋_GB2312" w:cs="仿宋_GB2312"/>
                <w:color w:val="auto"/>
                <w:sz w:val="24"/>
                <w:szCs w:val="24"/>
              </w:rPr>
            </w:pPr>
          </w:p>
          <w:p w14:paraId="3BA2EA1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both"/>
              <w:textAlignment w:val="auto"/>
              <w:rPr>
                <w:rFonts w:hint="eastAsia" w:ascii="仿宋_GB2312" w:hAnsi="仿宋_GB2312" w:eastAsia="仿宋_GB2312" w:cs="仿宋_GB2312"/>
                <w:color w:val="auto"/>
                <w:sz w:val="24"/>
                <w:szCs w:val="24"/>
              </w:rPr>
            </w:pPr>
          </w:p>
          <w:p w14:paraId="312097C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both"/>
              <w:textAlignment w:val="auto"/>
              <w:rPr>
                <w:rFonts w:hint="eastAsia" w:ascii="仿宋_GB2312" w:hAnsi="仿宋_GB2312" w:eastAsia="仿宋_GB2312" w:cs="仿宋_GB2312"/>
                <w:color w:val="auto"/>
                <w:sz w:val="24"/>
                <w:szCs w:val="24"/>
              </w:rPr>
            </w:pPr>
          </w:p>
          <w:p w14:paraId="5972526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both"/>
              <w:textAlignment w:val="auto"/>
              <w:rPr>
                <w:rFonts w:hint="eastAsia" w:ascii="仿宋_GB2312" w:hAnsi="仿宋_GB2312" w:eastAsia="仿宋_GB2312" w:cs="仿宋_GB2312"/>
                <w:color w:val="auto"/>
                <w:sz w:val="24"/>
                <w:szCs w:val="24"/>
              </w:rPr>
            </w:pPr>
          </w:p>
          <w:p w14:paraId="11F3CB7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both"/>
              <w:textAlignment w:val="auto"/>
              <w:rPr>
                <w:rFonts w:hint="eastAsia" w:ascii="仿宋_GB2312" w:hAnsi="仿宋_GB2312" w:eastAsia="仿宋_GB2312" w:cs="仿宋_GB2312"/>
                <w:color w:val="auto"/>
                <w:sz w:val="24"/>
                <w:szCs w:val="24"/>
              </w:rPr>
            </w:pPr>
          </w:p>
          <w:p w14:paraId="1BA0B73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both"/>
              <w:textAlignment w:val="auto"/>
              <w:rPr>
                <w:rFonts w:hint="eastAsia" w:ascii="仿宋_GB2312" w:hAnsi="仿宋_GB2312" w:eastAsia="仿宋_GB2312" w:cs="仿宋_GB2312"/>
                <w:color w:val="auto"/>
                <w:sz w:val="24"/>
                <w:szCs w:val="24"/>
              </w:rPr>
            </w:pPr>
          </w:p>
          <w:p w14:paraId="1C6057D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both"/>
              <w:textAlignment w:val="auto"/>
              <w:rPr>
                <w:rFonts w:hint="eastAsia" w:ascii="仿宋_GB2312" w:hAnsi="仿宋_GB2312" w:eastAsia="仿宋_GB2312" w:cs="仿宋_GB2312"/>
                <w:color w:val="auto"/>
                <w:sz w:val="24"/>
                <w:szCs w:val="24"/>
              </w:rPr>
            </w:pPr>
          </w:p>
          <w:p w14:paraId="343CF96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both"/>
              <w:textAlignment w:val="auto"/>
              <w:rPr>
                <w:rFonts w:hint="eastAsia" w:ascii="仿宋_GB2312" w:hAnsi="仿宋_GB2312" w:eastAsia="仿宋_GB2312" w:cs="仿宋_GB2312"/>
                <w:color w:val="auto"/>
                <w:sz w:val="24"/>
                <w:szCs w:val="24"/>
              </w:rPr>
            </w:pPr>
          </w:p>
          <w:p w14:paraId="0BAF906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both"/>
              <w:textAlignment w:val="auto"/>
              <w:rPr>
                <w:rFonts w:hint="eastAsia" w:ascii="仿宋_GB2312" w:hAnsi="仿宋_GB2312" w:eastAsia="仿宋_GB2312" w:cs="仿宋_GB2312"/>
                <w:color w:val="auto"/>
                <w:sz w:val="24"/>
                <w:szCs w:val="24"/>
              </w:rPr>
            </w:pPr>
          </w:p>
          <w:p w14:paraId="37986E6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both"/>
              <w:textAlignment w:val="auto"/>
              <w:rPr>
                <w:rFonts w:hint="eastAsia" w:ascii="仿宋_GB2312" w:hAnsi="仿宋_GB2312" w:eastAsia="仿宋_GB2312" w:cs="仿宋_GB2312"/>
                <w:color w:val="auto"/>
                <w:sz w:val="24"/>
                <w:szCs w:val="24"/>
              </w:rPr>
            </w:pPr>
          </w:p>
          <w:p w14:paraId="4CC5E1B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both"/>
              <w:textAlignment w:val="auto"/>
              <w:rPr>
                <w:rFonts w:hint="eastAsia" w:ascii="仿宋_GB2312" w:hAnsi="仿宋_GB2312" w:eastAsia="仿宋_GB2312" w:cs="仿宋_GB2312"/>
                <w:color w:val="auto"/>
                <w:sz w:val="24"/>
                <w:szCs w:val="24"/>
              </w:rPr>
            </w:pPr>
          </w:p>
          <w:p w14:paraId="52CED0E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both"/>
              <w:textAlignment w:val="auto"/>
              <w:rPr>
                <w:rFonts w:hint="eastAsia" w:ascii="仿宋_GB2312" w:hAnsi="仿宋_GB2312" w:eastAsia="仿宋_GB2312" w:cs="仿宋_GB2312"/>
                <w:color w:val="auto"/>
                <w:sz w:val="24"/>
                <w:szCs w:val="24"/>
              </w:rPr>
            </w:pPr>
          </w:p>
          <w:p w14:paraId="1AA75A0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both"/>
              <w:textAlignment w:val="auto"/>
              <w:rPr>
                <w:rFonts w:hint="eastAsia" w:ascii="仿宋_GB2312" w:hAnsi="仿宋_GB2312" w:eastAsia="仿宋_GB2312" w:cs="仿宋_GB2312"/>
                <w:color w:val="auto"/>
                <w:sz w:val="24"/>
                <w:szCs w:val="24"/>
              </w:rPr>
            </w:pPr>
          </w:p>
          <w:p w14:paraId="2150191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both"/>
              <w:textAlignment w:val="auto"/>
              <w:rPr>
                <w:rFonts w:hint="eastAsia" w:ascii="仿宋_GB2312" w:hAnsi="仿宋_GB2312" w:eastAsia="仿宋_GB2312" w:cs="仿宋_GB2312"/>
                <w:color w:val="auto"/>
                <w:sz w:val="24"/>
                <w:szCs w:val="24"/>
              </w:rPr>
            </w:pPr>
          </w:p>
          <w:p w14:paraId="42E1EFB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both"/>
              <w:textAlignment w:val="auto"/>
              <w:rPr>
                <w:rFonts w:hint="eastAsia" w:ascii="仿宋_GB2312" w:hAnsi="仿宋_GB2312" w:eastAsia="仿宋_GB2312" w:cs="仿宋_GB2312"/>
                <w:color w:val="auto"/>
                <w:sz w:val="24"/>
                <w:szCs w:val="24"/>
              </w:rPr>
            </w:pPr>
          </w:p>
          <w:p w14:paraId="249BE81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both"/>
              <w:textAlignment w:val="auto"/>
              <w:rPr>
                <w:rFonts w:hint="eastAsia" w:ascii="仿宋_GB2312" w:hAnsi="仿宋_GB2312" w:eastAsia="仿宋_GB2312" w:cs="仿宋_GB2312"/>
                <w:color w:val="auto"/>
                <w:sz w:val="24"/>
                <w:szCs w:val="24"/>
              </w:rPr>
            </w:pPr>
          </w:p>
          <w:p w14:paraId="4964C67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both"/>
              <w:textAlignment w:val="auto"/>
              <w:rPr>
                <w:rFonts w:hint="eastAsia" w:ascii="仿宋_GB2312" w:hAnsi="仿宋_GB2312" w:eastAsia="仿宋_GB2312" w:cs="仿宋_GB2312"/>
                <w:color w:val="auto"/>
                <w:sz w:val="24"/>
                <w:szCs w:val="24"/>
              </w:rPr>
            </w:pPr>
          </w:p>
          <w:p w14:paraId="10C4C5E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both"/>
              <w:textAlignment w:val="auto"/>
              <w:rPr>
                <w:rFonts w:hint="eastAsia" w:ascii="仿宋_GB2312" w:hAnsi="仿宋_GB2312" w:eastAsia="仿宋_GB2312" w:cs="仿宋_GB2312"/>
                <w:color w:val="auto"/>
                <w:sz w:val="24"/>
                <w:szCs w:val="24"/>
              </w:rPr>
            </w:pPr>
          </w:p>
          <w:p w14:paraId="396E0BA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both"/>
              <w:textAlignment w:val="auto"/>
              <w:rPr>
                <w:rFonts w:hint="eastAsia" w:ascii="仿宋_GB2312" w:hAnsi="仿宋_GB2312" w:eastAsia="仿宋_GB2312" w:cs="仿宋_GB2312"/>
                <w:color w:val="auto"/>
                <w:sz w:val="24"/>
                <w:szCs w:val="24"/>
              </w:rPr>
            </w:pPr>
          </w:p>
          <w:p w14:paraId="4CDCADF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both"/>
              <w:textAlignment w:val="auto"/>
              <w:rPr>
                <w:rFonts w:hint="eastAsia" w:ascii="仿宋_GB2312" w:hAnsi="仿宋_GB2312" w:eastAsia="仿宋_GB2312" w:cs="仿宋_GB2312"/>
                <w:color w:val="auto"/>
                <w:sz w:val="24"/>
                <w:szCs w:val="24"/>
              </w:rPr>
            </w:pPr>
          </w:p>
          <w:p w14:paraId="5DC57A5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both"/>
              <w:textAlignment w:val="auto"/>
              <w:rPr>
                <w:rFonts w:hint="eastAsia" w:ascii="仿宋_GB2312" w:hAnsi="仿宋_GB2312" w:eastAsia="仿宋_GB2312" w:cs="仿宋_GB2312"/>
                <w:color w:val="auto"/>
                <w:sz w:val="24"/>
                <w:szCs w:val="24"/>
              </w:rPr>
            </w:pPr>
          </w:p>
          <w:p w14:paraId="04AB5BE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both"/>
              <w:textAlignment w:val="auto"/>
              <w:rPr>
                <w:rFonts w:hint="eastAsia" w:ascii="仿宋_GB2312" w:hAnsi="仿宋_GB2312" w:eastAsia="仿宋_GB2312" w:cs="仿宋_GB2312"/>
                <w:color w:val="auto"/>
                <w:sz w:val="24"/>
                <w:szCs w:val="24"/>
              </w:rPr>
            </w:pPr>
          </w:p>
          <w:p w14:paraId="4868CDF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一、基本生活护理服务类</w:t>
            </w:r>
          </w:p>
          <w:p w14:paraId="33764B7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textAlignment w:val="auto"/>
              <w:rPr>
                <w:rFonts w:hint="eastAsia" w:ascii="仿宋_GB2312" w:hAnsi="仿宋_GB2312" w:eastAsia="仿宋_GB2312" w:cs="仿宋_GB2312"/>
                <w:color w:val="auto"/>
                <w:sz w:val="24"/>
                <w:szCs w:val="24"/>
                <w:lang w:eastAsia="zh-CN"/>
              </w:rPr>
            </w:pPr>
          </w:p>
        </w:tc>
        <w:tc>
          <w:tcPr>
            <w:tcW w:w="591" w:type="pct"/>
            <w:vMerge w:val="restart"/>
            <w:tcBorders>
              <w:top w:val="nil"/>
              <w:left w:val="single" w:color="auto" w:sz="4" w:space="0"/>
              <w:right w:val="single" w:color="auto" w:sz="4" w:space="0"/>
              <w:tl2br w:val="nil"/>
              <w:tr2bl w:val="nil"/>
            </w:tcBorders>
            <w:noWrap w:val="0"/>
            <w:vAlign w:val="center"/>
          </w:tcPr>
          <w:p w14:paraId="56F7A1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p>
          <w:p w14:paraId="53D9B2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p>
          <w:p w14:paraId="721163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p>
          <w:p w14:paraId="7F4820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p>
          <w:p w14:paraId="0F46B0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p>
          <w:p w14:paraId="053256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p>
          <w:p w14:paraId="02992F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p>
          <w:p w14:paraId="3C608A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p>
          <w:p w14:paraId="1A309D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p>
          <w:p w14:paraId="3B2844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清洁护理</w:t>
            </w:r>
          </w:p>
          <w:p w14:paraId="543BD5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p>
          <w:p w14:paraId="2D8061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p>
          <w:p w14:paraId="4D2143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p>
          <w:p w14:paraId="423D5F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p>
          <w:p w14:paraId="0DBF00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p>
          <w:p w14:paraId="4E0680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p>
          <w:p w14:paraId="43EF4C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p>
          <w:p w14:paraId="523FDE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p>
          <w:p w14:paraId="02018C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p>
          <w:p w14:paraId="07E51B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p>
          <w:p w14:paraId="6911C7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p>
          <w:p w14:paraId="79ECEA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p>
          <w:p w14:paraId="0A5138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p>
          <w:p w14:paraId="457274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p>
          <w:p w14:paraId="44CE34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p>
          <w:p w14:paraId="56EDC9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p>
          <w:p w14:paraId="708FAC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p>
          <w:p w14:paraId="5C71F1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清洁护理</w:t>
            </w:r>
          </w:p>
        </w:tc>
        <w:tc>
          <w:tcPr>
            <w:tcW w:w="869" w:type="pct"/>
            <w:tcBorders>
              <w:top w:val="nil"/>
              <w:left w:val="nil"/>
              <w:bottom w:val="single" w:color="auto" w:sz="4" w:space="0"/>
              <w:right w:val="single" w:color="auto" w:sz="4" w:space="0"/>
              <w:tl2br w:val="nil"/>
              <w:tr2bl w:val="nil"/>
            </w:tcBorders>
            <w:noWrap w:val="0"/>
            <w:vAlign w:val="center"/>
          </w:tcPr>
          <w:p w14:paraId="5A199C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头面部清洁和梳理</w:t>
            </w:r>
          </w:p>
        </w:tc>
        <w:tc>
          <w:tcPr>
            <w:tcW w:w="1774" w:type="pct"/>
            <w:tcBorders>
              <w:top w:val="nil"/>
              <w:left w:val="nil"/>
              <w:bottom w:val="single" w:color="auto" w:sz="4" w:space="0"/>
              <w:right w:val="single" w:color="auto" w:sz="4" w:space="0"/>
              <w:tl2br w:val="nil"/>
              <w:tr2bl w:val="nil"/>
            </w:tcBorders>
            <w:noWrap w:val="0"/>
            <w:vAlign w:val="center"/>
          </w:tcPr>
          <w:p w14:paraId="6407E7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协助护理对象清洁面部和梳头，为男性护理对象剃须。</w:t>
            </w:r>
          </w:p>
        </w:tc>
        <w:tc>
          <w:tcPr>
            <w:tcW w:w="668" w:type="pct"/>
            <w:tcBorders>
              <w:top w:val="nil"/>
              <w:left w:val="nil"/>
              <w:bottom w:val="single" w:color="auto" w:sz="4" w:space="0"/>
              <w:right w:val="single" w:color="auto" w:sz="4" w:space="0"/>
              <w:tl2br w:val="nil"/>
              <w:tr2bl w:val="nil"/>
            </w:tcBorders>
            <w:noWrap w:val="0"/>
            <w:vAlign w:val="center"/>
          </w:tcPr>
          <w:p w14:paraId="7B55B4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10/次</w:t>
            </w:r>
          </w:p>
        </w:tc>
      </w:tr>
      <w:tr w14:paraId="51777B9D">
        <w:tblPrEx>
          <w:tblCellMar>
            <w:top w:w="0" w:type="dxa"/>
            <w:left w:w="108" w:type="dxa"/>
            <w:bottom w:w="0" w:type="dxa"/>
            <w:right w:w="108" w:type="dxa"/>
          </w:tblCellMar>
        </w:tblPrEx>
        <w:trPr>
          <w:trHeight w:val="570" w:hRule="atLeast"/>
          <w:jc w:val="center"/>
        </w:trPr>
        <w:tc>
          <w:tcPr>
            <w:tcW w:w="448" w:type="pct"/>
            <w:tcBorders>
              <w:top w:val="nil"/>
              <w:left w:val="single" w:color="auto" w:sz="4" w:space="0"/>
              <w:bottom w:val="single" w:color="auto" w:sz="4" w:space="0"/>
              <w:right w:val="single" w:color="auto" w:sz="4" w:space="0"/>
              <w:tl2br w:val="nil"/>
              <w:tr2bl w:val="nil"/>
            </w:tcBorders>
            <w:noWrap w:val="0"/>
            <w:vAlign w:val="center"/>
          </w:tcPr>
          <w:p w14:paraId="40DF7F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p>
        </w:tc>
        <w:tc>
          <w:tcPr>
            <w:tcW w:w="648" w:type="pct"/>
            <w:vMerge w:val="continue"/>
            <w:tcBorders>
              <w:left w:val="single" w:color="auto" w:sz="4" w:space="0"/>
              <w:right w:val="single" w:color="auto" w:sz="4" w:space="0"/>
              <w:tl2br w:val="nil"/>
              <w:tr2bl w:val="nil"/>
            </w:tcBorders>
            <w:noWrap w:val="0"/>
            <w:vAlign w:val="center"/>
          </w:tcPr>
          <w:p w14:paraId="5E4111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仿宋_GB2312" w:hAnsi="仿宋_GB2312" w:eastAsia="仿宋_GB2312" w:cs="仿宋_GB2312"/>
                <w:color w:val="auto"/>
                <w:sz w:val="24"/>
                <w:szCs w:val="24"/>
              </w:rPr>
            </w:pPr>
          </w:p>
        </w:tc>
        <w:tc>
          <w:tcPr>
            <w:tcW w:w="591" w:type="pct"/>
            <w:vMerge w:val="continue"/>
            <w:tcBorders>
              <w:left w:val="single" w:color="auto" w:sz="4" w:space="0"/>
              <w:right w:val="single" w:color="auto" w:sz="4" w:space="0"/>
              <w:tl2br w:val="nil"/>
              <w:tr2bl w:val="nil"/>
            </w:tcBorders>
            <w:noWrap w:val="0"/>
            <w:vAlign w:val="center"/>
          </w:tcPr>
          <w:p w14:paraId="03EF51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jc w:val="center"/>
              <w:textAlignment w:val="auto"/>
              <w:rPr>
                <w:rFonts w:hint="eastAsia" w:ascii="仿宋_GB2312" w:hAnsi="仿宋_GB2312" w:eastAsia="仿宋_GB2312" w:cs="仿宋_GB2312"/>
                <w:color w:val="auto"/>
                <w:sz w:val="24"/>
                <w:szCs w:val="24"/>
              </w:rPr>
            </w:pPr>
          </w:p>
        </w:tc>
        <w:tc>
          <w:tcPr>
            <w:tcW w:w="869" w:type="pct"/>
            <w:tcBorders>
              <w:top w:val="nil"/>
              <w:left w:val="nil"/>
              <w:bottom w:val="single" w:color="auto" w:sz="4" w:space="0"/>
              <w:right w:val="single" w:color="auto" w:sz="4" w:space="0"/>
              <w:tl2br w:val="nil"/>
              <w:tr2bl w:val="nil"/>
            </w:tcBorders>
            <w:noWrap w:val="0"/>
            <w:vAlign w:val="center"/>
          </w:tcPr>
          <w:p w14:paraId="7992C6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洗头</w:t>
            </w:r>
          </w:p>
        </w:tc>
        <w:tc>
          <w:tcPr>
            <w:tcW w:w="1774" w:type="pct"/>
            <w:tcBorders>
              <w:top w:val="nil"/>
              <w:left w:val="nil"/>
              <w:bottom w:val="single" w:color="auto" w:sz="4" w:space="0"/>
              <w:right w:val="single" w:color="auto" w:sz="4" w:space="0"/>
              <w:tl2br w:val="nil"/>
              <w:tr2bl w:val="nil"/>
            </w:tcBorders>
            <w:noWrap w:val="0"/>
            <w:vAlign w:val="center"/>
          </w:tcPr>
          <w:p w14:paraId="1AAC77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协助护理对象清洗头发。</w:t>
            </w:r>
          </w:p>
        </w:tc>
        <w:tc>
          <w:tcPr>
            <w:tcW w:w="668" w:type="pct"/>
            <w:tcBorders>
              <w:top w:val="nil"/>
              <w:left w:val="nil"/>
              <w:bottom w:val="single" w:color="auto" w:sz="4" w:space="0"/>
              <w:right w:val="single" w:color="auto" w:sz="4" w:space="0"/>
              <w:tl2br w:val="nil"/>
              <w:tr2bl w:val="nil"/>
            </w:tcBorders>
            <w:noWrap w:val="0"/>
            <w:vAlign w:val="center"/>
          </w:tcPr>
          <w:p w14:paraId="504E42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20/次</w:t>
            </w:r>
          </w:p>
        </w:tc>
      </w:tr>
      <w:tr w14:paraId="7353A331">
        <w:tblPrEx>
          <w:tblCellMar>
            <w:top w:w="0" w:type="dxa"/>
            <w:left w:w="108" w:type="dxa"/>
            <w:bottom w:w="0" w:type="dxa"/>
            <w:right w:w="108" w:type="dxa"/>
          </w:tblCellMar>
        </w:tblPrEx>
        <w:trPr>
          <w:trHeight w:val="1425" w:hRule="atLeast"/>
          <w:jc w:val="center"/>
        </w:trPr>
        <w:tc>
          <w:tcPr>
            <w:tcW w:w="448" w:type="pct"/>
            <w:tcBorders>
              <w:top w:val="nil"/>
              <w:left w:val="single" w:color="auto" w:sz="4" w:space="0"/>
              <w:bottom w:val="single" w:color="auto" w:sz="4" w:space="0"/>
              <w:right w:val="single" w:color="auto" w:sz="4" w:space="0"/>
              <w:tl2br w:val="nil"/>
              <w:tr2bl w:val="nil"/>
            </w:tcBorders>
            <w:noWrap w:val="0"/>
            <w:vAlign w:val="center"/>
          </w:tcPr>
          <w:p w14:paraId="7E70FF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p>
        </w:tc>
        <w:tc>
          <w:tcPr>
            <w:tcW w:w="648" w:type="pct"/>
            <w:vMerge w:val="continue"/>
            <w:tcBorders>
              <w:left w:val="single" w:color="auto" w:sz="4" w:space="0"/>
              <w:right w:val="single" w:color="auto" w:sz="4" w:space="0"/>
              <w:tl2br w:val="nil"/>
              <w:tr2bl w:val="nil"/>
            </w:tcBorders>
            <w:noWrap w:val="0"/>
            <w:vAlign w:val="center"/>
          </w:tcPr>
          <w:p w14:paraId="13C8C9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仿宋_GB2312" w:hAnsi="仿宋_GB2312" w:eastAsia="仿宋_GB2312" w:cs="仿宋_GB2312"/>
                <w:color w:val="auto"/>
                <w:sz w:val="24"/>
                <w:szCs w:val="24"/>
              </w:rPr>
            </w:pPr>
          </w:p>
        </w:tc>
        <w:tc>
          <w:tcPr>
            <w:tcW w:w="591" w:type="pct"/>
            <w:vMerge w:val="continue"/>
            <w:tcBorders>
              <w:left w:val="single" w:color="auto" w:sz="4" w:space="0"/>
              <w:right w:val="single" w:color="auto" w:sz="4" w:space="0"/>
              <w:tl2br w:val="nil"/>
              <w:tr2bl w:val="nil"/>
            </w:tcBorders>
            <w:noWrap w:val="0"/>
            <w:vAlign w:val="center"/>
          </w:tcPr>
          <w:p w14:paraId="5B9BED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jc w:val="center"/>
              <w:textAlignment w:val="auto"/>
              <w:rPr>
                <w:rFonts w:hint="eastAsia" w:ascii="仿宋_GB2312" w:hAnsi="仿宋_GB2312" w:eastAsia="仿宋_GB2312" w:cs="仿宋_GB2312"/>
                <w:color w:val="auto"/>
                <w:sz w:val="24"/>
                <w:szCs w:val="24"/>
              </w:rPr>
            </w:pPr>
          </w:p>
        </w:tc>
        <w:tc>
          <w:tcPr>
            <w:tcW w:w="869" w:type="pct"/>
            <w:tcBorders>
              <w:top w:val="nil"/>
              <w:left w:val="nil"/>
              <w:bottom w:val="single" w:color="auto" w:sz="4" w:space="0"/>
              <w:right w:val="single" w:color="auto" w:sz="4" w:space="0"/>
              <w:tl2br w:val="nil"/>
              <w:tr2bl w:val="nil"/>
            </w:tcBorders>
            <w:noWrap w:val="0"/>
            <w:vAlign w:val="center"/>
          </w:tcPr>
          <w:p w14:paraId="28F6FC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口腔清洁</w:t>
            </w:r>
          </w:p>
        </w:tc>
        <w:tc>
          <w:tcPr>
            <w:tcW w:w="1774" w:type="pct"/>
            <w:tcBorders>
              <w:top w:val="nil"/>
              <w:left w:val="nil"/>
              <w:bottom w:val="single" w:color="auto" w:sz="4" w:space="0"/>
              <w:right w:val="single" w:color="auto" w:sz="4" w:space="0"/>
              <w:tl2br w:val="nil"/>
              <w:tr2bl w:val="nil"/>
            </w:tcBorders>
            <w:noWrap w:val="0"/>
            <w:vAlign w:val="center"/>
          </w:tcPr>
          <w:p w14:paraId="45A61C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协助护理对象采用合适的方式和方法（刷牙、漱口、棉棒/棉球擦拭等）清洁口腔和义齿，过程中防止误吸。</w:t>
            </w:r>
          </w:p>
        </w:tc>
        <w:tc>
          <w:tcPr>
            <w:tcW w:w="668" w:type="pct"/>
            <w:tcBorders>
              <w:top w:val="nil"/>
              <w:left w:val="nil"/>
              <w:bottom w:val="single" w:color="auto" w:sz="4" w:space="0"/>
              <w:right w:val="single" w:color="auto" w:sz="4" w:space="0"/>
              <w:tl2br w:val="nil"/>
              <w:tr2bl w:val="nil"/>
            </w:tcBorders>
            <w:noWrap w:val="0"/>
            <w:vAlign w:val="center"/>
          </w:tcPr>
          <w:p w14:paraId="1D3A5F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20/次</w:t>
            </w:r>
          </w:p>
        </w:tc>
      </w:tr>
      <w:tr w14:paraId="73FB0B2D">
        <w:tblPrEx>
          <w:tblCellMar>
            <w:top w:w="0" w:type="dxa"/>
            <w:left w:w="108" w:type="dxa"/>
            <w:bottom w:w="0" w:type="dxa"/>
            <w:right w:w="108" w:type="dxa"/>
          </w:tblCellMar>
        </w:tblPrEx>
        <w:trPr>
          <w:trHeight w:val="570" w:hRule="atLeast"/>
          <w:jc w:val="center"/>
        </w:trPr>
        <w:tc>
          <w:tcPr>
            <w:tcW w:w="448" w:type="pct"/>
            <w:tcBorders>
              <w:top w:val="nil"/>
              <w:left w:val="single" w:color="auto" w:sz="4" w:space="0"/>
              <w:bottom w:val="single" w:color="auto" w:sz="4" w:space="0"/>
              <w:right w:val="single" w:color="auto" w:sz="4" w:space="0"/>
              <w:tl2br w:val="nil"/>
              <w:tr2bl w:val="nil"/>
            </w:tcBorders>
            <w:noWrap w:val="0"/>
            <w:vAlign w:val="center"/>
          </w:tcPr>
          <w:p w14:paraId="03784A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p>
        </w:tc>
        <w:tc>
          <w:tcPr>
            <w:tcW w:w="648" w:type="pct"/>
            <w:vMerge w:val="continue"/>
            <w:tcBorders>
              <w:left w:val="single" w:color="auto" w:sz="4" w:space="0"/>
              <w:bottom w:val="single" w:color="auto" w:sz="4" w:space="0"/>
              <w:right w:val="single" w:color="auto" w:sz="4" w:space="0"/>
              <w:tl2br w:val="nil"/>
              <w:tr2bl w:val="nil"/>
            </w:tcBorders>
            <w:noWrap w:val="0"/>
            <w:vAlign w:val="center"/>
          </w:tcPr>
          <w:p w14:paraId="2125A7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textAlignment w:val="auto"/>
              <w:rPr>
                <w:rFonts w:hint="eastAsia" w:ascii="仿宋_GB2312" w:hAnsi="仿宋_GB2312" w:eastAsia="仿宋_GB2312" w:cs="仿宋_GB2312"/>
                <w:color w:val="auto"/>
                <w:sz w:val="24"/>
                <w:szCs w:val="24"/>
              </w:rPr>
            </w:pPr>
          </w:p>
        </w:tc>
        <w:tc>
          <w:tcPr>
            <w:tcW w:w="591" w:type="pct"/>
            <w:vMerge w:val="continue"/>
            <w:tcBorders>
              <w:left w:val="single" w:color="auto" w:sz="4" w:space="0"/>
              <w:right w:val="single" w:color="auto" w:sz="4" w:space="0"/>
              <w:tl2br w:val="nil"/>
              <w:tr2bl w:val="nil"/>
            </w:tcBorders>
            <w:noWrap w:val="0"/>
            <w:vAlign w:val="center"/>
          </w:tcPr>
          <w:p w14:paraId="738A60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p>
        </w:tc>
        <w:tc>
          <w:tcPr>
            <w:tcW w:w="869" w:type="pct"/>
            <w:tcBorders>
              <w:top w:val="nil"/>
              <w:left w:val="nil"/>
              <w:bottom w:val="single" w:color="auto" w:sz="4" w:space="0"/>
              <w:right w:val="single" w:color="auto" w:sz="4" w:space="0"/>
              <w:tl2br w:val="nil"/>
              <w:tr2bl w:val="nil"/>
            </w:tcBorders>
            <w:noWrap w:val="0"/>
            <w:vAlign w:val="center"/>
          </w:tcPr>
          <w:p w14:paraId="39DAE4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手部、足部清洁</w:t>
            </w:r>
          </w:p>
        </w:tc>
        <w:tc>
          <w:tcPr>
            <w:tcW w:w="1774" w:type="pct"/>
            <w:tcBorders>
              <w:top w:val="nil"/>
              <w:left w:val="nil"/>
              <w:bottom w:val="single" w:color="auto" w:sz="4" w:space="0"/>
              <w:right w:val="single" w:color="auto" w:sz="4" w:space="0"/>
              <w:tl2br w:val="nil"/>
              <w:tr2bl w:val="nil"/>
            </w:tcBorders>
            <w:noWrap w:val="0"/>
            <w:vAlign w:val="center"/>
          </w:tcPr>
          <w:p w14:paraId="3B06D0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协助护理对象清洗手和足部。</w:t>
            </w:r>
          </w:p>
        </w:tc>
        <w:tc>
          <w:tcPr>
            <w:tcW w:w="668" w:type="pct"/>
            <w:tcBorders>
              <w:top w:val="nil"/>
              <w:left w:val="nil"/>
              <w:bottom w:val="single" w:color="auto" w:sz="4" w:space="0"/>
              <w:right w:val="single" w:color="auto" w:sz="4" w:space="0"/>
              <w:tl2br w:val="nil"/>
              <w:tr2bl w:val="nil"/>
            </w:tcBorders>
            <w:noWrap w:val="0"/>
            <w:vAlign w:val="center"/>
          </w:tcPr>
          <w:p w14:paraId="7D66FF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20/次</w:t>
            </w:r>
          </w:p>
        </w:tc>
      </w:tr>
      <w:tr w14:paraId="4302CA2E">
        <w:tblPrEx>
          <w:tblCellMar>
            <w:top w:w="0" w:type="dxa"/>
            <w:left w:w="108" w:type="dxa"/>
            <w:bottom w:w="0" w:type="dxa"/>
            <w:right w:w="108" w:type="dxa"/>
          </w:tblCellMar>
        </w:tblPrEx>
        <w:trPr>
          <w:trHeight w:val="1140" w:hRule="atLeast"/>
          <w:jc w:val="center"/>
        </w:trPr>
        <w:tc>
          <w:tcPr>
            <w:tcW w:w="448" w:type="pct"/>
            <w:tcBorders>
              <w:top w:val="nil"/>
              <w:left w:val="single" w:color="auto" w:sz="4" w:space="0"/>
              <w:bottom w:val="single" w:color="auto" w:sz="4" w:space="0"/>
              <w:right w:val="single" w:color="auto" w:sz="4" w:space="0"/>
              <w:tl2br w:val="nil"/>
              <w:tr2bl w:val="nil"/>
            </w:tcBorders>
            <w:noWrap w:val="0"/>
            <w:vAlign w:val="center"/>
          </w:tcPr>
          <w:p w14:paraId="128BE3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w:t>
            </w:r>
          </w:p>
        </w:tc>
        <w:tc>
          <w:tcPr>
            <w:tcW w:w="64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5BCF8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仿宋_GB2312" w:hAnsi="仿宋_GB2312" w:eastAsia="仿宋_GB2312" w:cs="仿宋_GB2312"/>
                <w:color w:val="auto"/>
                <w:sz w:val="24"/>
                <w:szCs w:val="24"/>
              </w:rPr>
            </w:pPr>
          </w:p>
        </w:tc>
        <w:tc>
          <w:tcPr>
            <w:tcW w:w="591" w:type="pct"/>
            <w:vMerge w:val="continue"/>
            <w:tcBorders>
              <w:left w:val="single" w:color="auto" w:sz="4" w:space="0"/>
              <w:right w:val="single" w:color="auto" w:sz="4" w:space="0"/>
              <w:tl2br w:val="nil"/>
              <w:tr2bl w:val="nil"/>
            </w:tcBorders>
            <w:noWrap w:val="0"/>
            <w:vAlign w:val="center"/>
          </w:tcPr>
          <w:p w14:paraId="13EBA0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jc w:val="center"/>
              <w:textAlignment w:val="auto"/>
              <w:rPr>
                <w:rFonts w:hint="eastAsia" w:ascii="仿宋_GB2312" w:hAnsi="仿宋_GB2312" w:eastAsia="仿宋_GB2312" w:cs="仿宋_GB2312"/>
                <w:color w:val="auto"/>
                <w:sz w:val="24"/>
                <w:szCs w:val="24"/>
              </w:rPr>
            </w:pPr>
          </w:p>
        </w:tc>
        <w:tc>
          <w:tcPr>
            <w:tcW w:w="869" w:type="pct"/>
            <w:tcBorders>
              <w:top w:val="nil"/>
              <w:left w:val="nil"/>
              <w:bottom w:val="single" w:color="auto" w:sz="4" w:space="0"/>
              <w:right w:val="single" w:color="auto" w:sz="4" w:space="0"/>
              <w:tl2br w:val="nil"/>
              <w:tr2bl w:val="nil"/>
            </w:tcBorders>
            <w:noWrap w:val="0"/>
            <w:vAlign w:val="center"/>
          </w:tcPr>
          <w:p w14:paraId="16D8C1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修剪指/趾甲</w:t>
            </w:r>
          </w:p>
        </w:tc>
        <w:tc>
          <w:tcPr>
            <w:tcW w:w="1774" w:type="pct"/>
            <w:tcBorders>
              <w:top w:val="nil"/>
              <w:left w:val="nil"/>
              <w:bottom w:val="single" w:color="auto" w:sz="4" w:space="0"/>
              <w:right w:val="single" w:color="auto" w:sz="4" w:space="0"/>
              <w:tl2br w:val="nil"/>
              <w:tr2bl w:val="nil"/>
            </w:tcBorders>
            <w:noWrap w:val="0"/>
            <w:vAlign w:val="center"/>
          </w:tcPr>
          <w:p w14:paraId="55BE8D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选择合适的工具对护理对象指/趾甲进行处理，需要时协助联系专业人士处理灰指甲。</w:t>
            </w:r>
          </w:p>
        </w:tc>
        <w:tc>
          <w:tcPr>
            <w:tcW w:w="668" w:type="pct"/>
            <w:tcBorders>
              <w:top w:val="nil"/>
              <w:left w:val="nil"/>
              <w:bottom w:val="single" w:color="auto" w:sz="4" w:space="0"/>
              <w:right w:val="single" w:color="auto" w:sz="4" w:space="0"/>
              <w:tl2br w:val="nil"/>
              <w:tr2bl w:val="nil"/>
            </w:tcBorders>
            <w:noWrap w:val="0"/>
            <w:vAlign w:val="center"/>
          </w:tcPr>
          <w:p w14:paraId="231210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10/次</w:t>
            </w:r>
          </w:p>
        </w:tc>
      </w:tr>
      <w:tr w14:paraId="1BE4E196">
        <w:tblPrEx>
          <w:tblCellMar>
            <w:top w:w="0" w:type="dxa"/>
            <w:left w:w="108" w:type="dxa"/>
            <w:bottom w:w="0" w:type="dxa"/>
            <w:right w:w="108" w:type="dxa"/>
          </w:tblCellMar>
        </w:tblPrEx>
        <w:trPr>
          <w:trHeight w:val="855" w:hRule="atLeast"/>
          <w:jc w:val="center"/>
        </w:trPr>
        <w:tc>
          <w:tcPr>
            <w:tcW w:w="448" w:type="pct"/>
            <w:tcBorders>
              <w:top w:val="nil"/>
              <w:left w:val="single" w:color="auto" w:sz="4" w:space="0"/>
              <w:bottom w:val="single" w:color="auto" w:sz="4" w:space="0"/>
              <w:right w:val="single" w:color="auto" w:sz="4" w:space="0"/>
              <w:tl2br w:val="nil"/>
              <w:tr2bl w:val="nil"/>
            </w:tcBorders>
            <w:noWrap w:val="0"/>
            <w:vAlign w:val="center"/>
          </w:tcPr>
          <w:p w14:paraId="45A703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w:t>
            </w:r>
          </w:p>
        </w:tc>
        <w:tc>
          <w:tcPr>
            <w:tcW w:w="64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F4252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仿宋_GB2312" w:hAnsi="仿宋_GB2312" w:eastAsia="仿宋_GB2312" w:cs="仿宋_GB2312"/>
                <w:color w:val="auto"/>
                <w:sz w:val="24"/>
                <w:szCs w:val="24"/>
              </w:rPr>
            </w:pPr>
          </w:p>
        </w:tc>
        <w:tc>
          <w:tcPr>
            <w:tcW w:w="591" w:type="pct"/>
            <w:vMerge w:val="continue"/>
            <w:tcBorders>
              <w:left w:val="single" w:color="auto" w:sz="4" w:space="0"/>
              <w:right w:val="single" w:color="auto" w:sz="4" w:space="0"/>
              <w:tl2br w:val="nil"/>
              <w:tr2bl w:val="nil"/>
            </w:tcBorders>
            <w:noWrap w:val="0"/>
            <w:vAlign w:val="center"/>
          </w:tcPr>
          <w:p w14:paraId="62A41A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jc w:val="center"/>
              <w:textAlignment w:val="auto"/>
              <w:rPr>
                <w:rFonts w:hint="eastAsia" w:ascii="仿宋_GB2312" w:hAnsi="仿宋_GB2312" w:eastAsia="仿宋_GB2312" w:cs="仿宋_GB2312"/>
                <w:color w:val="auto"/>
                <w:sz w:val="24"/>
                <w:szCs w:val="24"/>
              </w:rPr>
            </w:pPr>
          </w:p>
        </w:tc>
        <w:tc>
          <w:tcPr>
            <w:tcW w:w="869" w:type="pct"/>
            <w:tcBorders>
              <w:top w:val="nil"/>
              <w:left w:val="nil"/>
              <w:bottom w:val="single" w:color="auto" w:sz="4" w:space="0"/>
              <w:right w:val="single" w:color="auto" w:sz="4" w:space="0"/>
              <w:tl2br w:val="nil"/>
              <w:tr2bl w:val="nil"/>
            </w:tcBorders>
            <w:noWrap w:val="0"/>
            <w:vAlign w:val="center"/>
          </w:tcPr>
          <w:p w14:paraId="52C122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会阴清洁</w:t>
            </w:r>
          </w:p>
        </w:tc>
        <w:tc>
          <w:tcPr>
            <w:tcW w:w="1774" w:type="pct"/>
            <w:tcBorders>
              <w:top w:val="nil"/>
              <w:left w:val="nil"/>
              <w:bottom w:val="single" w:color="auto" w:sz="4" w:space="0"/>
              <w:right w:val="single" w:color="auto" w:sz="4" w:space="0"/>
              <w:tl2br w:val="nil"/>
              <w:tr2bl w:val="nil"/>
            </w:tcBorders>
            <w:noWrap w:val="0"/>
            <w:vAlign w:val="center"/>
          </w:tcPr>
          <w:p w14:paraId="122CAC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协助护理对象完成会阴部的清洁，保持干爽，无异味，预防感染。</w:t>
            </w:r>
          </w:p>
        </w:tc>
        <w:tc>
          <w:tcPr>
            <w:tcW w:w="668" w:type="pct"/>
            <w:tcBorders>
              <w:top w:val="nil"/>
              <w:left w:val="nil"/>
              <w:bottom w:val="single" w:color="auto" w:sz="4" w:space="0"/>
              <w:right w:val="single" w:color="auto" w:sz="4" w:space="0"/>
              <w:tl2br w:val="nil"/>
              <w:tr2bl w:val="nil"/>
            </w:tcBorders>
            <w:noWrap w:val="0"/>
            <w:vAlign w:val="center"/>
          </w:tcPr>
          <w:p w14:paraId="336BA4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20/次</w:t>
            </w:r>
          </w:p>
        </w:tc>
      </w:tr>
      <w:tr w14:paraId="0FCE730F">
        <w:tblPrEx>
          <w:tblCellMar>
            <w:top w:w="0" w:type="dxa"/>
            <w:left w:w="108" w:type="dxa"/>
            <w:bottom w:w="0" w:type="dxa"/>
            <w:right w:w="108" w:type="dxa"/>
          </w:tblCellMar>
        </w:tblPrEx>
        <w:trPr>
          <w:trHeight w:val="855" w:hRule="atLeast"/>
          <w:jc w:val="center"/>
        </w:trPr>
        <w:tc>
          <w:tcPr>
            <w:tcW w:w="448" w:type="pct"/>
            <w:tcBorders>
              <w:top w:val="nil"/>
              <w:left w:val="single" w:color="auto" w:sz="4" w:space="0"/>
              <w:bottom w:val="single" w:color="auto" w:sz="4" w:space="0"/>
              <w:right w:val="single" w:color="auto" w:sz="4" w:space="0"/>
              <w:tl2br w:val="nil"/>
              <w:tr2bl w:val="nil"/>
            </w:tcBorders>
            <w:noWrap w:val="0"/>
            <w:vAlign w:val="center"/>
          </w:tcPr>
          <w:p w14:paraId="7EE35A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w:t>
            </w:r>
          </w:p>
        </w:tc>
        <w:tc>
          <w:tcPr>
            <w:tcW w:w="64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7434B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仿宋_GB2312" w:hAnsi="仿宋_GB2312" w:eastAsia="仿宋_GB2312" w:cs="仿宋_GB2312"/>
                <w:color w:val="auto"/>
                <w:sz w:val="24"/>
                <w:szCs w:val="24"/>
              </w:rPr>
            </w:pPr>
          </w:p>
        </w:tc>
        <w:tc>
          <w:tcPr>
            <w:tcW w:w="591" w:type="pct"/>
            <w:vMerge w:val="continue"/>
            <w:tcBorders>
              <w:left w:val="single" w:color="auto" w:sz="4" w:space="0"/>
              <w:right w:val="single" w:color="auto" w:sz="4" w:space="0"/>
              <w:tl2br w:val="nil"/>
              <w:tr2bl w:val="nil"/>
            </w:tcBorders>
            <w:noWrap w:val="0"/>
            <w:vAlign w:val="center"/>
          </w:tcPr>
          <w:p w14:paraId="6C402E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jc w:val="center"/>
              <w:textAlignment w:val="auto"/>
              <w:rPr>
                <w:rFonts w:hint="eastAsia" w:ascii="仿宋_GB2312" w:hAnsi="仿宋_GB2312" w:eastAsia="仿宋_GB2312" w:cs="仿宋_GB2312"/>
                <w:color w:val="auto"/>
                <w:sz w:val="24"/>
                <w:szCs w:val="24"/>
              </w:rPr>
            </w:pPr>
          </w:p>
        </w:tc>
        <w:tc>
          <w:tcPr>
            <w:tcW w:w="869" w:type="pct"/>
            <w:tcBorders>
              <w:top w:val="nil"/>
              <w:left w:val="nil"/>
              <w:bottom w:val="single" w:color="auto" w:sz="4" w:space="0"/>
              <w:right w:val="single" w:color="auto" w:sz="4" w:space="0"/>
              <w:tl2br w:val="nil"/>
              <w:tr2bl w:val="nil"/>
            </w:tcBorders>
            <w:noWrap w:val="0"/>
            <w:vAlign w:val="center"/>
          </w:tcPr>
          <w:p w14:paraId="521624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助浴</w:t>
            </w:r>
          </w:p>
        </w:tc>
        <w:tc>
          <w:tcPr>
            <w:tcW w:w="1774" w:type="pct"/>
            <w:tcBorders>
              <w:top w:val="nil"/>
              <w:left w:val="nil"/>
              <w:bottom w:val="single" w:color="auto" w:sz="4" w:space="0"/>
              <w:right w:val="single" w:color="auto" w:sz="4" w:space="0"/>
              <w:tl2br w:val="nil"/>
              <w:tr2bl w:val="nil"/>
            </w:tcBorders>
            <w:noWrap w:val="0"/>
            <w:vAlign w:val="center"/>
          </w:tcPr>
          <w:p w14:paraId="1CCE92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在保障安全的前提下，选择适宜的方式对护理对象进行身体清洁。</w:t>
            </w:r>
          </w:p>
        </w:tc>
        <w:tc>
          <w:tcPr>
            <w:tcW w:w="668" w:type="pct"/>
            <w:tcBorders>
              <w:top w:val="nil"/>
              <w:left w:val="nil"/>
              <w:bottom w:val="single" w:color="auto" w:sz="4" w:space="0"/>
              <w:right w:val="single" w:color="auto" w:sz="4" w:space="0"/>
              <w:tl2br w:val="nil"/>
              <w:tr2bl w:val="nil"/>
            </w:tcBorders>
            <w:noWrap w:val="0"/>
            <w:vAlign w:val="center"/>
          </w:tcPr>
          <w:p w14:paraId="5E3EAD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100/次</w:t>
            </w:r>
          </w:p>
        </w:tc>
      </w:tr>
      <w:tr w14:paraId="3FC501A7">
        <w:tblPrEx>
          <w:tblCellMar>
            <w:top w:w="0" w:type="dxa"/>
            <w:left w:w="108" w:type="dxa"/>
            <w:bottom w:w="0" w:type="dxa"/>
            <w:right w:w="108" w:type="dxa"/>
          </w:tblCellMar>
        </w:tblPrEx>
        <w:trPr>
          <w:trHeight w:val="570" w:hRule="atLeast"/>
          <w:jc w:val="center"/>
        </w:trPr>
        <w:tc>
          <w:tcPr>
            <w:tcW w:w="448" w:type="pct"/>
            <w:tcBorders>
              <w:top w:val="nil"/>
              <w:left w:val="single" w:color="auto" w:sz="4" w:space="0"/>
              <w:bottom w:val="single" w:color="auto" w:sz="4" w:space="0"/>
              <w:right w:val="single" w:color="auto" w:sz="4" w:space="0"/>
              <w:tl2br w:val="nil"/>
              <w:tr2bl w:val="nil"/>
            </w:tcBorders>
            <w:noWrap w:val="0"/>
            <w:vAlign w:val="center"/>
          </w:tcPr>
          <w:p w14:paraId="22209B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w:t>
            </w:r>
          </w:p>
        </w:tc>
        <w:tc>
          <w:tcPr>
            <w:tcW w:w="64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5AC26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仿宋_GB2312" w:hAnsi="仿宋_GB2312" w:eastAsia="仿宋_GB2312" w:cs="仿宋_GB2312"/>
                <w:color w:val="auto"/>
                <w:sz w:val="24"/>
                <w:szCs w:val="24"/>
              </w:rPr>
            </w:pPr>
          </w:p>
        </w:tc>
        <w:tc>
          <w:tcPr>
            <w:tcW w:w="591" w:type="pct"/>
            <w:vMerge w:val="continue"/>
            <w:tcBorders>
              <w:left w:val="single" w:color="auto" w:sz="4" w:space="0"/>
              <w:right w:val="single" w:color="auto" w:sz="4" w:space="0"/>
              <w:tl2br w:val="nil"/>
              <w:tr2bl w:val="nil"/>
            </w:tcBorders>
            <w:noWrap w:val="0"/>
            <w:vAlign w:val="center"/>
          </w:tcPr>
          <w:p w14:paraId="2946C6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jc w:val="center"/>
              <w:textAlignment w:val="auto"/>
              <w:rPr>
                <w:rFonts w:hint="eastAsia" w:ascii="仿宋_GB2312" w:hAnsi="仿宋_GB2312" w:eastAsia="仿宋_GB2312" w:cs="仿宋_GB2312"/>
                <w:color w:val="auto"/>
                <w:sz w:val="24"/>
                <w:szCs w:val="24"/>
              </w:rPr>
            </w:pPr>
          </w:p>
        </w:tc>
        <w:tc>
          <w:tcPr>
            <w:tcW w:w="869" w:type="pct"/>
            <w:tcBorders>
              <w:top w:val="nil"/>
              <w:left w:val="nil"/>
              <w:bottom w:val="single" w:color="auto" w:sz="4" w:space="0"/>
              <w:right w:val="single" w:color="auto" w:sz="4" w:space="0"/>
              <w:tl2br w:val="nil"/>
              <w:tr2bl w:val="nil"/>
            </w:tcBorders>
            <w:noWrap w:val="0"/>
            <w:vAlign w:val="center"/>
          </w:tcPr>
          <w:p w14:paraId="10E68D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理发</w:t>
            </w:r>
          </w:p>
        </w:tc>
        <w:tc>
          <w:tcPr>
            <w:tcW w:w="1774" w:type="pct"/>
            <w:tcBorders>
              <w:top w:val="nil"/>
              <w:left w:val="nil"/>
              <w:bottom w:val="single" w:color="auto" w:sz="4" w:space="0"/>
              <w:right w:val="single" w:color="auto" w:sz="4" w:space="0"/>
              <w:tl2br w:val="nil"/>
              <w:tr2bl w:val="nil"/>
            </w:tcBorders>
            <w:noWrap w:val="0"/>
            <w:vAlign w:val="center"/>
          </w:tcPr>
          <w:p w14:paraId="7F5869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为护理对象修剪头发并清洗。</w:t>
            </w:r>
          </w:p>
        </w:tc>
        <w:tc>
          <w:tcPr>
            <w:tcW w:w="668" w:type="pct"/>
            <w:tcBorders>
              <w:top w:val="nil"/>
              <w:left w:val="nil"/>
              <w:bottom w:val="single" w:color="auto" w:sz="4" w:space="0"/>
              <w:right w:val="single" w:color="auto" w:sz="4" w:space="0"/>
              <w:tl2br w:val="nil"/>
              <w:tr2bl w:val="nil"/>
            </w:tcBorders>
            <w:noWrap w:val="0"/>
            <w:vAlign w:val="center"/>
          </w:tcPr>
          <w:p w14:paraId="6393A0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color w:val="auto"/>
                <w:sz w:val="24"/>
                <w:szCs w:val="24"/>
                <w:lang w:val="en-US" w:eastAsia="zh-CN"/>
              </w:rPr>
              <w:t>20/次</w:t>
            </w:r>
          </w:p>
        </w:tc>
      </w:tr>
      <w:tr w14:paraId="1FED713D">
        <w:tblPrEx>
          <w:tblCellMar>
            <w:top w:w="0" w:type="dxa"/>
            <w:left w:w="108" w:type="dxa"/>
            <w:bottom w:w="0" w:type="dxa"/>
            <w:right w:w="108" w:type="dxa"/>
          </w:tblCellMar>
        </w:tblPrEx>
        <w:trPr>
          <w:trHeight w:val="1017" w:hRule="atLeast"/>
          <w:jc w:val="center"/>
        </w:trPr>
        <w:tc>
          <w:tcPr>
            <w:tcW w:w="448" w:type="pct"/>
            <w:tcBorders>
              <w:top w:val="nil"/>
              <w:left w:val="single" w:color="auto" w:sz="4" w:space="0"/>
              <w:bottom w:val="single" w:color="auto" w:sz="4" w:space="0"/>
              <w:right w:val="single" w:color="auto" w:sz="4" w:space="0"/>
              <w:tl2br w:val="nil"/>
              <w:tr2bl w:val="nil"/>
            </w:tcBorders>
            <w:noWrap w:val="0"/>
            <w:vAlign w:val="center"/>
          </w:tcPr>
          <w:p w14:paraId="561ACE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9</w:t>
            </w:r>
          </w:p>
        </w:tc>
        <w:tc>
          <w:tcPr>
            <w:tcW w:w="64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F8DBF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仿宋_GB2312" w:hAnsi="仿宋_GB2312" w:eastAsia="仿宋_GB2312" w:cs="仿宋_GB2312"/>
                <w:color w:val="auto"/>
                <w:sz w:val="24"/>
                <w:szCs w:val="24"/>
              </w:rPr>
            </w:pPr>
          </w:p>
        </w:tc>
        <w:tc>
          <w:tcPr>
            <w:tcW w:w="591" w:type="pct"/>
            <w:vMerge w:val="continue"/>
            <w:tcBorders>
              <w:left w:val="single" w:color="auto" w:sz="4" w:space="0"/>
              <w:bottom w:val="single" w:color="auto" w:sz="4" w:space="0"/>
              <w:right w:val="single" w:color="auto" w:sz="4" w:space="0"/>
              <w:tl2br w:val="nil"/>
              <w:tr2bl w:val="nil"/>
            </w:tcBorders>
            <w:noWrap w:val="0"/>
            <w:vAlign w:val="center"/>
          </w:tcPr>
          <w:p w14:paraId="450656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jc w:val="center"/>
              <w:textAlignment w:val="auto"/>
              <w:rPr>
                <w:rFonts w:hint="eastAsia" w:ascii="仿宋_GB2312" w:hAnsi="仿宋_GB2312" w:eastAsia="仿宋_GB2312" w:cs="仿宋_GB2312"/>
                <w:color w:val="auto"/>
                <w:sz w:val="24"/>
                <w:szCs w:val="24"/>
              </w:rPr>
            </w:pPr>
          </w:p>
        </w:tc>
        <w:tc>
          <w:tcPr>
            <w:tcW w:w="869" w:type="pct"/>
            <w:vMerge w:val="restart"/>
            <w:tcBorders>
              <w:top w:val="nil"/>
              <w:left w:val="nil"/>
              <w:bottom w:val="single" w:color="auto" w:sz="4" w:space="0"/>
              <w:right w:val="single" w:color="auto" w:sz="4" w:space="0"/>
              <w:tl2br w:val="nil"/>
              <w:tr2bl w:val="nil"/>
            </w:tcBorders>
            <w:noWrap w:val="0"/>
            <w:vAlign w:val="center"/>
          </w:tcPr>
          <w:p w14:paraId="04234F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家政保洁</w:t>
            </w:r>
          </w:p>
          <w:p w14:paraId="3FF67C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lang w:val="en-US" w:eastAsia="zh-CN"/>
              </w:rPr>
            </w:pPr>
          </w:p>
          <w:p w14:paraId="13B15B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lang w:val="en-US" w:eastAsia="zh-CN"/>
              </w:rPr>
            </w:pPr>
          </w:p>
          <w:p w14:paraId="654D27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lang w:val="en-US" w:eastAsia="zh-CN"/>
              </w:rPr>
            </w:pPr>
          </w:p>
          <w:p w14:paraId="24A6D3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家政保洁</w:t>
            </w:r>
          </w:p>
        </w:tc>
        <w:tc>
          <w:tcPr>
            <w:tcW w:w="1774" w:type="pct"/>
            <w:tcBorders>
              <w:top w:val="nil"/>
              <w:left w:val="nil"/>
              <w:bottom w:val="single" w:color="auto" w:sz="4" w:space="0"/>
              <w:right w:val="single" w:color="auto" w:sz="4" w:space="0"/>
              <w:tl2br w:val="nil"/>
              <w:tr2bl w:val="nil"/>
            </w:tcBorders>
            <w:noWrap w:val="0"/>
            <w:vAlign w:val="center"/>
          </w:tcPr>
          <w:p w14:paraId="2DFE74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入户为</w:t>
            </w:r>
            <w:r>
              <w:rPr>
                <w:rFonts w:hint="eastAsia" w:ascii="仿宋_GB2312" w:hAnsi="仿宋_GB2312" w:eastAsia="仿宋_GB2312" w:cs="仿宋_GB2312"/>
                <w:color w:val="auto"/>
                <w:sz w:val="24"/>
                <w:szCs w:val="24"/>
                <w:lang w:val="en-US" w:eastAsia="zh-CN"/>
              </w:rPr>
              <w:t>护理对象</w:t>
            </w:r>
            <w:r>
              <w:rPr>
                <w:rFonts w:hint="eastAsia" w:ascii="仿宋_GB2312" w:hAnsi="仿宋_GB2312" w:eastAsia="仿宋_GB2312" w:cs="仿宋_GB2312"/>
                <w:color w:val="auto"/>
                <w:sz w:val="24"/>
                <w:szCs w:val="24"/>
              </w:rPr>
              <w:t>开展室内清洁服务</w:t>
            </w:r>
            <w:r>
              <w:rPr>
                <w:rFonts w:hint="eastAsia" w:ascii="仿宋_GB2312" w:hAnsi="仿宋_GB2312" w:eastAsia="仿宋_GB2312" w:cs="仿宋_GB2312"/>
                <w:color w:val="auto"/>
                <w:sz w:val="24"/>
                <w:szCs w:val="24"/>
                <w:lang w:eastAsia="zh-CN"/>
              </w:rPr>
              <w:t>。</w:t>
            </w:r>
          </w:p>
        </w:tc>
        <w:tc>
          <w:tcPr>
            <w:tcW w:w="668" w:type="pct"/>
            <w:tcBorders>
              <w:top w:val="nil"/>
              <w:left w:val="nil"/>
              <w:bottom w:val="single" w:color="auto" w:sz="4" w:space="0"/>
              <w:right w:val="single" w:color="auto" w:sz="4" w:space="0"/>
              <w:tl2br w:val="nil"/>
              <w:tr2bl w:val="nil"/>
            </w:tcBorders>
            <w:noWrap w:val="0"/>
            <w:vAlign w:val="center"/>
          </w:tcPr>
          <w:p w14:paraId="7599E2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40/小时</w:t>
            </w:r>
          </w:p>
        </w:tc>
      </w:tr>
      <w:tr w14:paraId="1E2E1AC8">
        <w:tblPrEx>
          <w:tblCellMar>
            <w:top w:w="0" w:type="dxa"/>
            <w:left w:w="108" w:type="dxa"/>
            <w:bottom w:w="0" w:type="dxa"/>
            <w:right w:w="108" w:type="dxa"/>
          </w:tblCellMar>
        </w:tblPrEx>
        <w:trPr>
          <w:trHeight w:val="570" w:hRule="atLeast"/>
          <w:jc w:val="center"/>
        </w:trPr>
        <w:tc>
          <w:tcPr>
            <w:tcW w:w="448" w:type="pct"/>
            <w:tcBorders>
              <w:top w:val="nil"/>
              <w:left w:val="single" w:color="auto" w:sz="4" w:space="0"/>
              <w:bottom w:val="single" w:color="auto" w:sz="4" w:space="0"/>
              <w:right w:val="single" w:color="auto" w:sz="4" w:space="0"/>
              <w:tl2br w:val="nil"/>
              <w:tr2bl w:val="nil"/>
            </w:tcBorders>
            <w:noWrap w:val="0"/>
            <w:vAlign w:val="center"/>
          </w:tcPr>
          <w:p w14:paraId="05CEE3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w:t>
            </w:r>
          </w:p>
        </w:tc>
        <w:tc>
          <w:tcPr>
            <w:tcW w:w="64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6BDF5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仿宋_GB2312" w:hAnsi="仿宋_GB2312" w:eastAsia="仿宋_GB2312" w:cs="仿宋_GB2312"/>
                <w:color w:val="auto"/>
                <w:sz w:val="24"/>
                <w:szCs w:val="24"/>
              </w:rPr>
            </w:pPr>
          </w:p>
        </w:tc>
        <w:tc>
          <w:tcPr>
            <w:tcW w:w="59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D86A5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jc w:val="center"/>
              <w:textAlignment w:val="auto"/>
              <w:rPr>
                <w:rFonts w:hint="eastAsia" w:ascii="仿宋_GB2312" w:hAnsi="仿宋_GB2312" w:eastAsia="仿宋_GB2312" w:cs="仿宋_GB2312"/>
                <w:color w:val="auto"/>
                <w:sz w:val="24"/>
                <w:szCs w:val="24"/>
              </w:rPr>
            </w:pPr>
          </w:p>
        </w:tc>
        <w:tc>
          <w:tcPr>
            <w:tcW w:w="869" w:type="pct"/>
            <w:vMerge w:val="continue"/>
            <w:tcBorders>
              <w:top w:val="single" w:color="auto" w:sz="4" w:space="0"/>
              <w:left w:val="nil"/>
              <w:bottom w:val="single" w:color="auto" w:sz="4" w:space="0"/>
              <w:right w:val="single" w:color="auto" w:sz="4" w:space="0"/>
              <w:tl2br w:val="nil"/>
              <w:tr2bl w:val="nil"/>
            </w:tcBorders>
            <w:noWrap w:val="0"/>
            <w:vAlign w:val="center"/>
          </w:tcPr>
          <w:p w14:paraId="785C23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仿宋_GB2312" w:hAnsi="仿宋_GB2312" w:eastAsia="仿宋_GB2312" w:cs="仿宋_GB2312"/>
                <w:color w:val="auto"/>
                <w:sz w:val="24"/>
                <w:szCs w:val="24"/>
                <w:lang w:val="en-US" w:eastAsia="zh-CN"/>
              </w:rPr>
            </w:pPr>
          </w:p>
        </w:tc>
        <w:tc>
          <w:tcPr>
            <w:tcW w:w="1774" w:type="pct"/>
            <w:tcBorders>
              <w:top w:val="single" w:color="auto" w:sz="4" w:space="0"/>
              <w:left w:val="nil"/>
              <w:bottom w:val="single" w:color="auto" w:sz="4" w:space="0"/>
              <w:right w:val="single" w:color="auto" w:sz="4" w:space="0"/>
              <w:tl2br w:val="nil"/>
              <w:tr2bl w:val="nil"/>
            </w:tcBorders>
            <w:noWrap w:val="0"/>
            <w:vAlign w:val="center"/>
          </w:tcPr>
          <w:p w14:paraId="4A4B43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个别电器深度清洁，如空调、热水器、抽油烟机、集成灶等。</w:t>
            </w:r>
          </w:p>
        </w:tc>
        <w:tc>
          <w:tcPr>
            <w:tcW w:w="668" w:type="pct"/>
            <w:tcBorders>
              <w:top w:val="nil"/>
              <w:left w:val="nil"/>
              <w:bottom w:val="single" w:color="auto" w:sz="4" w:space="0"/>
              <w:right w:val="single" w:color="auto" w:sz="4" w:space="0"/>
              <w:tl2br w:val="nil"/>
              <w:tr2bl w:val="nil"/>
            </w:tcBorders>
            <w:noWrap w:val="0"/>
            <w:vAlign w:val="center"/>
          </w:tcPr>
          <w:p w14:paraId="746F4B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100-200/件</w:t>
            </w:r>
          </w:p>
        </w:tc>
      </w:tr>
      <w:tr w14:paraId="63AD9D05">
        <w:tblPrEx>
          <w:tblCellMar>
            <w:top w:w="0" w:type="dxa"/>
            <w:left w:w="108" w:type="dxa"/>
            <w:bottom w:w="0" w:type="dxa"/>
            <w:right w:w="108" w:type="dxa"/>
          </w:tblCellMar>
        </w:tblPrEx>
        <w:trPr>
          <w:trHeight w:val="570" w:hRule="atLeast"/>
          <w:jc w:val="center"/>
        </w:trPr>
        <w:tc>
          <w:tcPr>
            <w:tcW w:w="448" w:type="pct"/>
            <w:tcBorders>
              <w:top w:val="nil"/>
              <w:left w:val="single" w:color="auto" w:sz="4" w:space="0"/>
              <w:bottom w:val="single" w:color="auto" w:sz="4" w:space="0"/>
              <w:right w:val="single" w:color="auto" w:sz="4" w:space="0"/>
              <w:tl2br w:val="nil"/>
              <w:tr2bl w:val="nil"/>
            </w:tcBorders>
            <w:noWrap w:val="0"/>
            <w:vAlign w:val="center"/>
          </w:tcPr>
          <w:p w14:paraId="496DDD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11</w:t>
            </w:r>
          </w:p>
        </w:tc>
        <w:tc>
          <w:tcPr>
            <w:tcW w:w="64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88B3B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仿宋_GB2312" w:hAnsi="仿宋_GB2312" w:eastAsia="仿宋_GB2312" w:cs="仿宋_GB2312"/>
                <w:color w:val="auto"/>
                <w:sz w:val="24"/>
                <w:szCs w:val="24"/>
              </w:rPr>
            </w:pPr>
          </w:p>
        </w:tc>
        <w:tc>
          <w:tcPr>
            <w:tcW w:w="59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E173B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jc w:val="center"/>
              <w:textAlignment w:val="auto"/>
              <w:rPr>
                <w:rFonts w:hint="eastAsia" w:ascii="仿宋_GB2312" w:hAnsi="仿宋_GB2312" w:eastAsia="仿宋_GB2312" w:cs="仿宋_GB2312"/>
                <w:color w:val="auto"/>
                <w:sz w:val="24"/>
                <w:szCs w:val="24"/>
              </w:rPr>
            </w:pPr>
          </w:p>
        </w:tc>
        <w:tc>
          <w:tcPr>
            <w:tcW w:w="869" w:type="pct"/>
            <w:vMerge w:val="continue"/>
            <w:tcBorders>
              <w:top w:val="single" w:color="auto" w:sz="4" w:space="0"/>
              <w:left w:val="nil"/>
              <w:bottom w:val="single" w:color="auto" w:sz="4" w:space="0"/>
              <w:right w:val="single" w:color="auto" w:sz="4" w:space="0"/>
              <w:tl2br w:val="nil"/>
              <w:tr2bl w:val="nil"/>
            </w:tcBorders>
            <w:noWrap w:val="0"/>
            <w:vAlign w:val="center"/>
          </w:tcPr>
          <w:p w14:paraId="0EEAF2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仿宋_GB2312" w:hAnsi="仿宋_GB2312" w:eastAsia="仿宋_GB2312" w:cs="仿宋_GB2312"/>
                <w:color w:val="auto"/>
                <w:sz w:val="24"/>
                <w:szCs w:val="24"/>
                <w:lang w:val="en-US" w:eastAsia="zh-CN"/>
              </w:rPr>
            </w:pPr>
          </w:p>
        </w:tc>
        <w:tc>
          <w:tcPr>
            <w:tcW w:w="1774" w:type="pct"/>
            <w:tcBorders>
              <w:top w:val="nil"/>
              <w:left w:val="nil"/>
              <w:bottom w:val="single" w:color="auto" w:sz="4" w:space="0"/>
              <w:right w:val="single" w:color="auto" w:sz="4" w:space="0"/>
              <w:tl2br w:val="nil"/>
              <w:tr2bl w:val="nil"/>
            </w:tcBorders>
            <w:noWrap w:val="0"/>
            <w:vAlign w:val="center"/>
          </w:tcPr>
          <w:p w14:paraId="338C9A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衣物、床上用品清洗，如鞋、袜、裤、衣、外套、被套等。</w:t>
            </w:r>
          </w:p>
        </w:tc>
        <w:tc>
          <w:tcPr>
            <w:tcW w:w="668" w:type="pct"/>
            <w:tcBorders>
              <w:top w:val="nil"/>
              <w:left w:val="nil"/>
              <w:bottom w:val="single" w:color="auto" w:sz="4" w:space="0"/>
              <w:right w:val="single" w:color="auto" w:sz="4" w:space="0"/>
              <w:tl2br w:val="nil"/>
              <w:tr2bl w:val="nil"/>
            </w:tcBorders>
            <w:noWrap w:val="0"/>
            <w:vAlign w:val="center"/>
          </w:tcPr>
          <w:p w14:paraId="23FB25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10/件</w:t>
            </w:r>
          </w:p>
        </w:tc>
      </w:tr>
      <w:tr w14:paraId="106848A5">
        <w:tblPrEx>
          <w:tblCellMar>
            <w:top w:w="0" w:type="dxa"/>
            <w:left w:w="108" w:type="dxa"/>
            <w:bottom w:w="0" w:type="dxa"/>
            <w:right w:w="108" w:type="dxa"/>
          </w:tblCellMar>
        </w:tblPrEx>
        <w:trPr>
          <w:trHeight w:val="1140" w:hRule="atLeast"/>
          <w:jc w:val="center"/>
        </w:trPr>
        <w:tc>
          <w:tcPr>
            <w:tcW w:w="448" w:type="pct"/>
            <w:tcBorders>
              <w:top w:val="nil"/>
              <w:left w:val="single" w:color="auto" w:sz="4" w:space="0"/>
              <w:bottom w:val="single" w:color="auto" w:sz="4" w:space="0"/>
              <w:right w:val="single" w:color="auto" w:sz="4" w:space="0"/>
              <w:tl2br w:val="nil"/>
              <w:tr2bl w:val="nil"/>
            </w:tcBorders>
            <w:noWrap w:val="0"/>
            <w:vAlign w:val="center"/>
          </w:tcPr>
          <w:p w14:paraId="3376DD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12</w:t>
            </w:r>
          </w:p>
        </w:tc>
        <w:tc>
          <w:tcPr>
            <w:tcW w:w="648" w:type="pct"/>
            <w:vMerge w:val="continue"/>
            <w:tcBorders>
              <w:top w:val="single" w:color="auto" w:sz="4" w:space="0"/>
              <w:left w:val="single" w:color="auto" w:sz="4" w:space="0"/>
              <w:right w:val="single" w:color="auto" w:sz="4" w:space="0"/>
              <w:tl2br w:val="nil"/>
              <w:tr2bl w:val="nil"/>
            </w:tcBorders>
            <w:noWrap w:val="0"/>
            <w:vAlign w:val="center"/>
          </w:tcPr>
          <w:p w14:paraId="263A08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仿宋_GB2312" w:hAnsi="仿宋_GB2312" w:eastAsia="仿宋_GB2312" w:cs="仿宋_GB2312"/>
                <w:color w:val="auto"/>
                <w:sz w:val="24"/>
                <w:szCs w:val="24"/>
              </w:rPr>
            </w:pPr>
          </w:p>
        </w:tc>
        <w:tc>
          <w:tcPr>
            <w:tcW w:w="591" w:type="pct"/>
            <w:tcBorders>
              <w:top w:val="single" w:color="auto" w:sz="4" w:space="0"/>
              <w:left w:val="nil"/>
              <w:bottom w:val="single" w:color="auto" w:sz="4" w:space="0"/>
              <w:right w:val="single" w:color="auto" w:sz="4" w:space="0"/>
              <w:tl2br w:val="nil"/>
              <w:tr2bl w:val="nil"/>
            </w:tcBorders>
            <w:noWrap w:val="0"/>
            <w:vAlign w:val="center"/>
          </w:tcPr>
          <w:p w14:paraId="69D119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饮食护理</w:t>
            </w:r>
          </w:p>
        </w:tc>
        <w:tc>
          <w:tcPr>
            <w:tcW w:w="869" w:type="pct"/>
            <w:tcBorders>
              <w:top w:val="single" w:color="auto" w:sz="4" w:space="0"/>
              <w:left w:val="nil"/>
              <w:bottom w:val="single" w:color="auto" w:sz="4" w:space="0"/>
              <w:right w:val="single" w:color="auto" w:sz="4" w:space="0"/>
              <w:tl2br w:val="nil"/>
              <w:tr2bl w:val="nil"/>
            </w:tcBorders>
            <w:noWrap w:val="0"/>
            <w:vAlign w:val="center"/>
          </w:tcPr>
          <w:p w14:paraId="167ABD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协助进食（水）</w:t>
            </w:r>
          </w:p>
        </w:tc>
        <w:tc>
          <w:tcPr>
            <w:tcW w:w="1774" w:type="pct"/>
            <w:tcBorders>
              <w:top w:val="nil"/>
              <w:left w:val="nil"/>
              <w:bottom w:val="single" w:color="auto" w:sz="4" w:space="0"/>
              <w:right w:val="single" w:color="auto" w:sz="4" w:space="0"/>
              <w:tl2br w:val="nil"/>
              <w:tr2bl w:val="nil"/>
            </w:tcBorders>
            <w:noWrap w:val="0"/>
            <w:vAlign w:val="center"/>
          </w:tcPr>
          <w:p w14:paraId="462B95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协助经口进食的护理对象完成进食（水），鼻饲进食者协助完成鼻饲。</w:t>
            </w:r>
          </w:p>
        </w:tc>
        <w:tc>
          <w:tcPr>
            <w:tcW w:w="668" w:type="pct"/>
            <w:tcBorders>
              <w:top w:val="nil"/>
              <w:left w:val="nil"/>
              <w:bottom w:val="single" w:color="auto" w:sz="4" w:space="0"/>
              <w:right w:val="single" w:color="auto" w:sz="4" w:space="0"/>
              <w:tl2br w:val="nil"/>
              <w:tr2bl w:val="nil"/>
            </w:tcBorders>
            <w:noWrap w:val="0"/>
            <w:vAlign w:val="center"/>
          </w:tcPr>
          <w:p w14:paraId="5186A1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20/次</w:t>
            </w:r>
          </w:p>
        </w:tc>
      </w:tr>
      <w:tr w14:paraId="770816D4">
        <w:tblPrEx>
          <w:tblCellMar>
            <w:top w:w="0" w:type="dxa"/>
            <w:left w:w="108" w:type="dxa"/>
            <w:bottom w:w="0" w:type="dxa"/>
            <w:right w:w="108" w:type="dxa"/>
          </w:tblCellMar>
        </w:tblPrEx>
        <w:trPr>
          <w:trHeight w:val="855" w:hRule="atLeast"/>
          <w:jc w:val="center"/>
        </w:trPr>
        <w:tc>
          <w:tcPr>
            <w:tcW w:w="448" w:type="pct"/>
            <w:tcBorders>
              <w:top w:val="nil"/>
              <w:left w:val="single" w:color="auto" w:sz="4" w:space="0"/>
              <w:bottom w:val="single" w:color="auto" w:sz="4" w:space="0"/>
              <w:right w:val="single" w:color="auto" w:sz="4" w:space="0"/>
              <w:tl2br w:val="nil"/>
              <w:tr2bl w:val="nil"/>
            </w:tcBorders>
            <w:noWrap w:val="0"/>
            <w:vAlign w:val="center"/>
          </w:tcPr>
          <w:p w14:paraId="652B62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1</w:t>
            </w:r>
            <w:r>
              <w:rPr>
                <w:rFonts w:hint="eastAsia" w:ascii="仿宋_GB2312" w:hAnsi="仿宋_GB2312" w:eastAsia="仿宋_GB2312" w:cs="仿宋_GB2312"/>
                <w:color w:val="auto"/>
                <w:sz w:val="24"/>
                <w:szCs w:val="24"/>
                <w:lang w:val="en-US" w:eastAsia="zh-CN"/>
              </w:rPr>
              <w:t>3</w:t>
            </w:r>
          </w:p>
        </w:tc>
        <w:tc>
          <w:tcPr>
            <w:tcW w:w="648" w:type="pct"/>
            <w:vMerge w:val="continue"/>
            <w:tcBorders>
              <w:left w:val="single" w:color="auto" w:sz="4" w:space="0"/>
              <w:right w:val="single" w:color="auto" w:sz="4" w:space="0"/>
              <w:tl2br w:val="nil"/>
              <w:tr2bl w:val="nil"/>
            </w:tcBorders>
            <w:noWrap w:val="0"/>
            <w:vAlign w:val="center"/>
          </w:tcPr>
          <w:p w14:paraId="378CE6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仿宋_GB2312" w:hAnsi="仿宋_GB2312" w:eastAsia="仿宋_GB2312" w:cs="仿宋_GB2312"/>
                <w:color w:val="auto"/>
                <w:sz w:val="24"/>
                <w:szCs w:val="24"/>
              </w:rPr>
            </w:pPr>
          </w:p>
        </w:tc>
        <w:tc>
          <w:tcPr>
            <w:tcW w:w="591" w:type="pct"/>
            <w:tcBorders>
              <w:top w:val="nil"/>
              <w:left w:val="nil"/>
              <w:bottom w:val="single" w:color="auto" w:sz="4" w:space="0"/>
              <w:right w:val="single" w:color="auto" w:sz="4" w:space="0"/>
              <w:tl2br w:val="nil"/>
              <w:tr2bl w:val="nil"/>
            </w:tcBorders>
            <w:noWrap w:val="0"/>
            <w:vAlign w:val="center"/>
          </w:tcPr>
          <w:p w14:paraId="63170F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安全防范</w:t>
            </w:r>
          </w:p>
        </w:tc>
        <w:tc>
          <w:tcPr>
            <w:tcW w:w="869" w:type="pct"/>
            <w:tcBorders>
              <w:top w:val="nil"/>
              <w:left w:val="nil"/>
              <w:bottom w:val="single" w:color="auto" w:sz="4" w:space="0"/>
              <w:right w:val="single" w:color="auto" w:sz="4" w:space="0"/>
              <w:tl2br w:val="nil"/>
              <w:tr2bl w:val="nil"/>
            </w:tcBorders>
            <w:noWrap w:val="0"/>
            <w:vAlign w:val="center"/>
          </w:tcPr>
          <w:p w14:paraId="79F132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安全防护及指导</w:t>
            </w:r>
          </w:p>
        </w:tc>
        <w:tc>
          <w:tcPr>
            <w:tcW w:w="1774" w:type="pct"/>
            <w:tcBorders>
              <w:top w:val="nil"/>
              <w:left w:val="nil"/>
              <w:bottom w:val="single" w:color="auto" w:sz="4" w:space="0"/>
              <w:right w:val="single" w:color="auto" w:sz="4" w:space="0"/>
              <w:tl2br w:val="nil"/>
              <w:tr2bl w:val="nil"/>
            </w:tcBorders>
            <w:noWrap w:val="0"/>
            <w:vAlign w:val="center"/>
          </w:tcPr>
          <w:p w14:paraId="2F30BD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对护理对象</w:t>
            </w:r>
            <w:r>
              <w:rPr>
                <w:rFonts w:hint="eastAsia" w:ascii="仿宋_GB2312" w:hAnsi="仿宋_GB2312" w:eastAsia="仿宋_GB2312" w:cs="仿宋_GB2312"/>
                <w:color w:val="auto"/>
                <w:sz w:val="24"/>
                <w:szCs w:val="24"/>
                <w:lang w:eastAsia="zh-CN"/>
              </w:rPr>
              <w:t>给予</w:t>
            </w:r>
            <w:r>
              <w:rPr>
                <w:rFonts w:hint="eastAsia" w:ascii="仿宋_GB2312" w:hAnsi="仿宋_GB2312" w:eastAsia="仿宋_GB2312" w:cs="仿宋_GB2312"/>
                <w:color w:val="auto"/>
                <w:sz w:val="24"/>
                <w:szCs w:val="24"/>
              </w:rPr>
              <w:t>防坠床、跌倒、烫伤、误吸等安全防范指导。</w:t>
            </w:r>
          </w:p>
        </w:tc>
        <w:tc>
          <w:tcPr>
            <w:tcW w:w="668" w:type="pct"/>
            <w:tcBorders>
              <w:top w:val="nil"/>
              <w:left w:val="nil"/>
              <w:bottom w:val="single" w:color="auto" w:sz="4" w:space="0"/>
              <w:right w:val="single" w:color="auto" w:sz="4" w:space="0"/>
              <w:tl2br w:val="nil"/>
              <w:tr2bl w:val="nil"/>
            </w:tcBorders>
            <w:noWrap w:val="0"/>
            <w:vAlign w:val="center"/>
          </w:tcPr>
          <w:p w14:paraId="5B5E7C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20/次</w:t>
            </w:r>
          </w:p>
        </w:tc>
      </w:tr>
      <w:tr w14:paraId="7D3E07B7">
        <w:tblPrEx>
          <w:tblCellMar>
            <w:top w:w="0" w:type="dxa"/>
            <w:left w:w="108" w:type="dxa"/>
            <w:bottom w:w="0" w:type="dxa"/>
            <w:right w:w="108" w:type="dxa"/>
          </w:tblCellMar>
        </w:tblPrEx>
        <w:trPr>
          <w:trHeight w:val="1710" w:hRule="atLeast"/>
          <w:jc w:val="center"/>
        </w:trPr>
        <w:tc>
          <w:tcPr>
            <w:tcW w:w="448" w:type="pct"/>
            <w:tcBorders>
              <w:top w:val="nil"/>
              <w:left w:val="single" w:color="auto" w:sz="4" w:space="0"/>
              <w:bottom w:val="single" w:color="auto" w:sz="4" w:space="0"/>
              <w:right w:val="single" w:color="auto" w:sz="4" w:space="0"/>
              <w:tl2br w:val="nil"/>
              <w:tr2bl w:val="nil"/>
            </w:tcBorders>
            <w:noWrap w:val="0"/>
            <w:vAlign w:val="center"/>
          </w:tcPr>
          <w:p w14:paraId="502824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14</w:t>
            </w:r>
          </w:p>
        </w:tc>
        <w:tc>
          <w:tcPr>
            <w:tcW w:w="648" w:type="pct"/>
            <w:vMerge w:val="continue"/>
            <w:tcBorders>
              <w:left w:val="single" w:color="auto" w:sz="4" w:space="0"/>
              <w:right w:val="single" w:color="auto" w:sz="4" w:space="0"/>
              <w:tl2br w:val="nil"/>
              <w:tr2bl w:val="nil"/>
            </w:tcBorders>
            <w:noWrap w:val="0"/>
            <w:vAlign w:val="center"/>
          </w:tcPr>
          <w:p w14:paraId="0A0976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仿宋_GB2312" w:hAnsi="仿宋_GB2312" w:eastAsia="仿宋_GB2312" w:cs="仿宋_GB2312"/>
                <w:color w:val="auto"/>
                <w:sz w:val="24"/>
                <w:szCs w:val="24"/>
              </w:rPr>
            </w:pPr>
          </w:p>
        </w:tc>
        <w:tc>
          <w:tcPr>
            <w:tcW w:w="591" w:type="pct"/>
            <w:vMerge w:val="restart"/>
            <w:tcBorders>
              <w:top w:val="nil"/>
              <w:left w:val="single" w:color="auto" w:sz="4" w:space="0"/>
              <w:right w:val="single" w:color="auto" w:sz="4" w:space="0"/>
              <w:tl2br w:val="nil"/>
              <w:tr2bl w:val="nil"/>
            </w:tcBorders>
            <w:noWrap w:val="0"/>
            <w:vAlign w:val="center"/>
          </w:tcPr>
          <w:p w14:paraId="137E1E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排泄护理</w:t>
            </w:r>
          </w:p>
        </w:tc>
        <w:tc>
          <w:tcPr>
            <w:tcW w:w="869" w:type="pct"/>
            <w:tcBorders>
              <w:top w:val="nil"/>
              <w:left w:val="nil"/>
              <w:bottom w:val="single" w:color="auto" w:sz="4" w:space="0"/>
              <w:right w:val="single" w:color="auto" w:sz="4" w:space="0"/>
              <w:tl2br w:val="nil"/>
              <w:tr2bl w:val="nil"/>
            </w:tcBorders>
            <w:noWrap w:val="0"/>
            <w:vAlign w:val="center"/>
          </w:tcPr>
          <w:p w14:paraId="270279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协助如厕</w:t>
            </w:r>
          </w:p>
        </w:tc>
        <w:tc>
          <w:tcPr>
            <w:tcW w:w="1774" w:type="pct"/>
            <w:tcBorders>
              <w:top w:val="nil"/>
              <w:left w:val="nil"/>
              <w:bottom w:val="single" w:color="auto" w:sz="4" w:space="0"/>
              <w:right w:val="single" w:color="auto" w:sz="4" w:space="0"/>
              <w:tl2br w:val="nil"/>
              <w:tr2bl w:val="nil"/>
            </w:tcBorders>
            <w:noWrap w:val="0"/>
            <w:vAlign w:val="center"/>
          </w:tcPr>
          <w:p w14:paraId="3A29E7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协助护理对象床上/床边使用便器，需要时使用轮椅、助行器、拐杖等移动工具至卫生间如厕</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为大小便失禁的护理对象更换尿垫等。</w:t>
            </w:r>
          </w:p>
        </w:tc>
        <w:tc>
          <w:tcPr>
            <w:tcW w:w="668" w:type="pct"/>
            <w:tcBorders>
              <w:top w:val="nil"/>
              <w:left w:val="nil"/>
              <w:bottom w:val="single" w:color="auto" w:sz="4" w:space="0"/>
              <w:right w:val="single" w:color="auto" w:sz="4" w:space="0"/>
              <w:tl2br w:val="nil"/>
              <w:tr2bl w:val="nil"/>
            </w:tcBorders>
            <w:noWrap w:val="0"/>
            <w:vAlign w:val="center"/>
          </w:tcPr>
          <w:p w14:paraId="1AB613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20/次</w:t>
            </w:r>
          </w:p>
        </w:tc>
      </w:tr>
      <w:tr w14:paraId="373BC633">
        <w:tblPrEx>
          <w:tblCellMar>
            <w:top w:w="0" w:type="dxa"/>
            <w:left w:w="108" w:type="dxa"/>
            <w:bottom w:w="0" w:type="dxa"/>
            <w:right w:w="108" w:type="dxa"/>
          </w:tblCellMar>
        </w:tblPrEx>
        <w:trPr>
          <w:trHeight w:val="1425" w:hRule="atLeast"/>
          <w:jc w:val="center"/>
        </w:trPr>
        <w:tc>
          <w:tcPr>
            <w:tcW w:w="448" w:type="pct"/>
            <w:tcBorders>
              <w:top w:val="nil"/>
              <w:left w:val="single" w:color="auto" w:sz="4" w:space="0"/>
              <w:bottom w:val="single" w:color="auto" w:sz="4" w:space="0"/>
              <w:right w:val="single" w:color="auto" w:sz="4" w:space="0"/>
              <w:tl2br w:val="nil"/>
              <w:tr2bl w:val="nil"/>
            </w:tcBorders>
            <w:noWrap w:val="0"/>
            <w:vAlign w:val="center"/>
          </w:tcPr>
          <w:p w14:paraId="160B35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15</w:t>
            </w:r>
          </w:p>
        </w:tc>
        <w:tc>
          <w:tcPr>
            <w:tcW w:w="648" w:type="pct"/>
            <w:vMerge w:val="continue"/>
            <w:tcBorders>
              <w:left w:val="single" w:color="auto" w:sz="4" w:space="0"/>
              <w:right w:val="single" w:color="auto" w:sz="4" w:space="0"/>
              <w:tl2br w:val="nil"/>
              <w:tr2bl w:val="nil"/>
            </w:tcBorders>
            <w:noWrap w:val="0"/>
            <w:vAlign w:val="center"/>
          </w:tcPr>
          <w:p w14:paraId="0DAD92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仿宋_GB2312" w:hAnsi="仿宋_GB2312" w:eastAsia="仿宋_GB2312" w:cs="仿宋_GB2312"/>
                <w:color w:val="auto"/>
                <w:sz w:val="24"/>
                <w:szCs w:val="24"/>
              </w:rPr>
            </w:pPr>
          </w:p>
        </w:tc>
        <w:tc>
          <w:tcPr>
            <w:tcW w:w="591" w:type="pct"/>
            <w:vMerge w:val="continue"/>
            <w:tcBorders>
              <w:left w:val="single" w:color="auto" w:sz="4" w:space="0"/>
              <w:right w:val="single" w:color="auto" w:sz="4" w:space="0"/>
              <w:tl2br w:val="nil"/>
              <w:tr2bl w:val="nil"/>
            </w:tcBorders>
            <w:noWrap w:val="0"/>
            <w:vAlign w:val="center"/>
          </w:tcPr>
          <w:p w14:paraId="31AEC9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jc w:val="center"/>
              <w:textAlignment w:val="auto"/>
              <w:rPr>
                <w:rFonts w:hint="eastAsia" w:ascii="仿宋_GB2312" w:hAnsi="仿宋_GB2312" w:eastAsia="仿宋_GB2312" w:cs="仿宋_GB2312"/>
                <w:color w:val="auto"/>
                <w:sz w:val="24"/>
                <w:szCs w:val="24"/>
              </w:rPr>
            </w:pPr>
          </w:p>
        </w:tc>
        <w:tc>
          <w:tcPr>
            <w:tcW w:w="869" w:type="pct"/>
            <w:tcBorders>
              <w:top w:val="nil"/>
              <w:left w:val="nil"/>
              <w:bottom w:val="single" w:color="auto" w:sz="4" w:space="0"/>
              <w:right w:val="single" w:color="auto" w:sz="4" w:space="0"/>
              <w:tl2br w:val="nil"/>
              <w:tr2bl w:val="nil"/>
            </w:tcBorders>
            <w:noWrap w:val="0"/>
            <w:vAlign w:val="center"/>
          </w:tcPr>
          <w:p w14:paraId="2E71E4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排泄护理</w:t>
            </w:r>
          </w:p>
        </w:tc>
        <w:tc>
          <w:tcPr>
            <w:tcW w:w="1774" w:type="pct"/>
            <w:tcBorders>
              <w:top w:val="nil"/>
              <w:left w:val="nil"/>
              <w:bottom w:val="single" w:color="auto" w:sz="4" w:space="0"/>
              <w:right w:val="single" w:color="auto" w:sz="4" w:space="0"/>
              <w:tl2br w:val="nil"/>
              <w:tr2bl w:val="nil"/>
            </w:tcBorders>
            <w:noWrap w:val="0"/>
            <w:vAlign w:val="center"/>
          </w:tcPr>
          <w:p w14:paraId="0479A9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为便秘嵌</w:t>
            </w:r>
            <w:r>
              <w:rPr>
                <w:rFonts w:hint="eastAsia" w:ascii="仿宋_GB2312" w:hAnsi="仿宋_GB2312" w:eastAsia="仿宋_GB2312" w:cs="仿宋_GB2312"/>
                <w:color w:val="auto"/>
                <w:sz w:val="24"/>
                <w:szCs w:val="24"/>
                <w:lang w:eastAsia="zh-CN"/>
              </w:rPr>
              <w:t>塞</w:t>
            </w:r>
            <w:r>
              <w:rPr>
                <w:rFonts w:hint="eastAsia" w:ascii="仿宋_GB2312" w:hAnsi="仿宋_GB2312" w:eastAsia="仿宋_GB2312" w:cs="仿宋_GB2312"/>
                <w:color w:val="auto"/>
                <w:sz w:val="24"/>
                <w:szCs w:val="24"/>
              </w:rPr>
              <w:t>的护理对象给予开塞露通便或人工取便</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为造瘘术后的护理对象提供人工肛门便袋护理。</w:t>
            </w:r>
          </w:p>
        </w:tc>
        <w:tc>
          <w:tcPr>
            <w:tcW w:w="668" w:type="pct"/>
            <w:tcBorders>
              <w:top w:val="nil"/>
              <w:left w:val="nil"/>
              <w:bottom w:val="single" w:color="auto" w:sz="4" w:space="0"/>
              <w:right w:val="single" w:color="auto" w:sz="4" w:space="0"/>
              <w:tl2br w:val="nil"/>
              <w:tr2bl w:val="nil"/>
            </w:tcBorders>
            <w:noWrap w:val="0"/>
            <w:vAlign w:val="center"/>
          </w:tcPr>
          <w:p w14:paraId="3884D2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30/次</w:t>
            </w:r>
          </w:p>
        </w:tc>
      </w:tr>
      <w:tr w14:paraId="5C8C3ACE">
        <w:tblPrEx>
          <w:tblCellMar>
            <w:top w:w="0" w:type="dxa"/>
            <w:left w:w="108" w:type="dxa"/>
            <w:bottom w:w="0" w:type="dxa"/>
            <w:right w:w="108" w:type="dxa"/>
          </w:tblCellMar>
        </w:tblPrEx>
        <w:trPr>
          <w:trHeight w:val="1425" w:hRule="atLeast"/>
          <w:jc w:val="center"/>
        </w:trPr>
        <w:tc>
          <w:tcPr>
            <w:tcW w:w="448" w:type="pct"/>
            <w:tcBorders>
              <w:top w:val="nil"/>
              <w:left w:val="single" w:color="auto" w:sz="4" w:space="0"/>
              <w:bottom w:val="single" w:color="auto" w:sz="4" w:space="0"/>
              <w:right w:val="single" w:color="auto" w:sz="4" w:space="0"/>
              <w:tl2br w:val="nil"/>
              <w:tr2bl w:val="nil"/>
            </w:tcBorders>
            <w:noWrap w:val="0"/>
            <w:vAlign w:val="center"/>
          </w:tcPr>
          <w:p w14:paraId="61FA68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16</w:t>
            </w:r>
          </w:p>
        </w:tc>
        <w:tc>
          <w:tcPr>
            <w:tcW w:w="648" w:type="pct"/>
            <w:vMerge w:val="continue"/>
            <w:tcBorders>
              <w:left w:val="single" w:color="auto" w:sz="4" w:space="0"/>
              <w:right w:val="single" w:color="auto" w:sz="4" w:space="0"/>
              <w:tl2br w:val="nil"/>
              <w:tr2bl w:val="nil"/>
            </w:tcBorders>
            <w:noWrap w:val="0"/>
            <w:vAlign w:val="center"/>
          </w:tcPr>
          <w:p w14:paraId="5A64A3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仿宋_GB2312" w:hAnsi="仿宋_GB2312" w:eastAsia="仿宋_GB2312" w:cs="仿宋_GB2312"/>
                <w:color w:val="auto"/>
                <w:sz w:val="24"/>
                <w:szCs w:val="24"/>
                <w:lang w:val="en-US"/>
              </w:rPr>
            </w:pPr>
          </w:p>
        </w:tc>
        <w:tc>
          <w:tcPr>
            <w:tcW w:w="591" w:type="pct"/>
            <w:vMerge w:val="continue"/>
            <w:tcBorders>
              <w:left w:val="single" w:color="auto" w:sz="4" w:space="0"/>
              <w:bottom w:val="single" w:color="auto" w:sz="4" w:space="0"/>
              <w:right w:val="single" w:color="auto" w:sz="4" w:space="0"/>
              <w:tl2br w:val="nil"/>
              <w:tr2bl w:val="nil"/>
            </w:tcBorders>
            <w:noWrap w:val="0"/>
            <w:vAlign w:val="center"/>
          </w:tcPr>
          <w:p w14:paraId="08D473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jc w:val="center"/>
              <w:textAlignment w:val="auto"/>
              <w:rPr>
                <w:rFonts w:hint="eastAsia" w:ascii="仿宋_GB2312" w:hAnsi="仿宋_GB2312" w:eastAsia="仿宋_GB2312" w:cs="仿宋_GB2312"/>
                <w:color w:val="auto"/>
                <w:sz w:val="24"/>
                <w:szCs w:val="24"/>
                <w:lang w:val="en-US"/>
              </w:rPr>
            </w:pPr>
          </w:p>
        </w:tc>
        <w:tc>
          <w:tcPr>
            <w:tcW w:w="869" w:type="pct"/>
            <w:tcBorders>
              <w:top w:val="nil"/>
              <w:left w:val="nil"/>
              <w:bottom w:val="single" w:color="auto" w:sz="4" w:space="0"/>
              <w:right w:val="single" w:color="auto" w:sz="4" w:space="0"/>
              <w:tl2br w:val="nil"/>
              <w:tr2bl w:val="nil"/>
            </w:tcBorders>
            <w:noWrap w:val="0"/>
            <w:vAlign w:val="center"/>
          </w:tcPr>
          <w:p w14:paraId="422C71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排泄污染物处理</w:t>
            </w:r>
          </w:p>
        </w:tc>
        <w:tc>
          <w:tcPr>
            <w:tcW w:w="1774" w:type="pct"/>
            <w:tcBorders>
              <w:top w:val="nil"/>
              <w:left w:val="nil"/>
              <w:bottom w:val="single" w:color="auto" w:sz="4" w:space="0"/>
              <w:right w:val="single" w:color="auto" w:sz="4" w:space="0"/>
              <w:tl2br w:val="nil"/>
              <w:tr2bl w:val="nil"/>
            </w:tcBorders>
            <w:noWrap w:val="0"/>
            <w:vAlign w:val="center"/>
          </w:tcPr>
          <w:p w14:paraId="7DC291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对裤子、床垫上的排泄物进行消毒处理。</w:t>
            </w:r>
          </w:p>
        </w:tc>
        <w:tc>
          <w:tcPr>
            <w:tcW w:w="668" w:type="pct"/>
            <w:tcBorders>
              <w:top w:val="nil"/>
              <w:left w:val="nil"/>
              <w:bottom w:val="single" w:color="auto" w:sz="4" w:space="0"/>
              <w:right w:val="single" w:color="auto" w:sz="4" w:space="0"/>
              <w:tl2br w:val="nil"/>
              <w:tr2bl w:val="nil"/>
            </w:tcBorders>
            <w:noWrap w:val="0"/>
            <w:vAlign w:val="center"/>
          </w:tcPr>
          <w:p w14:paraId="426CFD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color w:val="auto"/>
                <w:sz w:val="24"/>
                <w:szCs w:val="24"/>
                <w:lang w:val="en-US" w:eastAsia="zh-CN"/>
              </w:rPr>
              <w:t>50/次</w:t>
            </w:r>
          </w:p>
        </w:tc>
      </w:tr>
      <w:tr w14:paraId="7AD2F4F5">
        <w:tblPrEx>
          <w:tblCellMar>
            <w:top w:w="0" w:type="dxa"/>
            <w:left w:w="108" w:type="dxa"/>
            <w:bottom w:w="0" w:type="dxa"/>
            <w:right w:w="108" w:type="dxa"/>
          </w:tblCellMar>
        </w:tblPrEx>
        <w:trPr>
          <w:trHeight w:val="855" w:hRule="atLeast"/>
          <w:jc w:val="center"/>
        </w:trPr>
        <w:tc>
          <w:tcPr>
            <w:tcW w:w="448" w:type="pct"/>
            <w:tcBorders>
              <w:top w:val="nil"/>
              <w:left w:val="single" w:color="auto" w:sz="4" w:space="0"/>
              <w:bottom w:val="single" w:color="auto" w:sz="4" w:space="0"/>
              <w:right w:val="single" w:color="auto" w:sz="4" w:space="0"/>
              <w:tl2br w:val="nil"/>
              <w:tr2bl w:val="nil"/>
            </w:tcBorders>
            <w:noWrap w:val="0"/>
            <w:vAlign w:val="center"/>
          </w:tcPr>
          <w:p w14:paraId="1F9F91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17</w:t>
            </w:r>
          </w:p>
        </w:tc>
        <w:tc>
          <w:tcPr>
            <w:tcW w:w="648" w:type="pct"/>
            <w:vMerge w:val="continue"/>
            <w:tcBorders>
              <w:left w:val="single" w:color="auto" w:sz="4" w:space="0"/>
              <w:bottom w:val="single" w:color="auto" w:sz="4" w:space="0"/>
              <w:right w:val="single" w:color="auto" w:sz="4" w:space="0"/>
              <w:tl2br w:val="nil"/>
              <w:tr2bl w:val="nil"/>
            </w:tcBorders>
            <w:noWrap w:val="0"/>
            <w:vAlign w:val="center"/>
          </w:tcPr>
          <w:p w14:paraId="23FF1A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仿宋_GB2312" w:hAnsi="仿宋_GB2312" w:eastAsia="仿宋_GB2312" w:cs="仿宋_GB2312"/>
                <w:color w:val="auto"/>
                <w:sz w:val="24"/>
                <w:szCs w:val="24"/>
              </w:rPr>
            </w:pPr>
          </w:p>
        </w:tc>
        <w:tc>
          <w:tcPr>
            <w:tcW w:w="591" w:type="pct"/>
            <w:vMerge w:val="restart"/>
            <w:tcBorders>
              <w:top w:val="nil"/>
              <w:left w:val="single" w:color="auto" w:sz="4" w:space="0"/>
              <w:bottom w:val="single" w:color="auto" w:sz="4" w:space="0"/>
              <w:right w:val="single" w:color="auto" w:sz="4" w:space="0"/>
              <w:tl2br w:val="nil"/>
              <w:tr2bl w:val="nil"/>
            </w:tcBorders>
            <w:noWrap w:val="0"/>
            <w:vAlign w:val="center"/>
          </w:tcPr>
          <w:p w14:paraId="4310F9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体位转换</w:t>
            </w:r>
          </w:p>
          <w:p w14:paraId="4A397E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体位转换</w:t>
            </w:r>
          </w:p>
        </w:tc>
        <w:tc>
          <w:tcPr>
            <w:tcW w:w="869" w:type="pct"/>
            <w:tcBorders>
              <w:top w:val="nil"/>
              <w:left w:val="nil"/>
              <w:bottom w:val="single" w:color="auto" w:sz="4" w:space="0"/>
              <w:right w:val="single" w:color="auto" w:sz="4" w:space="0"/>
              <w:tl2br w:val="nil"/>
              <w:tr2bl w:val="nil"/>
            </w:tcBorders>
            <w:noWrap w:val="0"/>
            <w:vAlign w:val="center"/>
          </w:tcPr>
          <w:p w14:paraId="129BB6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协助移动</w:t>
            </w:r>
          </w:p>
        </w:tc>
        <w:tc>
          <w:tcPr>
            <w:tcW w:w="1774" w:type="pct"/>
            <w:tcBorders>
              <w:top w:val="nil"/>
              <w:left w:val="nil"/>
              <w:bottom w:val="single" w:color="auto" w:sz="4" w:space="0"/>
              <w:right w:val="single" w:color="auto" w:sz="4" w:space="0"/>
              <w:tl2br w:val="nil"/>
              <w:tr2bl w:val="nil"/>
            </w:tcBorders>
            <w:noWrap w:val="0"/>
            <w:vAlign w:val="center"/>
          </w:tcPr>
          <w:p w14:paraId="56FDCA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协助护理对象选择适宜的移动工具，在室内移动。</w:t>
            </w:r>
          </w:p>
        </w:tc>
        <w:tc>
          <w:tcPr>
            <w:tcW w:w="668" w:type="pct"/>
            <w:tcBorders>
              <w:top w:val="nil"/>
              <w:left w:val="nil"/>
              <w:bottom w:val="single" w:color="auto" w:sz="4" w:space="0"/>
              <w:right w:val="single" w:color="auto" w:sz="4" w:space="0"/>
              <w:tl2br w:val="nil"/>
              <w:tr2bl w:val="nil"/>
            </w:tcBorders>
            <w:noWrap w:val="0"/>
            <w:vAlign w:val="center"/>
          </w:tcPr>
          <w:p w14:paraId="16EE92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10/次</w:t>
            </w:r>
          </w:p>
        </w:tc>
      </w:tr>
      <w:tr w14:paraId="563E82C0">
        <w:tblPrEx>
          <w:tblCellMar>
            <w:top w:w="0" w:type="dxa"/>
            <w:left w:w="108" w:type="dxa"/>
            <w:bottom w:w="0" w:type="dxa"/>
            <w:right w:w="108" w:type="dxa"/>
          </w:tblCellMar>
        </w:tblPrEx>
        <w:trPr>
          <w:trHeight w:val="1500" w:hRule="atLeast"/>
          <w:jc w:val="center"/>
        </w:trPr>
        <w:tc>
          <w:tcPr>
            <w:tcW w:w="448" w:type="pct"/>
            <w:tcBorders>
              <w:top w:val="nil"/>
              <w:left w:val="single" w:color="auto" w:sz="4" w:space="0"/>
              <w:bottom w:val="single" w:color="auto" w:sz="4" w:space="0"/>
              <w:right w:val="single" w:color="auto" w:sz="4" w:space="0"/>
              <w:tl2br w:val="nil"/>
              <w:tr2bl w:val="nil"/>
            </w:tcBorders>
            <w:noWrap w:val="0"/>
            <w:vAlign w:val="center"/>
          </w:tcPr>
          <w:p w14:paraId="19E95C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18</w:t>
            </w:r>
          </w:p>
        </w:tc>
        <w:tc>
          <w:tcPr>
            <w:tcW w:w="64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D8682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仿宋_GB2312" w:hAnsi="仿宋_GB2312" w:eastAsia="仿宋_GB2312" w:cs="仿宋_GB2312"/>
                <w:color w:val="auto"/>
                <w:sz w:val="24"/>
                <w:szCs w:val="24"/>
              </w:rPr>
            </w:pPr>
          </w:p>
        </w:tc>
        <w:tc>
          <w:tcPr>
            <w:tcW w:w="59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D7F41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jc w:val="center"/>
              <w:textAlignment w:val="auto"/>
              <w:rPr>
                <w:rFonts w:hint="eastAsia" w:ascii="仿宋_GB2312" w:hAnsi="仿宋_GB2312" w:eastAsia="仿宋_GB2312" w:cs="仿宋_GB2312"/>
                <w:color w:val="auto"/>
                <w:sz w:val="24"/>
                <w:szCs w:val="24"/>
              </w:rPr>
            </w:pPr>
          </w:p>
        </w:tc>
        <w:tc>
          <w:tcPr>
            <w:tcW w:w="869" w:type="pct"/>
            <w:tcBorders>
              <w:top w:val="nil"/>
              <w:left w:val="nil"/>
              <w:bottom w:val="single" w:color="auto" w:sz="4" w:space="0"/>
              <w:right w:val="single" w:color="auto" w:sz="4" w:space="0"/>
              <w:tl2br w:val="nil"/>
              <w:tr2bl w:val="nil"/>
            </w:tcBorders>
            <w:noWrap w:val="0"/>
            <w:vAlign w:val="center"/>
          </w:tcPr>
          <w:p w14:paraId="2F0C53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协助翻身叩背排痰</w:t>
            </w:r>
          </w:p>
        </w:tc>
        <w:tc>
          <w:tcPr>
            <w:tcW w:w="1774" w:type="pct"/>
            <w:tcBorders>
              <w:top w:val="nil"/>
              <w:left w:val="nil"/>
              <w:bottom w:val="single" w:color="auto" w:sz="4" w:space="0"/>
              <w:right w:val="single" w:color="auto" w:sz="4" w:space="0"/>
              <w:tl2br w:val="nil"/>
              <w:tr2bl w:val="nil"/>
            </w:tcBorders>
            <w:noWrap w:val="0"/>
            <w:vAlign w:val="center"/>
          </w:tcPr>
          <w:p w14:paraId="051381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选择合适的翻身频次、体位、方式帮助护理对象翻身拍背，促进排痰。</w:t>
            </w:r>
          </w:p>
        </w:tc>
        <w:tc>
          <w:tcPr>
            <w:tcW w:w="668" w:type="pct"/>
            <w:tcBorders>
              <w:top w:val="nil"/>
              <w:left w:val="nil"/>
              <w:bottom w:val="single" w:color="auto" w:sz="4" w:space="0"/>
              <w:right w:val="single" w:color="auto" w:sz="4" w:space="0"/>
              <w:tl2br w:val="nil"/>
              <w:tr2bl w:val="nil"/>
            </w:tcBorders>
            <w:noWrap w:val="0"/>
            <w:vAlign w:val="center"/>
          </w:tcPr>
          <w:p w14:paraId="5E1DCD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10/次</w:t>
            </w:r>
          </w:p>
        </w:tc>
      </w:tr>
      <w:tr w14:paraId="272AF0C4">
        <w:tblPrEx>
          <w:tblCellMar>
            <w:top w:w="0" w:type="dxa"/>
            <w:left w:w="108" w:type="dxa"/>
            <w:bottom w:w="0" w:type="dxa"/>
            <w:right w:w="108" w:type="dxa"/>
          </w:tblCellMar>
        </w:tblPrEx>
        <w:trPr>
          <w:trHeight w:val="2775" w:hRule="atLeast"/>
          <w:jc w:val="center"/>
        </w:trPr>
        <w:tc>
          <w:tcPr>
            <w:tcW w:w="448" w:type="pct"/>
            <w:tcBorders>
              <w:top w:val="nil"/>
              <w:left w:val="single" w:color="auto" w:sz="4" w:space="0"/>
              <w:bottom w:val="single" w:color="auto" w:sz="4" w:space="0"/>
              <w:right w:val="single" w:color="auto" w:sz="4" w:space="0"/>
              <w:tl2br w:val="nil"/>
              <w:tr2bl w:val="nil"/>
            </w:tcBorders>
            <w:noWrap w:val="0"/>
            <w:vAlign w:val="center"/>
          </w:tcPr>
          <w:p w14:paraId="5A94D9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19</w:t>
            </w:r>
          </w:p>
        </w:tc>
        <w:tc>
          <w:tcPr>
            <w:tcW w:w="648"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6E94A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textAlignment w:val="auto"/>
              <w:rPr>
                <w:rFonts w:hint="eastAsia" w:ascii="仿宋_GB2312" w:hAnsi="仿宋_GB2312" w:eastAsia="仿宋_GB2312" w:cs="仿宋_GB2312"/>
                <w:color w:val="auto"/>
                <w:sz w:val="24"/>
                <w:szCs w:val="24"/>
              </w:rPr>
            </w:pPr>
          </w:p>
          <w:p w14:paraId="17043E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textAlignment w:val="auto"/>
              <w:rPr>
                <w:rFonts w:hint="eastAsia" w:ascii="仿宋_GB2312" w:hAnsi="仿宋_GB2312" w:eastAsia="仿宋_GB2312" w:cs="仿宋_GB2312"/>
                <w:color w:val="auto"/>
                <w:sz w:val="24"/>
                <w:szCs w:val="24"/>
              </w:rPr>
            </w:pPr>
          </w:p>
          <w:p w14:paraId="732666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textAlignment w:val="auto"/>
              <w:rPr>
                <w:rFonts w:hint="eastAsia" w:ascii="仿宋_GB2312" w:hAnsi="仿宋_GB2312" w:eastAsia="仿宋_GB2312" w:cs="仿宋_GB2312"/>
                <w:color w:val="auto"/>
                <w:sz w:val="24"/>
                <w:szCs w:val="24"/>
              </w:rPr>
            </w:pPr>
          </w:p>
          <w:p w14:paraId="7A381D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textAlignment w:val="auto"/>
              <w:rPr>
                <w:rFonts w:hint="eastAsia" w:ascii="仿宋_GB2312" w:hAnsi="仿宋_GB2312" w:eastAsia="仿宋_GB2312" w:cs="仿宋_GB2312"/>
                <w:color w:val="auto"/>
                <w:sz w:val="24"/>
                <w:szCs w:val="24"/>
              </w:rPr>
            </w:pPr>
          </w:p>
          <w:p w14:paraId="75CBF6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textAlignment w:val="auto"/>
              <w:rPr>
                <w:rFonts w:hint="eastAsia" w:ascii="仿宋_GB2312" w:hAnsi="仿宋_GB2312" w:eastAsia="仿宋_GB2312" w:cs="仿宋_GB2312"/>
                <w:color w:val="auto"/>
                <w:sz w:val="24"/>
                <w:szCs w:val="24"/>
              </w:rPr>
            </w:pPr>
          </w:p>
          <w:p w14:paraId="672936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textAlignment w:val="auto"/>
              <w:rPr>
                <w:rFonts w:hint="eastAsia" w:ascii="仿宋_GB2312" w:hAnsi="仿宋_GB2312" w:eastAsia="仿宋_GB2312" w:cs="仿宋_GB2312"/>
                <w:color w:val="auto"/>
                <w:sz w:val="24"/>
                <w:szCs w:val="24"/>
              </w:rPr>
            </w:pPr>
          </w:p>
          <w:p w14:paraId="4FA356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textAlignment w:val="auto"/>
              <w:rPr>
                <w:rFonts w:hint="eastAsia" w:ascii="仿宋_GB2312" w:hAnsi="仿宋_GB2312" w:eastAsia="仿宋_GB2312" w:cs="仿宋_GB2312"/>
                <w:color w:val="auto"/>
                <w:sz w:val="24"/>
                <w:szCs w:val="24"/>
              </w:rPr>
            </w:pPr>
          </w:p>
          <w:p w14:paraId="2C30CB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textAlignment w:val="auto"/>
              <w:rPr>
                <w:rFonts w:hint="eastAsia" w:ascii="仿宋_GB2312" w:hAnsi="仿宋_GB2312" w:eastAsia="仿宋_GB2312" w:cs="仿宋_GB2312"/>
                <w:color w:val="auto"/>
                <w:sz w:val="24"/>
                <w:szCs w:val="24"/>
              </w:rPr>
            </w:pPr>
          </w:p>
          <w:p w14:paraId="2C55B0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textAlignment w:val="auto"/>
              <w:rPr>
                <w:rFonts w:hint="eastAsia" w:ascii="仿宋_GB2312" w:hAnsi="仿宋_GB2312" w:eastAsia="仿宋_GB2312" w:cs="仿宋_GB2312"/>
                <w:color w:val="auto"/>
                <w:sz w:val="24"/>
                <w:szCs w:val="24"/>
              </w:rPr>
            </w:pPr>
          </w:p>
          <w:p w14:paraId="1F3AC4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textAlignment w:val="auto"/>
              <w:rPr>
                <w:rFonts w:hint="eastAsia" w:ascii="仿宋_GB2312" w:hAnsi="仿宋_GB2312" w:eastAsia="仿宋_GB2312" w:cs="仿宋_GB2312"/>
                <w:color w:val="auto"/>
                <w:sz w:val="24"/>
                <w:szCs w:val="24"/>
              </w:rPr>
            </w:pPr>
          </w:p>
          <w:p w14:paraId="46C2A7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textAlignment w:val="auto"/>
              <w:rPr>
                <w:rFonts w:hint="eastAsia" w:ascii="仿宋_GB2312" w:hAnsi="仿宋_GB2312" w:eastAsia="仿宋_GB2312" w:cs="仿宋_GB2312"/>
                <w:color w:val="auto"/>
                <w:sz w:val="24"/>
                <w:szCs w:val="24"/>
              </w:rPr>
            </w:pPr>
          </w:p>
          <w:p w14:paraId="0FC7B5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textAlignment w:val="auto"/>
              <w:rPr>
                <w:rFonts w:hint="eastAsia" w:ascii="仿宋_GB2312" w:hAnsi="仿宋_GB2312" w:eastAsia="仿宋_GB2312" w:cs="仿宋_GB2312"/>
                <w:color w:val="auto"/>
                <w:sz w:val="24"/>
                <w:szCs w:val="24"/>
              </w:rPr>
            </w:pPr>
          </w:p>
          <w:p w14:paraId="1BF534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二、</w:t>
            </w:r>
            <w:r>
              <w:rPr>
                <w:rFonts w:hint="eastAsia" w:ascii="仿宋_GB2312" w:hAnsi="仿宋_GB2312" w:eastAsia="仿宋_GB2312" w:cs="仿宋_GB2312"/>
                <w:color w:val="auto"/>
                <w:sz w:val="24"/>
                <w:szCs w:val="24"/>
              </w:rPr>
              <w:t>专业护理服务</w:t>
            </w:r>
          </w:p>
          <w:p w14:paraId="38D579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textAlignment w:val="auto"/>
              <w:rPr>
                <w:rFonts w:hint="eastAsia" w:ascii="仿宋_GB2312" w:hAnsi="仿宋_GB2312" w:eastAsia="仿宋_GB2312" w:cs="仿宋_GB2312"/>
                <w:color w:val="auto"/>
                <w:sz w:val="24"/>
                <w:szCs w:val="24"/>
              </w:rPr>
            </w:pPr>
          </w:p>
          <w:p w14:paraId="43A2EC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textAlignment w:val="auto"/>
              <w:rPr>
                <w:rFonts w:hint="eastAsia" w:ascii="仿宋_GB2312" w:hAnsi="仿宋_GB2312" w:eastAsia="仿宋_GB2312" w:cs="仿宋_GB2312"/>
                <w:color w:val="auto"/>
                <w:sz w:val="24"/>
                <w:szCs w:val="24"/>
              </w:rPr>
            </w:pPr>
          </w:p>
          <w:p w14:paraId="53EF29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textAlignment w:val="auto"/>
              <w:rPr>
                <w:rFonts w:hint="eastAsia" w:ascii="仿宋_GB2312" w:hAnsi="仿宋_GB2312" w:eastAsia="仿宋_GB2312" w:cs="仿宋_GB2312"/>
                <w:color w:val="auto"/>
                <w:sz w:val="24"/>
                <w:szCs w:val="24"/>
              </w:rPr>
            </w:pPr>
          </w:p>
          <w:p w14:paraId="3EFF99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textAlignment w:val="auto"/>
              <w:rPr>
                <w:rFonts w:hint="eastAsia" w:ascii="仿宋_GB2312" w:hAnsi="仿宋_GB2312" w:eastAsia="仿宋_GB2312" w:cs="仿宋_GB2312"/>
                <w:color w:val="auto"/>
                <w:sz w:val="24"/>
                <w:szCs w:val="24"/>
              </w:rPr>
            </w:pPr>
          </w:p>
          <w:p w14:paraId="7D0BB3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textAlignment w:val="auto"/>
              <w:rPr>
                <w:rFonts w:hint="eastAsia" w:ascii="仿宋_GB2312" w:hAnsi="仿宋_GB2312" w:eastAsia="仿宋_GB2312" w:cs="仿宋_GB2312"/>
                <w:color w:val="auto"/>
                <w:sz w:val="24"/>
                <w:szCs w:val="24"/>
              </w:rPr>
            </w:pPr>
          </w:p>
          <w:p w14:paraId="65D27F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textAlignment w:val="auto"/>
              <w:rPr>
                <w:rFonts w:hint="eastAsia" w:ascii="仿宋_GB2312" w:hAnsi="仿宋_GB2312" w:eastAsia="仿宋_GB2312" w:cs="仿宋_GB2312"/>
                <w:color w:val="auto"/>
                <w:sz w:val="24"/>
                <w:szCs w:val="24"/>
              </w:rPr>
            </w:pPr>
          </w:p>
          <w:p w14:paraId="6FB021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textAlignment w:val="auto"/>
              <w:rPr>
                <w:rFonts w:hint="eastAsia" w:ascii="仿宋_GB2312" w:hAnsi="仿宋_GB2312" w:eastAsia="仿宋_GB2312" w:cs="仿宋_GB2312"/>
                <w:color w:val="auto"/>
                <w:sz w:val="24"/>
                <w:szCs w:val="24"/>
              </w:rPr>
            </w:pPr>
          </w:p>
          <w:p w14:paraId="452A31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textAlignment w:val="auto"/>
              <w:rPr>
                <w:rFonts w:hint="eastAsia" w:ascii="仿宋_GB2312" w:hAnsi="仿宋_GB2312" w:eastAsia="仿宋_GB2312" w:cs="仿宋_GB2312"/>
                <w:color w:val="auto"/>
                <w:sz w:val="24"/>
                <w:szCs w:val="24"/>
              </w:rPr>
            </w:pPr>
          </w:p>
          <w:p w14:paraId="65BAE6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textAlignment w:val="auto"/>
              <w:rPr>
                <w:rFonts w:hint="eastAsia" w:ascii="仿宋_GB2312" w:hAnsi="仿宋_GB2312" w:eastAsia="仿宋_GB2312" w:cs="仿宋_GB2312"/>
                <w:color w:val="auto"/>
                <w:sz w:val="24"/>
                <w:szCs w:val="24"/>
              </w:rPr>
            </w:pPr>
          </w:p>
          <w:p w14:paraId="35480B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textAlignment w:val="auto"/>
              <w:rPr>
                <w:rFonts w:hint="eastAsia" w:ascii="仿宋_GB2312" w:hAnsi="仿宋_GB2312" w:eastAsia="仿宋_GB2312" w:cs="仿宋_GB2312"/>
                <w:color w:val="auto"/>
                <w:sz w:val="24"/>
                <w:szCs w:val="24"/>
              </w:rPr>
            </w:pPr>
          </w:p>
          <w:p w14:paraId="0D557B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textAlignment w:val="auto"/>
              <w:rPr>
                <w:rFonts w:hint="eastAsia" w:ascii="仿宋_GB2312" w:hAnsi="仿宋_GB2312" w:eastAsia="仿宋_GB2312" w:cs="仿宋_GB2312"/>
                <w:color w:val="auto"/>
                <w:sz w:val="24"/>
                <w:szCs w:val="24"/>
              </w:rPr>
            </w:pPr>
          </w:p>
          <w:p w14:paraId="735CEB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textAlignment w:val="auto"/>
              <w:rPr>
                <w:rFonts w:hint="eastAsia" w:ascii="仿宋_GB2312" w:hAnsi="仿宋_GB2312" w:eastAsia="仿宋_GB2312" w:cs="仿宋_GB2312"/>
                <w:color w:val="auto"/>
                <w:sz w:val="24"/>
                <w:szCs w:val="24"/>
              </w:rPr>
            </w:pPr>
          </w:p>
          <w:p w14:paraId="182BE8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textAlignment w:val="auto"/>
              <w:rPr>
                <w:rFonts w:hint="eastAsia" w:ascii="仿宋_GB2312" w:hAnsi="仿宋_GB2312" w:eastAsia="仿宋_GB2312" w:cs="仿宋_GB2312"/>
                <w:color w:val="auto"/>
                <w:sz w:val="24"/>
                <w:szCs w:val="24"/>
              </w:rPr>
            </w:pPr>
          </w:p>
          <w:p w14:paraId="34DE26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textAlignment w:val="auto"/>
              <w:rPr>
                <w:rFonts w:hint="eastAsia" w:ascii="仿宋_GB2312" w:hAnsi="仿宋_GB2312" w:eastAsia="仿宋_GB2312" w:cs="仿宋_GB2312"/>
                <w:color w:val="auto"/>
                <w:sz w:val="24"/>
                <w:szCs w:val="24"/>
              </w:rPr>
            </w:pPr>
          </w:p>
          <w:p w14:paraId="11B567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textAlignment w:val="auto"/>
              <w:rPr>
                <w:rFonts w:hint="eastAsia" w:ascii="仿宋_GB2312" w:hAnsi="仿宋_GB2312" w:eastAsia="仿宋_GB2312" w:cs="仿宋_GB2312"/>
                <w:color w:val="auto"/>
                <w:sz w:val="24"/>
                <w:szCs w:val="24"/>
              </w:rPr>
            </w:pPr>
          </w:p>
          <w:p w14:paraId="428239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textAlignment w:val="auto"/>
              <w:rPr>
                <w:rFonts w:hint="eastAsia" w:ascii="仿宋_GB2312" w:hAnsi="仿宋_GB2312" w:eastAsia="仿宋_GB2312" w:cs="仿宋_GB2312"/>
                <w:color w:val="auto"/>
                <w:sz w:val="24"/>
                <w:szCs w:val="24"/>
              </w:rPr>
            </w:pPr>
          </w:p>
          <w:p w14:paraId="3CA604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textAlignment w:val="auto"/>
              <w:rPr>
                <w:rFonts w:hint="eastAsia" w:ascii="仿宋_GB2312" w:hAnsi="仿宋_GB2312" w:eastAsia="仿宋_GB2312" w:cs="仿宋_GB2312"/>
                <w:color w:val="auto"/>
                <w:sz w:val="24"/>
                <w:szCs w:val="24"/>
              </w:rPr>
            </w:pPr>
          </w:p>
          <w:p w14:paraId="2A8C17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textAlignment w:val="auto"/>
              <w:rPr>
                <w:rFonts w:hint="eastAsia" w:ascii="仿宋_GB2312" w:hAnsi="仿宋_GB2312" w:eastAsia="仿宋_GB2312" w:cs="仿宋_GB2312"/>
                <w:color w:val="auto"/>
                <w:sz w:val="24"/>
                <w:szCs w:val="24"/>
              </w:rPr>
            </w:pPr>
          </w:p>
          <w:p w14:paraId="57C2A2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textAlignment w:val="auto"/>
              <w:rPr>
                <w:rFonts w:hint="eastAsia" w:ascii="仿宋_GB2312" w:hAnsi="仿宋_GB2312" w:eastAsia="仿宋_GB2312" w:cs="仿宋_GB2312"/>
                <w:color w:val="auto"/>
                <w:sz w:val="24"/>
                <w:szCs w:val="24"/>
              </w:rPr>
            </w:pPr>
          </w:p>
          <w:p w14:paraId="51BDAB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textAlignment w:val="auto"/>
              <w:rPr>
                <w:rFonts w:hint="eastAsia" w:ascii="仿宋_GB2312" w:hAnsi="仿宋_GB2312" w:eastAsia="仿宋_GB2312" w:cs="仿宋_GB2312"/>
                <w:color w:val="auto"/>
                <w:sz w:val="24"/>
                <w:szCs w:val="24"/>
              </w:rPr>
            </w:pPr>
          </w:p>
          <w:p w14:paraId="21B0F1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textAlignment w:val="auto"/>
              <w:rPr>
                <w:rFonts w:hint="eastAsia" w:ascii="仿宋_GB2312" w:hAnsi="仿宋_GB2312" w:eastAsia="仿宋_GB2312" w:cs="仿宋_GB2312"/>
                <w:color w:val="auto"/>
                <w:sz w:val="24"/>
                <w:szCs w:val="24"/>
              </w:rPr>
            </w:pPr>
          </w:p>
          <w:p w14:paraId="7A6B95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textAlignment w:val="auto"/>
              <w:rPr>
                <w:rFonts w:hint="eastAsia" w:ascii="仿宋_GB2312" w:hAnsi="仿宋_GB2312" w:eastAsia="仿宋_GB2312" w:cs="仿宋_GB2312"/>
                <w:color w:val="auto"/>
                <w:sz w:val="24"/>
                <w:szCs w:val="24"/>
              </w:rPr>
            </w:pPr>
          </w:p>
          <w:p w14:paraId="6D013A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textAlignment w:val="auto"/>
              <w:rPr>
                <w:rFonts w:hint="eastAsia" w:ascii="仿宋_GB2312" w:hAnsi="仿宋_GB2312" w:eastAsia="仿宋_GB2312" w:cs="仿宋_GB2312"/>
                <w:color w:val="auto"/>
                <w:sz w:val="24"/>
                <w:szCs w:val="24"/>
              </w:rPr>
            </w:pPr>
          </w:p>
          <w:p w14:paraId="6B9B86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textAlignment w:val="auto"/>
              <w:rPr>
                <w:rFonts w:hint="eastAsia" w:ascii="仿宋_GB2312" w:hAnsi="仿宋_GB2312" w:eastAsia="仿宋_GB2312" w:cs="仿宋_GB2312"/>
                <w:color w:val="auto"/>
                <w:sz w:val="24"/>
                <w:szCs w:val="24"/>
              </w:rPr>
            </w:pPr>
          </w:p>
          <w:p w14:paraId="6A3B84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二、专业护理</w:t>
            </w:r>
          </w:p>
          <w:p w14:paraId="6A1CA2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textAlignment w:val="auto"/>
              <w:rPr>
                <w:rFonts w:hint="eastAsia" w:ascii="仿宋_GB2312" w:hAnsi="仿宋_GB2312" w:eastAsia="仿宋_GB2312" w:cs="仿宋_GB2312"/>
                <w:color w:val="auto"/>
                <w:sz w:val="24"/>
                <w:szCs w:val="24"/>
                <w:lang w:eastAsia="zh-CN"/>
              </w:rPr>
            </w:pPr>
          </w:p>
          <w:p w14:paraId="2D8305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textAlignment w:val="auto"/>
              <w:rPr>
                <w:rFonts w:hint="eastAsia" w:ascii="仿宋_GB2312" w:hAnsi="仿宋_GB2312" w:eastAsia="仿宋_GB2312" w:cs="仿宋_GB2312"/>
                <w:color w:val="auto"/>
                <w:sz w:val="24"/>
                <w:szCs w:val="24"/>
              </w:rPr>
            </w:pPr>
          </w:p>
        </w:tc>
        <w:tc>
          <w:tcPr>
            <w:tcW w:w="591"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04926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p>
          <w:p w14:paraId="76E5A4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p>
          <w:p w14:paraId="36ED5A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p>
          <w:p w14:paraId="4C4F60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p>
          <w:p w14:paraId="35791D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p>
          <w:p w14:paraId="18500E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p>
          <w:p w14:paraId="059236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p>
          <w:p w14:paraId="5EB766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p>
          <w:p w14:paraId="30F1B0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p>
          <w:p w14:paraId="6AB8A7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p>
          <w:p w14:paraId="3E1AF9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p>
          <w:p w14:paraId="6EFAB0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p>
          <w:p w14:paraId="11915C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非治疗性护理</w:t>
            </w:r>
          </w:p>
          <w:p w14:paraId="675A14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p>
          <w:p w14:paraId="69CF89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p>
          <w:p w14:paraId="1FCF1D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p>
          <w:p w14:paraId="28F1F5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p>
          <w:p w14:paraId="678C6A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p>
          <w:p w14:paraId="4D66A8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p>
          <w:p w14:paraId="498911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p>
          <w:p w14:paraId="6E8502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p>
          <w:p w14:paraId="0DE313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p>
          <w:p w14:paraId="71932D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p>
          <w:p w14:paraId="1BC152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p>
          <w:p w14:paraId="3D54C1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p>
          <w:p w14:paraId="2A4AF4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p>
          <w:p w14:paraId="09C84D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p>
          <w:p w14:paraId="6ED54F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p>
          <w:p w14:paraId="08EED9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非治疗性护理</w:t>
            </w:r>
          </w:p>
        </w:tc>
        <w:tc>
          <w:tcPr>
            <w:tcW w:w="869" w:type="pct"/>
            <w:tcBorders>
              <w:top w:val="nil"/>
              <w:left w:val="nil"/>
              <w:bottom w:val="single" w:color="auto" w:sz="4" w:space="0"/>
              <w:right w:val="single" w:color="auto" w:sz="4" w:space="0"/>
              <w:tl2br w:val="nil"/>
              <w:tr2bl w:val="nil"/>
            </w:tcBorders>
            <w:noWrap w:val="0"/>
            <w:vAlign w:val="center"/>
          </w:tcPr>
          <w:p w14:paraId="2DEF21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生命体征及血糖监测</w:t>
            </w:r>
          </w:p>
        </w:tc>
        <w:tc>
          <w:tcPr>
            <w:tcW w:w="1774" w:type="pct"/>
            <w:tcBorders>
              <w:top w:val="nil"/>
              <w:left w:val="nil"/>
              <w:bottom w:val="single" w:color="auto" w:sz="4" w:space="0"/>
              <w:right w:val="single" w:color="auto" w:sz="4" w:space="0"/>
              <w:tl2br w:val="nil"/>
              <w:tr2bl w:val="nil"/>
            </w:tcBorders>
            <w:noWrap w:val="0"/>
            <w:vAlign w:val="center"/>
          </w:tcPr>
          <w:p w14:paraId="20C35B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为护理对象进行体温、脉搏、呼吸、血压、血糖的监测，做好记录，监测指标异常及时上报并处理（血糖监测包含试纸及治疗性耗材）。</w:t>
            </w:r>
          </w:p>
        </w:tc>
        <w:tc>
          <w:tcPr>
            <w:tcW w:w="668" w:type="pct"/>
            <w:tcBorders>
              <w:top w:val="nil"/>
              <w:left w:val="nil"/>
              <w:bottom w:val="single" w:color="auto" w:sz="4" w:space="0"/>
              <w:right w:val="single" w:color="auto" w:sz="4" w:space="0"/>
              <w:tl2br w:val="nil"/>
              <w:tr2bl w:val="nil"/>
            </w:tcBorders>
            <w:noWrap w:val="0"/>
            <w:vAlign w:val="center"/>
          </w:tcPr>
          <w:p w14:paraId="15A075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20/次</w:t>
            </w:r>
          </w:p>
        </w:tc>
      </w:tr>
      <w:tr w14:paraId="5770F4A0">
        <w:tblPrEx>
          <w:tblCellMar>
            <w:top w:w="0" w:type="dxa"/>
            <w:left w:w="108" w:type="dxa"/>
            <w:bottom w:w="0" w:type="dxa"/>
            <w:right w:w="108" w:type="dxa"/>
          </w:tblCellMar>
        </w:tblPrEx>
        <w:trPr>
          <w:trHeight w:val="2000" w:hRule="atLeast"/>
          <w:jc w:val="center"/>
        </w:trPr>
        <w:tc>
          <w:tcPr>
            <w:tcW w:w="448" w:type="pct"/>
            <w:tcBorders>
              <w:top w:val="nil"/>
              <w:left w:val="single" w:color="auto" w:sz="4" w:space="0"/>
              <w:bottom w:val="single" w:color="auto" w:sz="4" w:space="0"/>
              <w:right w:val="single" w:color="auto" w:sz="4" w:space="0"/>
              <w:tl2br w:val="nil"/>
              <w:tr2bl w:val="nil"/>
            </w:tcBorders>
            <w:noWrap w:val="0"/>
            <w:vAlign w:val="center"/>
          </w:tcPr>
          <w:p w14:paraId="2D4B2A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20</w:t>
            </w:r>
          </w:p>
        </w:tc>
        <w:tc>
          <w:tcPr>
            <w:tcW w:w="64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AF828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仿宋_GB2312" w:hAnsi="仿宋_GB2312" w:eastAsia="仿宋_GB2312" w:cs="仿宋_GB2312"/>
                <w:color w:val="auto"/>
                <w:sz w:val="24"/>
                <w:szCs w:val="24"/>
              </w:rPr>
            </w:pPr>
          </w:p>
        </w:tc>
        <w:tc>
          <w:tcPr>
            <w:tcW w:w="59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F280E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jc w:val="center"/>
              <w:textAlignment w:val="auto"/>
              <w:rPr>
                <w:rFonts w:hint="eastAsia" w:ascii="仿宋_GB2312" w:hAnsi="仿宋_GB2312" w:eastAsia="仿宋_GB2312" w:cs="仿宋_GB2312"/>
                <w:color w:val="auto"/>
                <w:sz w:val="24"/>
                <w:szCs w:val="24"/>
              </w:rPr>
            </w:pPr>
          </w:p>
        </w:tc>
        <w:tc>
          <w:tcPr>
            <w:tcW w:w="869" w:type="pct"/>
            <w:tcBorders>
              <w:top w:val="nil"/>
              <w:left w:val="nil"/>
              <w:bottom w:val="single" w:color="auto" w:sz="4" w:space="0"/>
              <w:right w:val="single" w:color="auto" w:sz="4" w:space="0"/>
              <w:tl2br w:val="nil"/>
              <w:tr2bl w:val="nil"/>
            </w:tcBorders>
            <w:noWrap w:val="0"/>
            <w:vAlign w:val="center"/>
          </w:tcPr>
          <w:p w14:paraId="1B842F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特殊皮肤护理</w:t>
            </w:r>
          </w:p>
        </w:tc>
        <w:tc>
          <w:tcPr>
            <w:tcW w:w="1774" w:type="pct"/>
            <w:tcBorders>
              <w:top w:val="nil"/>
              <w:left w:val="nil"/>
              <w:bottom w:val="single" w:color="auto" w:sz="4" w:space="0"/>
              <w:right w:val="single" w:color="auto" w:sz="4" w:space="0"/>
              <w:tl2br w:val="nil"/>
              <w:tr2bl w:val="nil"/>
            </w:tcBorders>
            <w:noWrap w:val="0"/>
            <w:vAlign w:val="center"/>
          </w:tcPr>
          <w:p w14:paraId="0BE4E2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对护理对象水肿、瘙痒、失禁性皮炎等特殊皮肤问题进行护理及指导（不包括药物、敷贴等）。</w:t>
            </w:r>
          </w:p>
        </w:tc>
        <w:tc>
          <w:tcPr>
            <w:tcW w:w="668" w:type="pct"/>
            <w:tcBorders>
              <w:top w:val="nil"/>
              <w:left w:val="nil"/>
              <w:bottom w:val="single" w:color="auto" w:sz="4" w:space="0"/>
              <w:right w:val="single" w:color="auto" w:sz="4" w:space="0"/>
              <w:tl2br w:val="nil"/>
              <w:tr2bl w:val="nil"/>
            </w:tcBorders>
            <w:noWrap w:val="0"/>
            <w:vAlign w:val="center"/>
          </w:tcPr>
          <w:p w14:paraId="36B644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25/次</w:t>
            </w:r>
          </w:p>
        </w:tc>
      </w:tr>
      <w:tr w14:paraId="774008EA">
        <w:tblPrEx>
          <w:tblCellMar>
            <w:top w:w="0" w:type="dxa"/>
            <w:left w:w="108" w:type="dxa"/>
            <w:bottom w:w="0" w:type="dxa"/>
            <w:right w:w="108" w:type="dxa"/>
          </w:tblCellMar>
        </w:tblPrEx>
        <w:trPr>
          <w:trHeight w:val="3875" w:hRule="atLeast"/>
          <w:jc w:val="center"/>
        </w:trPr>
        <w:tc>
          <w:tcPr>
            <w:tcW w:w="448" w:type="pct"/>
            <w:tcBorders>
              <w:top w:val="nil"/>
              <w:left w:val="single" w:color="auto" w:sz="4" w:space="0"/>
              <w:bottom w:val="single" w:color="auto" w:sz="4" w:space="0"/>
              <w:right w:val="single" w:color="auto" w:sz="4" w:space="0"/>
              <w:tl2br w:val="nil"/>
              <w:tr2bl w:val="nil"/>
            </w:tcBorders>
            <w:noWrap w:val="0"/>
            <w:vAlign w:val="center"/>
          </w:tcPr>
          <w:p w14:paraId="79B063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21</w:t>
            </w:r>
          </w:p>
        </w:tc>
        <w:tc>
          <w:tcPr>
            <w:tcW w:w="64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4E004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仿宋_GB2312" w:hAnsi="仿宋_GB2312" w:eastAsia="仿宋_GB2312" w:cs="仿宋_GB2312"/>
                <w:color w:val="auto"/>
                <w:sz w:val="24"/>
                <w:szCs w:val="24"/>
              </w:rPr>
            </w:pPr>
          </w:p>
        </w:tc>
        <w:tc>
          <w:tcPr>
            <w:tcW w:w="59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BADFC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jc w:val="center"/>
              <w:textAlignment w:val="auto"/>
              <w:rPr>
                <w:rFonts w:hint="eastAsia" w:ascii="仿宋_GB2312" w:hAnsi="仿宋_GB2312" w:eastAsia="仿宋_GB2312" w:cs="仿宋_GB2312"/>
                <w:color w:val="auto"/>
                <w:sz w:val="24"/>
                <w:szCs w:val="24"/>
              </w:rPr>
            </w:pPr>
          </w:p>
        </w:tc>
        <w:tc>
          <w:tcPr>
            <w:tcW w:w="869" w:type="pct"/>
            <w:tcBorders>
              <w:top w:val="nil"/>
              <w:left w:val="nil"/>
              <w:bottom w:val="single" w:color="auto" w:sz="4" w:space="0"/>
              <w:right w:val="single" w:color="auto" w:sz="4" w:space="0"/>
              <w:tl2br w:val="nil"/>
              <w:tr2bl w:val="nil"/>
            </w:tcBorders>
            <w:noWrap w:val="0"/>
            <w:vAlign w:val="center"/>
          </w:tcPr>
          <w:p w14:paraId="08A333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留置鼻胃管/尿管护理</w:t>
            </w:r>
          </w:p>
        </w:tc>
        <w:tc>
          <w:tcPr>
            <w:tcW w:w="1774" w:type="pct"/>
            <w:tcBorders>
              <w:top w:val="nil"/>
              <w:left w:val="nil"/>
              <w:bottom w:val="single" w:color="auto" w:sz="4" w:space="0"/>
              <w:right w:val="single" w:color="auto" w:sz="4" w:space="0"/>
              <w:tl2br w:val="nil"/>
              <w:tr2bl w:val="nil"/>
            </w:tcBorders>
            <w:noWrap w:val="0"/>
            <w:vAlign w:val="center"/>
          </w:tcPr>
          <w:p w14:paraId="51F8BB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留置鼻胃管的护理对象：评估鼻胃管是否在胃内，管内有无堵塞、污染，做好固定与清洁；</w:t>
            </w:r>
          </w:p>
          <w:p w14:paraId="5DD8E5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留置尿管的护理对象：对护理对象做好会阴护理，妥善固定尿管及尿袋，保持尿道口清洁、消毒和尿管通畅。</w:t>
            </w:r>
          </w:p>
        </w:tc>
        <w:tc>
          <w:tcPr>
            <w:tcW w:w="668" w:type="pct"/>
            <w:tcBorders>
              <w:top w:val="nil"/>
              <w:left w:val="nil"/>
              <w:bottom w:val="single" w:color="auto" w:sz="4" w:space="0"/>
              <w:right w:val="single" w:color="auto" w:sz="4" w:space="0"/>
              <w:tl2br w:val="nil"/>
              <w:tr2bl w:val="nil"/>
            </w:tcBorders>
            <w:noWrap w:val="0"/>
            <w:vAlign w:val="center"/>
          </w:tcPr>
          <w:p w14:paraId="6E90F6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25/次</w:t>
            </w:r>
          </w:p>
        </w:tc>
      </w:tr>
      <w:tr w14:paraId="79A0E2CC">
        <w:tblPrEx>
          <w:tblCellMar>
            <w:top w:w="0" w:type="dxa"/>
            <w:left w:w="108" w:type="dxa"/>
            <w:bottom w:w="0" w:type="dxa"/>
            <w:right w:w="108" w:type="dxa"/>
          </w:tblCellMar>
        </w:tblPrEx>
        <w:trPr>
          <w:trHeight w:val="1931" w:hRule="atLeast"/>
          <w:jc w:val="center"/>
        </w:trPr>
        <w:tc>
          <w:tcPr>
            <w:tcW w:w="448" w:type="pct"/>
            <w:tcBorders>
              <w:top w:val="nil"/>
              <w:left w:val="single" w:color="auto" w:sz="4" w:space="0"/>
              <w:bottom w:val="single" w:color="auto" w:sz="4" w:space="0"/>
              <w:right w:val="single" w:color="auto" w:sz="4" w:space="0"/>
              <w:tl2br w:val="nil"/>
              <w:tr2bl w:val="nil"/>
            </w:tcBorders>
            <w:noWrap w:val="0"/>
            <w:vAlign w:val="center"/>
          </w:tcPr>
          <w:p w14:paraId="38F3FA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22</w:t>
            </w:r>
          </w:p>
        </w:tc>
        <w:tc>
          <w:tcPr>
            <w:tcW w:w="64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375F3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仿宋_GB2312" w:hAnsi="仿宋_GB2312" w:eastAsia="仿宋_GB2312" w:cs="仿宋_GB2312"/>
                <w:color w:val="auto"/>
                <w:sz w:val="24"/>
                <w:szCs w:val="24"/>
              </w:rPr>
            </w:pPr>
          </w:p>
        </w:tc>
        <w:tc>
          <w:tcPr>
            <w:tcW w:w="59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98F76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jc w:val="center"/>
              <w:textAlignment w:val="auto"/>
              <w:rPr>
                <w:rFonts w:hint="eastAsia" w:ascii="仿宋_GB2312" w:hAnsi="仿宋_GB2312" w:eastAsia="仿宋_GB2312" w:cs="仿宋_GB2312"/>
                <w:color w:val="auto"/>
                <w:sz w:val="24"/>
                <w:szCs w:val="24"/>
              </w:rPr>
            </w:pPr>
          </w:p>
        </w:tc>
        <w:tc>
          <w:tcPr>
            <w:tcW w:w="869" w:type="pct"/>
            <w:tcBorders>
              <w:top w:val="nil"/>
              <w:left w:val="nil"/>
              <w:bottom w:val="single" w:color="auto" w:sz="4" w:space="0"/>
              <w:right w:val="single" w:color="auto" w:sz="4" w:space="0"/>
              <w:tl2br w:val="nil"/>
              <w:tr2bl w:val="nil"/>
            </w:tcBorders>
            <w:noWrap w:val="0"/>
            <w:vAlign w:val="center"/>
          </w:tcPr>
          <w:p w14:paraId="7125D8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鼻胃管/尿管更换</w:t>
            </w:r>
          </w:p>
        </w:tc>
        <w:tc>
          <w:tcPr>
            <w:tcW w:w="1774" w:type="pct"/>
            <w:tcBorders>
              <w:top w:val="nil"/>
              <w:left w:val="nil"/>
              <w:bottom w:val="single" w:color="auto" w:sz="4" w:space="0"/>
              <w:right w:val="single" w:color="auto" w:sz="4" w:space="0"/>
              <w:tl2br w:val="nil"/>
              <w:tr2bl w:val="nil"/>
            </w:tcBorders>
            <w:noWrap w:val="0"/>
            <w:vAlign w:val="center"/>
          </w:tcPr>
          <w:p w14:paraId="5D54D9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遵医嘱对护理对象鼻胃管/尿管留置或更换，并维持固定与清洁（不包括耗材）。</w:t>
            </w:r>
          </w:p>
        </w:tc>
        <w:tc>
          <w:tcPr>
            <w:tcW w:w="668" w:type="pct"/>
            <w:tcBorders>
              <w:top w:val="nil"/>
              <w:left w:val="nil"/>
              <w:bottom w:val="single" w:color="auto" w:sz="4" w:space="0"/>
              <w:right w:val="single" w:color="auto" w:sz="4" w:space="0"/>
              <w:tl2br w:val="nil"/>
              <w:tr2bl w:val="nil"/>
            </w:tcBorders>
            <w:noWrap w:val="0"/>
            <w:vAlign w:val="center"/>
          </w:tcPr>
          <w:p w14:paraId="6CB152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25/次</w:t>
            </w:r>
          </w:p>
        </w:tc>
      </w:tr>
      <w:tr w14:paraId="2E6ED19C">
        <w:tblPrEx>
          <w:tblCellMar>
            <w:top w:w="0" w:type="dxa"/>
            <w:left w:w="108" w:type="dxa"/>
            <w:bottom w:w="0" w:type="dxa"/>
            <w:right w:w="108" w:type="dxa"/>
          </w:tblCellMar>
        </w:tblPrEx>
        <w:trPr>
          <w:trHeight w:val="500" w:hRule="atLeast"/>
          <w:jc w:val="center"/>
        </w:trPr>
        <w:tc>
          <w:tcPr>
            <w:tcW w:w="448" w:type="pct"/>
            <w:tcBorders>
              <w:top w:val="nil"/>
              <w:left w:val="single" w:color="auto" w:sz="4" w:space="0"/>
              <w:bottom w:val="single" w:color="auto" w:sz="4" w:space="0"/>
              <w:right w:val="single" w:color="auto" w:sz="4" w:space="0"/>
              <w:tl2br w:val="nil"/>
              <w:tr2bl w:val="nil"/>
            </w:tcBorders>
            <w:noWrap w:val="0"/>
            <w:vAlign w:val="center"/>
          </w:tcPr>
          <w:p w14:paraId="5E8441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23</w:t>
            </w:r>
          </w:p>
        </w:tc>
        <w:tc>
          <w:tcPr>
            <w:tcW w:w="64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88652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仿宋_GB2312" w:hAnsi="仿宋_GB2312" w:eastAsia="仿宋_GB2312" w:cs="仿宋_GB2312"/>
                <w:color w:val="auto"/>
                <w:sz w:val="24"/>
                <w:szCs w:val="24"/>
              </w:rPr>
            </w:pPr>
          </w:p>
        </w:tc>
        <w:tc>
          <w:tcPr>
            <w:tcW w:w="59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58D1F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jc w:val="center"/>
              <w:textAlignment w:val="auto"/>
              <w:rPr>
                <w:rFonts w:hint="eastAsia" w:ascii="仿宋_GB2312" w:hAnsi="仿宋_GB2312" w:eastAsia="仿宋_GB2312" w:cs="仿宋_GB2312"/>
                <w:color w:val="auto"/>
                <w:sz w:val="24"/>
                <w:szCs w:val="24"/>
              </w:rPr>
            </w:pPr>
          </w:p>
        </w:tc>
        <w:tc>
          <w:tcPr>
            <w:tcW w:w="869" w:type="pct"/>
            <w:tcBorders>
              <w:top w:val="nil"/>
              <w:left w:val="nil"/>
              <w:bottom w:val="single" w:color="auto" w:sz="4" w:space="0"/>
              <w:right w:val="single" w:color="auto" w:sz="4" w:space="0"/>
              <w:tl2br w:val="nil"/>
              <w:tr2bl w:val="nil"/>
            </w:tcBorders>
            <w:noWrap w:val="0"/>
            <w:vAlign w:val="center"/>
          </w:tcPr>
          <w:p w14:paraId="253363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压疮护理</w:t>
            </w:r>
            <w:r>
              <w:rPr>
                <w:rFonts w:hint="eastAsia" w:ascii="仿宋_GB2312" w:hAnsi="仿宋_GB2312" w:eastAsia="仿宋_GB2312" w:cs="仿宋_GB2312"/>
                <w:color w:val="auto"/>
                <w:sz w:val="24"/>
                <w:szCs w:val="24"/>
                <w:lang w:val="en-US" w:eastAsia="zh-CN"/>
              </w:rPr>
              <w:t>及预防指导</w:t>
            </w:r>
          </w:p>
        </w:tc>
        <w:tc>
          <w:tcPr>
            <w:tcW w:w="1774" w:type="pct"/>
            <w:tcBorders>
              <w:top w:val="nil"/>
              <w:left w:val="nil"/>
              <w:bottom w:val="single" w:color="auto" w:sz="4" w:space="0"/>
              <w:right w:val="single" w:color="auto" w:sz="4" w:space="0"/>
              <w:tl2br w:val="nil"/>
              <w:tr2bl w:val="nil"/>
            </w:tcBorders>
            <w:noWrap w:val="0"/>
            <w:vAlign w:val="center"/>
          </w:tcPr>
          <w:p w14:paraId="3B118D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对护理对象选择适宜的药物和合适的敷料，对压疮伤口进行妥善处理，必要时转介专业机构处理。对易发生压疮的护理对象采取体位变换、气垫减压等方法预防压疮的发生，并提供预防压疮护理的健康指导。</w:t>
            </w:r>
          </w:p>
        </w:tc>
        <w:tc>
          <w:tcPr>
            <w:tcW w:w="668" w:type="pct"/>
            <w:tcBorders>
              <w:top w:val="nil"/>
              <w:left w:val="nil"/>
              <w:bottom w:val="single" w:color="auto" w:sz="4" w:space="0"/>
              <w:right w:val="single" w:color="auto" w:sz="4" w:space="0"/>
              <w:tl2br w:val="nil"/>
              <w:tr2bl w:val="nil"/>
            </w:tcBorders>
            <w:noWrap w:val="0"/>
            <w:vAlign w:val="center"/>
          </w:tcPr>
          <w:p w14:paraId="5AE568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50/次</w:t>
            </w:r>
          </w:p>
        </w:tc>
      </w:tr>
      <w:tr w14:paraId="683B8C26">
        <w:tblPrEx>
          <w:tblCellMar>
            <w:top w:w="0" w:type="dxa"/>
            <w:left w:w="108" w:type="dxa"/>
            <w:bottom w:w="0" w:type="dxa"/>
            <w:right w:w="108" w:type="dxa"/>
          </w:tblCellMar>
        </w:tblPrEx>
        <w:trPr>
          <w:trHeight w:val="1140" w:hRule="atLeast"/>
          <w:jc w:val="center"/>
        </w:trPr>
        <w:tc>
          <w:tcPr>
            <w:tcW w:w="448" w:type="pct"/>
            <w:tcBorders>
              <w:top w:val="nil"/>
              <w:left w:val="single" w:color="auto" w:sz="4" w:space="0"/>
              <w:bottom w:val="single" w:color="auto" w:sz="4" w:space="0"/>
              <w:right w:val="single" w:color="auto" w:sz="4" w:space="0"/>
              <w:tl2br w:val="nil"/>
              <w:tr2bl w:val="nil"/>
            </w:tcBorders>
            <w:noWrap w:val="0"/>
            <w:vAlign w:val="center"/>
          </w:tcPr>
          <w:p w14:paraId="17F852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24</w:t>
            </w:r>
          </w:p>
        </w:tc>
        <w:tc>
          <w:tcPr>
            <w:tcW w:w="64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CFE5E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仿宋_GB2312" w:hAnsi="仿宋_GB2312" w:eastAsia="仿宋_GB2312" w:cs="仿宋_GB2312"/>
                <w:color w:val="auto"/>
                <w:sz w:val="24"/>
                <w:szCs w:val="24"/>
              </w:rPr>
            </w:pPr>
          </w:p>
        </w:tc>
        <w:tc>
          <w:tcPr>
            <w:tcW w:w="591"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ACFC1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功能维护</w:t>
            </w:r>
          </w:p>
        </w:tc>
        <w:tc>
          <w:tcPr>
            <w:tcW w:w="869" w:type="pct"/>
            <w:tcBorders>
              <w:top w:val="nil"/>
              <w:left w:val="nil"/>
              <w:bottom w:val="single" w:color="auto" w:sz="4" w:space="0"/>
              <w:right w:val="single" w:color="auto" w:sz="4" w:space="0"/>
              <w:tl2br w:val="nil"/>
              <w:tr2bl w:val="nil"/>
            </w:tcBorders>
            <w:noWrap w:val="0"/>
            <w:vAlign w:val="center"/>
          </w:tcPr>
          <w:p w14:paraId="3B4337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生活自理能力训练指导</w:t>
            </w:r>
          </w:p>
        </w:tc>
        <w:tc>
          <w:tcPr>
            <w:tcW w:w="1774" w:type="pct"/>
            <w:tcBorders>
              <w:top w:val="nil"/>
              <w:left w:val="nil"/>
              <w:bottom w:val="single" w:color="auto" w:sz="4" w:space="0"/>
              <w:right w:val="single" w:color="auto" w:sz="4" w:space="0"/>
              <w:tl2br w:val="nil"/>
              <w:tr2bl w:val="nil"/>
            </w:tcBorders>
            <w:noWrap w:val="0"/>
            <w:vAlign w:val="center"/>
          </w:tcPr>
          <w:p w14:paraId="3D98A2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对进食方法、个人卫生、床椅转移等日常生活自理能力等方面进行训练示范及指导。</w:t>
            </w:r>
          </w:p>
        </w:tc>
        <w:tc>
          <w:tcPr>
            <w:tcW w:w="668" w:type="pct"/>
            <w:tcBorders>
              <w:top w:val="nil"/>
              <w:left w:val="nil"/>
              <w:bottom w:val="single" w:color="auto" w:sz="4" w:space="0"/>
              <w:right w:val="single" w:color="auto" w:sz="4" w:space="0"/>
              <w:tl2br w:val="nil"/>
              <w:tr2bl w:val="nil"/>
            </w:tcBorders>
            <w:noWrap w:val="0"/>
            <w:vAlign w:val="center"/>
          </w:tcPr>
          <w:p w14:paraId="122448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50/次</w:t>
            </w:r>
          </w:p>
        </w:tc>
      </w:tr>
      <w:tr w14:paraId="22FB7325">
        <w:tblPrEx>
          <w:tblCellMar>
            <w:top w:w="0" w:type="dxa"/>
            <w:left w:w="108" w:type="dxa"/>
            <w:bottom w:w="0" w:type="dxa"/>
            <w:right w:w="108" w:type="dxa"/>
          </w:tblCellMar>
        </w:tblPrEx>
        <w:trPr>
          <w:trHeight w:val="855" w:hRule="atLeast"/>
          <w:jc w:val="center"/>
        </w:trPr>
        <w:tc>
          <w:tcPr>
            <w:tcW w:w="448" w:type="pct"/>
            <w:tcBorders>
              <w:top w:val="nil"/>
              <w:left w:val="single" w:color="auto" w:sz="4" w:space="0"/>
              <w:bottom w:val="single" w:color="auto" w:sz="4" w:space="0"/>
              <w:right w:val="single" w:color="auto" w:sz="4" w:space="0"/>
              <w:tl2br w:val="nil"/>
              <w:tr2bl w:val="nil"/>
            </w:tcBorders>
            <w:noWrap w:val="0"/>
            <w:vAlign w:val="center"/>
          </w:tcPr>
          <w:p w14:paraId="52343E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25</w:t>
            </w:r>
          </w:p>
        </w:tc>
        <w:tc>
          <w:tcPr>
            <w:tcW w:w="64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F232E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仿宋_GB2312" w:hAnsi="仿宋_GB2312" w:eastAsia="仿宋_GB2312" w:cs="仿宋_GB2312"/>
                <w:color w:val="auto"/>
                <w:sz w:val="24"/>
                <w:szCs w:val="24"/>
              </w:rPr>
            </w:pPr>
          </w:p>
        </w:tc>
        <w:tc>
          <w:tcPr>
            <w:tcW w:w="59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545FF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jc w:val="center"/>
              <w:textAlignment w:val="auto"/>
              <w:rPr>
                <w:rFonts w:hint="eastAsia" w:ascii="仿宋_GB2312" w:hAnsi="仿宋_GB2312" w:eastAsia="仿宋_GB2312" w:cs="仿宋_GB2312"/>
                <w:color w:val="auto"/>
                <w:sz w:val="24"/>
                <w:szCs w:val="24"/>
              </w:rPr>
            </w:pPr>
          </w:p>
        </w:tc>
        <w:tc>
          <w:tcPr>
            <w:tcW w:w="869" w:type="pct"/>
            <w:tcBorders>
              <w:top w:val="nil"/>
              <w:left w:val="nil"/>
              <w:bottom w:val="single" w:color="auto" w:sz="4" w:space="0"/>
              <w:right w:val="single" w:color="auto" w:sz="4" w:space="0"/>
              <w:tl2br w:val="nil"/>
              <w:tr2bl w:val="nil"/>
            </w:tcBorders>
            <w:noWrap w:val="0"/>
            <w:vAlign w:val="center"/>
          </w:tcPr>
          <w:p w14:paraId="61984F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肢体功能训练指导</w:t>
            </w:r>
          </w:p>
        </w:tc>
        <w:tc>
          <w:tcPr>
            <w:tcW w:w="1774" w:type="pct"/>
            <w:tcBorders>
              <w:top w:val="nil"/>
              <w:left w:val="nil"/>
              <w:bottom w:val="single" w:color="auto" w:sz="4" w:space="0"/>
              <w:right w:val="single" w:color="auto" w:sz="4" w:space="0"/>
              <w:tl2br w:val="nil"/>
              <w:tr2bl w:val="nil"/>
            </w:tcBorders>
            <w:noWrap w:val="0"/>
            <w:vAlign w:val="center"/>
          </w:tcPr>
          <w:p w14:paraId="714E6C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选择适宜的方式指导和协助护理对象进行肢体功能训练指导。</w:t>
            </w:r>
          </w:p>
        </w:tc>
        <w:tc>
          <w:tcPr>
            <w:tcW w:w="668" w:type="pct"/>
            <w:tcBorders>
              <w:top w:val="nil"/>
              <w:left w:val="nil"/>
              <w:bottom w:val="single" w:color="auto" w:sz="4" w:space="0"/>
              <w:right w:val="single" w:color="auto" w:sz="4" w:space="0"/>
              <w:tl2br w:val="nil"/>
              <w:tr2bl w:val="nil"/>
            </w:tcBorders>
            <w:noWrap w:val="0"/>
            <w:vAlign w:val="center"/>
          </w:tcPr>
          <w:p w14:paraId="1EBBF9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50/次</w:t>
            </w:r>
          </w:p>
        </w:tc>
      </w:tr>
      <w:tr w14:paraId="4BDF816A">
        <w:tblPrEx>
          <w:tblCellMar>
            <w:top w:w="0" w:type="dxa"/>
            <w:left w:w="108" w:type="dxa"/>
            <w:bottom w:w="0" w:type="dxa"/>
            <w:right w:w="108" w:type="dxa"/>
          </w:tblCellMar>
        </w:tblPrEx>
        <w:trPr>
          <w:trHeight w:val="1140" w:hRule="atLeast"/>
          <w:jc w:val="center"/>
        </w:trPr>
        <w:tc>
          <w:tcPr>
            <w:tcW w:w="448" w:type="pct"/>
            <w:tcBorders>
              <w:top w:val="nil"/>
              <w:left w:val="single" w:color="auto" w:sz="4" w:space="0"/>
              <w:bottom w:val="single" w:color="auto" w:sz="4" w:space="0"/>
              <w:right w:val="single" w:color="auto" w:sz="4" w:space="0"/>
              <w:tl2br w:val="nil"/>
              <w:tr2bl w:val="nil"/>
            </w:tcBorders>
            <w:noWrap w:val="0"/>
            <w:vAlign w:val="center"/>
          </w:tcPr>
          <w:p w14:paraId="38236D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26</w:t>
            </w:r>
          </w:p>
        </w:tc>
        <w:tc>
          <w:tcPr>
            <w:tcW w:w="64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73202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仿宋_GB2312" w:hAnsi="仿宋_GB2312" w:eastAsia="仿宋_GB2312" w:cs="仿宋_GB2312"/>
                <w:color w:val="auto"/>
                <w:sz w:val="24"/>
                <w:szCs w:val="24"/>
              </w:rPr>
            </w:pPr>
          </w:p>
        </w:tc>
        <w:tc>
          <w:tcPr>
            <w:tcW w:w="59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B2F4D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jc w:val="center"/>
              <w:textAlignment w:val="auto"/>
              <w:rPr>
                <w:rFonts w:hint="eastAsia" w:ascii="仿宋_GB2312" w:hAnsi="仿宋_GB2312" w:eastAsia="仿宋_GB2312" w:cs="仿宋_GB2312"/>
                <w:color w:val="auto"/>
                <w:sz w:val="24"/>
                <w:szCs w:val="24"/>
              </w:rPr>
            </w:pPr>
          </w:p>
        </w:tc>
        <w:tc>
          <w:tcPr>
            <w:tcW w:w="869" w:type="pct"/>
            <w:tcBorders>
              <w:top w:val="nil"/>
              <w:left w:val="nil"/>
              <w:bottom w:val="single" w:color="auto" w:sz="4" w:space="0"/>
              <w:right w:val="single" w:color="auto" w:sz="4" w:space="0"/>
              <w:tl2br w:val="nil"/>
              <w:tr2bl w:val="nil"/>
            </w:tcBorders>
            <w:noWrap w:val="0"/>
            <w:vAlign w:val="center"/>
          </w:tcPr>
          <w:p w14:paraId="0C9A33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认知能力训练指导</w:t>
            </w:r>
          </w:p>
        </w:tc>
        <w:tc>
          <w:tcPr>
            <w:tcW w:w="1774" w:type="pct"/>
            <w:tcBorders>
              <w:top w:val="nil"/>
              <w:left w:val="nil"/>
              <w:bottom w:val="single" w:color="auto" w:sz="4" w:space="0"/>
              <w:right w:val="single" w:color="auto" w:sz="4" w:space="0"/>
              <w:tl2br w:val="nil"/>
              <w:tr2bl w:val="nil"/>
            </w:tcBorders>
            <w:noWrap w:val="0"/>
            <w:vAlign w:val="center"/>
          </w:tcPr>
          <w:p w14:paraId="36FDE8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使用专业的训练辅具及方法，对护理对象的认知能力进行训练示范及指导。</w:t>
            </w:r>
          </w:p>
        </w:tc>
        <w:tc>
          <w:tcPr>
            <w:tcW w:w="668" w:type="pct"/>
            <w:tcBorders>
              <w:top w:val="nil"/>
              <w:left w:val="nil"/>
              <w:bottom w:val="single" w:color="auto" w:sz="4" w:space="0"/>
              <w:right w:val="single" w:color="auto" w:sz="4" w:space="0"/>
              <w:tl2br w:val="nil"/>
              <w:tr2bl w:val="nil"/>
            </w:tcBorders>
            <w:noWrap w:val="0"/>
            <w:vAlign w:val="center"/>
          </w:tcPr>
          <w:p w14:paraId="68EBE7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25/次</w:t>
            </w:r>
          </w:p>
        </w:tc>
      </w:tr>
      <w:tr w14:paraId="2CA09070">
        <w:tblPrEx>
          <w:tblCellMar>
            <w:top w:w="0" w:type="dxa"/>
            <w:left w:w="108" w:type="dxa"/>
            <w:bottom w:w="0" w:type="dxa"/>
            <w:right w:w="108" w:type="dxa"/>
          </w:tblCellMar>
        </w:tblPrEx>
        <w:trPr>
          <w:trHeight w:val="1140" w:hRule="atLeast"/>
          <w:jc w:val="center"/>
        </w:trPr>
        <w:tc>
          <w:tcPr>
            <w:tcW w:w="448" w:type="pct"/>
            <w:tcBorders>
              <w:top w:val="nil"/>
              <w:left w:val="single" w:color="auto" w:sz="4" w:space="0"/>
              <w:bottom w:val="single" w:color="auto" w:sz="4" w:space="0"/>
              <w:right w:val="single" w:color="auto" w:sz="4" w:space="0"/>
              <w:tl2br w:val="nil"/>
              <w:tr2bl w:val="nil"/>
            </w:tcBorders>
            <w:noWrap w:val="0"/>
            <w:vAlign w:val="center"/>
          </w:tcPr>
          <w:p w14:paraId="4B1900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27</w:t>
            </w:r>
          </w:p>
        </w:tc>
        <w:tc>
          <w:tcPr>
            <w:tcW w:w="64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7E966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仿宋_GB2312" w:hAnsi="仿宋_GB2312" w:eastAsia="仿宋_GB2312" w:cs="仿宋_GB2312"/>
                <w:color w:val="auto"/>
                <w:sz w:val="24"/>
                <w:szCs w:val="24"/>
              </w:rPr>
            </w:pPr>
          </w:p>
        </w:tc>
        <w:tc>
          <w:tcPr>
            <w:tcW w:w="59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3A965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jc w:val="center"/>
              <w:textAlignment w:val="auto"/>
              <w:rPr>
                <w:rFonts w:hint="eastAsia" w:ascii="仿宋_GB2312" w:hAnsi="仿宋_GB2312" w:eastAsia="仿宋_GB2312" w:cs="仿宋_GB2312"/>
                <w:color w:val="auto"/>
                <w:sz w:val="24"/>
                <w:szCs w:val="24"/>
              </w:rPr>
            </w:pPr>
          </w:p>
        </w:tc>
        <w:tc>
          <w:tcPr>
            <w:tcW w:w="869" w:type="pct"/>
            <w:tcBorders>
              <w:top w:val="nil"/>
              <w:left w:val="nil"/>
              <w:bottom w:val="single" w:color="auto" w:sz="4" w:space="0"/>
              <w:right w:val="single" w:color="auto" w:sz="4" w:space="0"/>
              <w:tl2br w:val="nil"/>
              <w:tr2bl w:val="nil"/>
            </w:tcBorders>
            <w:noWrap w:val="0"/>
            <w:vAlign w:val="center"/>
          </w:tcPr>
          <w:p w14:paraId="61C5E2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理疗</w:t>
            </w:r>
          </w:p>
        </w:tc>
        <w:tc>
          <w:tcPr>
            <w:tcW w:w="1774" w:type="pct"/>
            <w:tcBorders>
              <w:top w:val="nil"/>
              <w:left w:val="nil"/>
              <w:bottom w:val="single" w:color="auto" w:sz="4" w:space="0"/>
              <w:right w:val="single" w:color="auto" w:sz="4" w:space="0"/>
              <w:tl2br w:val="nil"/>
              <w:tr2bl w:val="nil"/>
            </w:tcBorders>
            <w:noWrap w:val="0"/>
            <w:vAlign w:val="center"/>
          </w:tcPr>
          <w:p w14:paraId="2DE6B0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利用物理疗法为护理对象进行保健康复，如拔罐、按摩、针灸、电疗、艾灸等。</w:t>
            </w:r>
          </w:p>
        </w:tc>
        <w:tc>
          <w:tcPr>
            <w:tcW w:w="668" w:type="pct"/>
            <w:tcBorders>
              <w:top w:val="nil"/>
              <w:left w:val="nil"/>
              <w:bottom w:val="single" w:color="auto" w:sz="4" w:space="0"/>
              <w:right w:val="single" w:color="auto" w:sz="4" w:space="0"/>
              <w:tl2br w:val="nil"/>
              <w:tr2bl w:val="nil"/>
            </w:tcBorders>
            <w:noWrap w:val="0"/>
            <w:vAlign w:val="center"/>
          </w:tcPr>
          <w:p w14:paraId="7A8EB5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50/次</w:t>
            </w:r>
          </w:p>
        </w:tc>
      </w:tr>
      <w:tr w14:paraId="20001D11">
        <w:tblPrEx>
          <w:tblCellMar>
            <w:top w:w="0" w:type="dxa"/>
            <w:left w:w="108" w:type="dxa"/>
            <w:bottom w:w="0" w:type="dxa"/>
            <w:right w:w="108" w:type="dxa"/>
          </w:tblCellMar>
        </w:tblPrEx>
        <w:trPr>
          <w:trHeight w:val="557" w:hRule="atLeast"/>
          <w:jc w:val="center"/>
        </w:trPr>
        <w:tc>
          <w:tcPr>
            <w:tcW w:w="448" w:type="pct"/>
            <w:tcBorders>
              <w:top w:val="nil"/>
              <w:left w:val="single" w:color="auto" w:sz="4" w:space="0"/>
              <w:bottom w:val="single" w:color="auto" w:sz="4" w:space="0"/>
              <w:right w:val="single" w:color="auto" w:sz="4" w:space="0"/>
              <w:tl2br w:val="nil"/>
              <w:tr2bl w:val="nil"/>
            </w:tcBorders>
            <w:noWrap w:val="0"/>
            <w:vAlign w:val="center"/>
          </w:tcPr>
          <w:p w14:paraId="532FB8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28</w:t>
            </w:r>
          </w:p>
        </w:tc>
        <w:tc>
          <w:tcPr>
            <w:tcW w:w="64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D4EF2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仿宋_GB2312" w:hAnsi="仿宋_GB2312" w:eastAsia="仿宋_GB2312" w:cs="仿宋_GB2312"/>
                <w:color w:val="auto"/>
                <w:sz w:val="24"/>
                <w:szCs w:val="24"/>
              </w:rPr>
            </w:pPr>
          </w:p>
        </w:tc>
        <w:tc>
          <w:tcPr>
            <w:tcW w:w="591"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5537A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其他服务</w:t>
            </w:r>
          </w:p>
        </w:tc>
        <w:tc>
          <w:tcPr>
            <w:tcW w:w="869" w:type="pct"/>
            <w:tcBorders>
              <w:top w:val="nil"/>
              <w:left w:val="nil"/>
              <w:bottom w:val="single" w:color="auto" w:sz="4" w:space="0"/>
              <w:right w:val="single" w:color="auto" w:sz="4" w:space="0"/>
              <w:tl2br w:val="nil"/>
              <w:tr2bl w:val="nil"/>
            </w:tcBorders>
            <w:noWrap w:val="0"/>
            <w:vAlign w:val="center"/>
          </w:tcPr>
          <w:p w14:paraId="4ADE7D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精神慰藉</w:t>
            </w:r>
          </w:p>
        </w:tc>
        <w:tc>
          <w:tcPr>
            <w:tcW w:w="1774" w:type="pct"/>
            <w:tcBorders>
              <w:top w:val="nil"/>
              <w:left w:val="nil"/>
              <w:bottom w:val="single" w:color="auto" w:sz="4" w:space="0"/>
              <w:right w:val="single" w:color="auto" w:sz="4" w:space="0"/>
              <w:tl2br w:val="nil"/>
              <w:tr2bl w:val="nil"/>
            </w:tcBorders>
            <w:noWrap w:val="0"/>
            <w:vAlign w:val="center"/>
          </w:tcPr>
          <w:p w14:paraId="12EBD8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对护理对象进行亲情抚慰和心理疏导，引导其保持积极向上的生活状态和愉悦的心情。</w:t>
            </w:r>
          </w:p>
        </w:tc>
        <w:tc>
          <w:tcPr>
            <w:tcW w:w="668" w:type="pct"/>
            <w:tcBorders>
              <w:top w:val="nil"/>
              <w:left w:val="nil"/>
              <w:bottom w:val="single" w:color="auto" w:sz="4" w:space="0"/>
              <w:right w:val="single" w:color="auto" w:sz="4" w:space="0"/>
              <w:tl2br w:val="nil"/>
              <w:tr2bl w:val="nil"/>
            </w:tcBorders>
            <w:noWrap w:val="0"/>
            <w:vAlign w:val="center"/>
          </w:tcPr>
          <w:p w14:paraId="7BE894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免费</w:t>
            </w:r>
          </w:p>
        </w:tc>
      </w:tr>
      <w:tr w14:paraId="75C0D019">
        <w:tblPrEx>
          <w:tblCellMar>
            <w:top w:w="0" w:type="dxa"/>
            <w:left w:w="108" w:type="dxa"/>
            <w:bottom w:w="0" w:type="dxa"/>
            <w:right w:w="108" w:type="dxa"/>
          </w:tblCellMar>
        </w:tblPrEx>
        <w:trPr>
          <w:trHeight w:val="1140" w:hRule="atLeast"/>
          <w:jc w:val="center"/>
        </w:trPr>
        <w:tc>
          <w:tcPr>
            <w:tcW w:w="448" w:type="pct"/>
            <w:tcBorders>
              <w:top w:val="nil"/>
              <w:left w:val="single" w:color="auto" w:sz="4" w:space="0"/>
              <w:bottom w:val="single" w:color="auto" w:sz="4" w:space="0"/>
              <w:right w:val="single" w:color="auto" w:sz="4" w:space="0"/>
              <w:tl2br w:val="nil"/>
              <w:tr2bl w:val="nil"/>
            </w:tcBorders>
            <w:noWrap w:val="0"/>
            <w:vAlign w:val="center"/>
          </w:tcPr>
          <w:p w14:paraId="63B6C0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rPr>
              <w:t>2</w:t>
            </w:r>
            <w:r>
              <w:rPr>
                <w:rFonts w:hint="eastAsia" w:ascii="仿宋_GB2312" w:hAnsi="仿宋_GB2312" w:eastAsia="仿宋_GB2312" w:cs="仿宋_GB2312"/>
                <w:color w:val="auto"/>
                <w:sz w:val="24"/>
                <w:szCs w:val="24"/>
                <w:lang w:val="en-US" w:eastAsia="zh-CN"/>
              </w:rPr>
              <w:t>9</w:t>
            </w:r>
          </w:p>
        </w:tc>
        <w:tc>
          <w:tcPr>
            <w:tcW w:w="64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C75AC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仿宋_GB2312" w:hAnsi="仿宋_GB2312" w:eastAsia="仿宋_GB2312" w:cs="仿宋_GB2312"/>
                <w:color w:val="auto"/>
                <w:sz w:val="24"/>
                <w:szCs w:val="24"/>
              </w:rPr>
            </w:pPr>
          </w:p>
        </w:tc>
        <w:tc>
          <w:tcPr>
            <w:tcW w:w="59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18F53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仿宋_GB2312" w:hAnsi="仿宋_GB2312" w:eastAsia="仿宋_GB2312" w:cs="仿宋_GB2312"/>
                <w:color w:val="auto"/>
                <w:sz w:val="24"/>
                <w:szCs w:val="24"/>
              </w:rPr>
            </w:pPr>
          </w:p>
        </w:tc>
        <w:tc>
          <w:tcPr>
            <w:tcW w:w="869" w:type="pct"/>
            <w:tcBorders>
              <w:top w:val="nil"/>
              <w:left w:val="nil"/>
              <w:bottom w:val="single" w:color="auto" w:sz="4" w:space="0"/>
              <w:right w:val="single" w:color="auto" w:sz="4" w:space="0"/>
              <w:tl2br w:val="nil"/>
              <w:tr2bl w:val="nil"/>
            </w:tcBorders>
            <w:noWrap w:val="0"/>
            <w:vAlign w:val="center"/>
          </w:tcPr>
          <w:p w14:paraId="094CFE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安宁服务</w:t>
            </w:r>
          </w:p>
        </w:tc>
        <w:tc>
          <w:tcPr>
            <w:tcW w:w="1774" w:type="pct"/>
            <w:tcBorders>
              <w:top w:val="nil"/>
              <w:left w:val="nil"/>
              <w:bottom w:val="single" w:color="auto" w:sz="4" w:space="0"/>
              <w:right w:val="single" w:color="auto" w:sz="4" w:space="0"/>
              <w:tl2br w:val="nil"/>
              <w:tr2bl w:val="nil"/>
            </w:tcBorders>
            <w:noWrap w:val="0"/>
            <w:vAlign w:val="center"/>
          </w:tcPr>
          <w:p w14:paraId="496553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对临终老人提供沟通和陪伴。</w:t>
            </w:r>
          </w:p>
        </w:tc>
        <w:tc>
          <w:tcPr>
            <w:tcW w:w="668" w:type="pct"/>
            <w:tcBorders>
              <w:top w:val="nil"/>
              <w:left w:val="nil"/>
              <w:bottom w:val="single" w:color="auto" w:sz="4" w:space="0"/>
              <w:right w:val="single" w:color="auto" w:sz="4" w:space="0"/>
              <w:tl2br w:val="nil"/>
              <w:tr2bl w:val="nil"/>
            </w:tcBorders>
            <w:noWrap w:val="0"/>
            <w:vAlign w:val="center"/>
          </w:tcPr>
          <w:p w14:paraId="52BAFD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25/小时</w:t>
            </w:r>
          </w:p>
        </w:tc>
      </w:tr>
      <w:tr w14:paraId="1AC3170D">
        <w:tblPrEx>
          <w:tblCellMar>
            <w:top w:w="0" w:type="dxa"/>
            <w:left w:w="108" w:type="dxa"/>
            <w:bottom w:w="0" w:type="dxa"/>
            <w:right w:w="108" w:type="dxa"/>
          </w:tblCellMar>
        </w:tblPrEx>
        <w:trPr>
          <w:trHeight w:val="891" w:hRule="atLeast"/>
          <w:jc w:val="center"/>
        </w:trPr>
        <w:tc>
          <w:tcPr>
            <w:tcW w:w="448" w:type="pct"/>
            <w:vMerge w:val="restart"/>
            <w:tcBorders>
              <w:top w:val="single" w:color="auto" w:sz="4" w:space="0"/>
              <w:left w:val="single" w:color="auto" w:sz="4" w:space="0"/>
              <w:right w:val="single" w:color="auto" w:sz="4" w:space="0"/>
            </w:tcBorders>
            <w:noWrap w:val="0"/>
            <w:vAlign w:val="center"/>
          </w:tcPr>
          <w:p w14:paraId="23EA7F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30</w:t>
            </w:r>
          </w:p>
        </w:tc>
        <w:tc>
          <w:tcPr>
            <w:tcW w:w="648" w:type="pct"/>
            <w:vMerge w:val="restart"/>
            <w:tcBorders>
              <w:top w:val="single" w:color="auto" w:sz="4" w:space="0"/>
              <w:left w:val="single" w:color="auto" w:sz="4" w:space="0"/>
              <w:bottom w:val="single" w:color="auto" w:sz="4" w:space="0"/>
              <w:right w:val="single" w:color="auto" w:sz="4" w:space="0"/>
            </w:tcBorders>
            <w:noWrap w:val="0"/>
            <w:vAlign w:val="center"/>
          </w:tcPr>
          <w:p w14:paraId="44D081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二、专业护理</w:t>
            </w:r>
          </w:p>
        </w:tc>
        <w:tc>
          <w:tcPr>
            <w:tcW w:w="591" w:type="pct"/>
            <w:vMerge w:val="restart"/>
            <w:tcBorders>
              <w:top w:val="single" w:color="auto" w:sz="4" w:space="0"/>
              <w:left w:val="single" w:color="auto" w:sz="4" w:space="0"/>
              <w:bottom w:val="single" w:color="auto" w:sz="4" w:space="0"/>
              <w:right w:val="single" w:color="auto" w:sz="4" w:space="0"/>
            </w:tcBorders>
            <w:noWrap w:val="0"/>
            <w:vAlign w:val="center"/>
          </w:tcPr>
          <w:p w14:paraId="133BA7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助行服务</w:t>
            </w:r>
          </w:p>
        </w:tc>
        <w:tc>
          <w:tcPr>
            <w:tcW w:w="869" w:type="pct"/>
            <w:tcBorders>
              <w:top w:val="single" w:color="auto" w:sz="4" w:space="0"/>
              <w:left w:val="single" w:color="auto" w:sz="4" w:space="0"/>
              <w:bottom w:val="single" w:color="auto" w:sz="4" w:space="0"/>
              <w:right w:val="single" w:color="auto" w:sz="4" w:space="0"/>
            </w:tcBorders>
            <w:noWrap w:val="0"/>
            <w:vAlign w:val="center"/>
          </w:tcPr>
          <w:p w14:paraId="4C9F91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上、下楼服务</w:t>
            </w:r>
          </w:p>
        </w:tc>
        <w:tc>
          <w:tcPr>
            <w:tcW w:w="1774" w:type="pct"/>
            <w:tcBorders>
              <w:top w:val="single" w:color="auto" w:sz="4" w:space="0"/>
              <w:left w:val="single" w:color="auto" w:sz="4" w:space="0"/>
              <w:bottom w:val="single" w:color="auto" w:sz="4" w:space="0"/>
              <w:right w:val="single" w:color="auto" w:sz="4" w:space="0"/>
            </w:tcBorders>
            <w:noWrap w:val="0"/>
            <w:vAlign w:val="center"/>
          </w:tcPr>
          <w:p w14:paraId="4439F0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仿宋_GB2312" w:hAnsi="仿宋_GB2312" w:eastAsia="仿宋_GB2312" w:cs="仿宋_GB2312"/>
                <w:color w:val="auto"/>
                <w:sz w:val="24"/>
                <w:szCs w:val="24"/>
                <w:lang w:eastAsia="zh-CN"/>
              </w:rPr>
            </w:pPr>
            <w:r>
              <w:rPr>
                <w:rFonts w:hint="eastAsia" w:ascii="仿宋_GB2312" w:hAnsi="宋体" w:eastAsia="仿宋_GB2312"/>
                <w:color w:val="auto"/>
                <w:sz w:val="24"/>
              </w:rPr>
              <w:t>为老年人提供上、下楼服务</w:t>
            </w:r>
            <w:r>
              <w:rPr>
                <w:rFonts w:hint="eastAsia" w:ascii="仿宋_GB2312" w:hAnsi="宋体" w:eastAsia="仿宋_GB2312"/>
                <w:color w:val="auto"/>
                <w:sz w:val="24"/>
                <w:lang w:eastAsia="zh-CN"/>
              </w:rPr>
              <w:t>。</w:t>
            </w:r>
          </w:p>
        </w:tc>
        <w:tc>
          <w:tcPr>
            <w:tcW w:w="668" w:type="pct"/>
            <w:tcBorders>
              <w:top w:val="single" w:color="auto" w:sz="4" w:space="0"/>
              <w:left w:val="single" w:color="auto" w:sz="4" w:space="0"/>
              <w:bottom w:val="single" w:color="auto" w:sz="4" w:space="0"/>
              <w:right w:val="single" w:color="auto" w:sz="4" w:space="0"/>
            </w:tcBorders>
            <w:noWrap w:val="0"/>
            <w:vAlign w:val="center"/>
          </w:tcPr>
          <w:p w14:paraId="421A97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15/次</w:t>
            </w:r>
          </w:p>
        </w:tc>
      </w:tr>
      <w:tr w14:paraId="563C8E04">
        <w:tblPrEx>
          <w:tblCellMar>
            <w:top w:w="0" w:type="dxa"/>
            <w:left w:w="108" w:type="dxa"/>
            <w:bottom w:w="0" w:type="dxa"/>
            <w:right w:w="108" w:type="dxa"/>
          </w:tblCellMar>
        </w:tblPrEx>
        <w:trPr>
          <w:trHeight w:val="623" w:hRule="atLeast"/>
          <w:jc w:val="center"/>
        </w:trPr>
        <w:tc>
          <w:tcPr>
            <w:tcW w:w="448" w:type="pct"/>
            <w:vMerge w:val="continue"/>
            <w:tcBorders>
              <w:left w:val="single" w:color="auto" w:sz="4" w:space="0"/>
              <w:bottom w:val="single" w:color="auto" w:sz="4" w:space="0"/>
              <w:right w:val="single" w:color="auto" w:sz="4" w:space="0"/>
            </w:tcBorders>
            <w:noWrap w:val="0"/>
            <w:vAlign w:val="center"/>
          </w:tcPr>
          <w:p w14:paraId="6B9FDF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jc w:val="center"/>
              <w:textAlignment w:val="auto"/>
              <w:rPr>
                <w:rFonts w:hint="eastAsia" w:ascii="仿宋_GB2312" w:hAnsi="仿宋_GB2312" w:eastAsia="仿宋_GB2312" w:cs="仿宋_GB2312"/>
                <w:color w:val="auto"/>
                <w:sz w:val="24"/>
                <w:szCs w:val="24"/>
                <w:lang w:val="en-US" w:eastAsia="zh-CN"/>
              </w:rPr>
            </w:pPr>
          </w:p>
        </w:tc>
        <w:tc>
          <w:tcPr>
            <w:tcW w:w="648" w:type="pct"/>
            <w:vMerge w:val="continue"/>
            <w:tcBorders>
              <w:top w:val="single" w:color="auto" w:sz="4" w:space="0"/>
              <w:left w:val="single" w:color="auto" w:sz="4" w:space="0"/>
              <w:bottom w:val="single" w:color="auto" w:sz="4" w:space="0"/>
              <w:right w:val="single" w:color="auto" w:sz="4" w:space="0"/>
            </w:tcBorders>
            <w:noWrap w:val="0"/>
            <w:vAlign w:val="center"/>
          </w:tcPr>
          <w:p w14:paraId="7E0DE4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仿宋_GB2312" w:hAnsi="仿宋_GB2312" w:eastAsia="仿宋_GB2312" w:cs="仿宋_GB2312"/>
                <w:color w:val="auto"/>
                <w:sz w:val="24"/>
                <w:szCs w:val="24"/>
              </w:rPr>
            </w:pPr>
          </w:p>
        </w:tc>
        <w:tc>
          <w:tcPr>
            <w:tcW w:w="591" w:type="pct"/>
            <w:vMerge w:val="continue"/>
            <w:tcBorders>
              <w:top w:val="single" w:color="auto" w:sz="4" w:space="0"/>
              <w:left w:val="single" w:color="auto" w:sz="4" w:space="0"/>
              <w:bottom w:val="single" w:color="auto" w:sz="4" w:space="0"/>
              <w:right w:val="single" w:color="auto" w:sz="4" w:space="0"/>
            </w:tcBorders>
            <w:noWrap w:val="0"/>
            <w:vAlign w:val="center"/>
          </w:tcPr>
          <w:p w14:paraId="3F71FE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仿宋_GB2312" w:hAnsi="仿宋_GB2312" w:eastAsia="仿宋_GB2312" w:cs="仿宋_GB2312"/>
                <w:color w:val="auto"/>
                <w:sz w:val="24"/>
                <w:szCs w:val="24"/>
              </w:rPr>
            </w:pPr>
          </w:p>
        </w:tc>
        <w:tc>
          <w:tcPr>
            <w:tcW w:w="869" w:type="pct"/>
            <w:tcBorders>
              <w:top w:val="single" w:color="auto" w:sz="4" w:space="0"/>
              <w:left w:val="single" w:color="auto" w:sz="4" w:space="0"/>
              <w:bottom w:val="single" w:color="auto" w:sz="4" w:space="0"/>
              <w:right w:val="single" w:color="auto" w:sz="4" w:space="0"/>
            </w:tcBorders>
            <w:noWrap w:val="0"/>
            <w:vAlign w:val="center"/>
          </w:tcPr>
          <w:p w14:paraId="6CFB9C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陪同</w:t>
            </w:r>
            <w:r>
              <w:rPr>
                <w:rFonts w:hint="eastAsia" w:ascii="仿宋_GB2312" w:hAnsi="仿宋_GB2312" w:eastAsia="仿宋_GB2312" w:cs="仿宋_GB2312"/>
                <w:color w:val="auto"/>
                <w:sz w:val="24"/>
                <w:szCs w:val="24"/>
                <w:lang w:val="en-US" w:eastAsia="zh-CN"/>
              </w:rPr>
              <w:t>行走</w:t>
            </w:r>
          </w:p>
        </w:tc>
        <w:tc>
          <w:tcPr>
            <w:tcW w:w="1774" w:type="pct"/>
            <w:tcBorders>
              <w:top w:val="single" w:color="auto" w:sz="4" w:space="0"/>
              <w:left w:val="single" w:color="auto" w:sz="4" w:space="0"/>
              <w:bottom w:val="single" w:color="auto" w:sz="4" w:space="0"/>
              <w:right w:val="single" w:color="auto" w:sz="4" w:space="0"/>
            </w:tcBorders>
            <w:noWrap w:val="0"/>
            <w:vAlign w:val="center"/>
          </w:tcPr>
          <w:p w14:paraId="0C6530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仿宋_GB2312" w:hAnsi="仿宋_GB2312" w:eastAsia="仿宋_GB2312" w:cs="仿宋_GB2312"/>
                <w:color w:val="auto"/>
                <w:sz w:val="24"/>
                <w:szCs w:val="24"/>
                <w:lang w:eastAsia="zh-CN"/>
              </w:rPr>
            </w:pPr>
            <w:r>
              <w:rPr>
                <w:rFonts w:hint="eastAsia" w:ascii="仿宋_GB2312" w:hAnsi="宋体" w:eastAsia="仿宋_GB2312"/>
                <w:color w:val="auto"/>
                <w:sz w:val="24"/>
              </w:rPr>
              <w:t>陪同老年人散步、外出等服务</w:t>
            </w:r>
            <w:r>
              <w:rPr>
                <w:rFonts w:hint="eastAsia" w:ascii="仿宋_GB2312" w:hAnsi="宋体" w:eastAsia="仿宋_GB2312"/>
                <w:color w:val="auto"/>
                <w:sz w:val="24"/>
                <w:lang w:eastAsia="zh-CN"/>
              </w:rPr>
              <w:t>。</w:t>
            </w:r>
          </w:p>
        </w:tc>
        <w:tc>
          <w:tcPr>
            <w:tcW w:w="668" w:type="pct"/>
            <w:tcBorders>
              <w:top w:val="single" w:color="auto" w:sz="4" w:space="0"/>
              <w:left w:val="single" w:color="auto" w:sz="4" w:space="0"/>
              <w:bottom w:val="single" w:color="auto" w:sz="4" w:space="0"/>
              <w:right w:val="single" w:color="auto" w:sz="4" w:space="0"/>
            </w:tcBorders>
            <w:noWrap w:val="0"/>
            <w:vAlign w:val="center"/>
          </w:tcPr>
          <w:p w14:paraId="1BAA10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10/次</w:t>
            </w:r>
          </w:p>
        </w:tc>
      </w:tr>
      <w:tr w14:paraId="0B4E1806">
        <w:tblPrEx>
          <w:tblCellMar>
            <w:top w:w="0" w:type="dxa"/>
            <w:left w:w="108" w:type="dxa"/>
            <w:bottom w:w="0" w:type="dxa"/>
            <w:right w:w="108" w:type="dxa"/>
          </w:tblCellMar>
        </w:tblPrEx>
        <w:trPr>
          <w:trHeight w:val="2685" w:hRule="atLeast"/>
          <w:jc w:val="center"/>
        </w:trPr>
        <w:tc>
          <w:tcPr>
            <w:tcW w:w="448" w:type="pct"/>
            <w:tcBorders>
              <w:top w:val="single" w:color="auto" w:sz="4" w:space="0"/>
              <w:left w:val="single" w:color="auto" w:sz="4" w:space="0"/>
              <w:bottom w:val="single" w:color="auto" w:sz="4" w:space="0"/>
              <w:right w:val="single" w:color="auto" w:sz="4" w:space="0"/>
            </w:tcBorders>
            <w:noWrap w:val="0"/>
            <w:vAlign w:val="center"/>
          </w:tcPr>
          <w:p w14:paraId="2588A4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31</w:t>
            </w:r>
          </w:p>
        </w:tc>
        <w:tc>
          <w:tcPr>
            <w:tcW w:w="648" w:type="pct"/>
            <w:vMerge w:val="continue"/>
            <w:tcBorders>
              <w:top w:val="single" w:color="auto" w:sz="4" w:space="0"/>
              <w:left w:val="single" w:color="auto" w:sz="4" w:space="0"/>
              <w:right w:val="single" w:color="auto" w:sz="4" w:space="0"/>
            </w:tcBorders>
            <w:noWrap w:val="0"/>
            <w:vAlign w:val="center"/>
          </w:tcPr>
          <w:p w14:paraId="5FDC16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仿宋_GB2312" w:hAnsi="仿宋_GB2312" w:eastAsia="仿宋_GB2312" w:cs="仿宋_GB2312"/>
                <w:color w:val="auto"/>
                <w:sz w:val="24"/>
                <w:szCs w:val="24"/>
              </w:rPr>
            </w:pPr>
          </w:p>
        </w:tc>
        <w:tc>
          <w:tcPr>
            <w:tcW w:w="591" w:type="pct"/>
            <w:tcBorders>
              <w:top w:val="single" w:color="auto" w:sz="4" w:space="0"/>
              <w:left w:val="single" w:color="auto" w:sz="4" w:space="0"/>
              <w:bottom w:val="single" w:color="auto" w:sz="4" w:space="0"/>
              <w:right w:val="single" w:color="auto" w:sz="4" w:space="0"/>
            </w:tcBorders>
            <w:noWrap w:val="0"/>
            <w:vAlign w:val="center"/>
          </w:tcPr>
          <w:p w14:paraId="32FE7E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助医服务</w:t>
            </w:r>
          </w:p>
        </w:tc>
        <w:tc>
          <w:tcPr>
            <w:tcW w:w="869" w:type="pct"/>
            <w:tcBorders>
              <w:top w:val="single" w:color="auto" w:sz="4" w:space="0"/>
              <w:left w:val="single" w:color="auto" w:sz="4" w:space="0"/>
              <w:bottom w:val="single" w:color="auto" w:sz="4" w:space="0"/>
              <w:right w:val="single" w:color="auto" w:sz="4" w:space="0"/>
            </w:tcBorders>
            <w:noWrap w:val="0"/>
            <w:vAlign w:val="center"/>
          </w:tcPr>
          <w:p w14:paraId="302D01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助医服务</w:t>
            </w:r>
          </w:p>
        </w:tc>
        <w:tc>
          <w:tcPr>
            <w:tcW w:w="1774" w:type="pct"/>
            <w:tcBorders>
              <w:top w:val="single" w:color="auto" w:sz="4" w:space="0"/>
              <w:left w:val="single" w:color="auto" w:sz="4" w:space="0"/>
              <w:bottom w:val="single" w:color="auto" w:sz="4" w:space="0"/>
              <w:right w:val="single" w:color="auto" w:sz="4" w:space="0"/>
            </w:tcBorders>
            <w:noWrap w:val="0"/>
            <w:vAlign w:val="center"/>
          </w:tcPr>
          <w:p w14:paraId="47D72C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为</w:t>
            </w:r>
            <w:r>
              <w:rPr>
                <w:rFonts w:hint="eastAsia" w:ascii="仿宋_GB2312" w:hAnsi="仿宋_GB2312" w:eastAsia="仿宋_GB2312" w:cs="仿宋_GB2312"/>
                <w:color w:val="auto"/>
                <w:sz w:val="24"/>
                <w:szCs w:val="24"/>
                <w:lang w:val="en-US" w:eastAsia="zh-CN"/>
              </w:rPr>
              <w:t>护理对象</w:t>
            </w:r>
            <w:r>
              <w:rPr>
                <w:rFonts w:hint="eastAsia" w:ascii="仿宋_GB2312" w:hAnsi="仿宋_GB2312" w:eastAsia="仿宋_GB2312" w:cs="仿宋_GB2312"/>
                <w:color w:val="auto"/>
                <w:sz w:val="24"/>
                <w:szCs w:val="24"/>
              </w:rPr>
              <w:t>就医和转诊提供陪同就诊、取药等服务；在医疗机构医生的指导下提供医疗保健养生知识指导和咨询服务。</w:t>
            </w:r>
          </w:p>
        </w:tc>
        <w:tc>
          <w:tcPr>
            <w:tcW w:w="668" w:type="pct"/>
            <w:tcBorders>
              <w:top w:val="single" w:color="auto" w:sz="4" w:space="0"/>
              <w:left w:val="single" w:color="auto" w:sz="4" w:space="0"/>
              <w:bottom w:val="single" w:color="auto" w:sz="4" w:space="0"/>
              <w:right w:val="single" w:color="auto" w:sz="4" w:space="0"/>
            </w:tcBorders>
            <w:noWrap w:val="0"/>
            <w:vAlign w:val="center"/>
          </w:tcPr>
          <w:p w14:paraId="14E678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25/小时</w:t>
            </w:r>
          </w:p>
        </w:tc>
      </w:tr>
      <w:tr w14:paraId="6EEF0A7B">
        <w:tblPrEx>
          <w:tblCellMar>
            <w:top w:w="0" w:type="dxa"/>
            <w:left w:w="108" w:type="dxa"/>
            <w:bottom w:w="0" w:type="dxa"/>
            <w:right w:w="108" w:type="dxa"/>
          </w:tblCellMar>
        </w:tblPrEx>
        <w:trPr>
          <w:trHeight w:val="932" w:hRule="atLeast"/>
          <w:jc w:val="center"/>
        </w:trPr>
        <w:tc>
          <w:tcPr>
            <w:tcW w:w="448" w:type="pct"/>
            <w:vMerge w:val="restart"/>
            <w:tcBorders>
              <w:top w:val="single" w:color="auto" w:sz="4" w:space="0"/>
              <w:left w:val="single" w:color="auto" w:sz="4" w:space="0"/>
              <w:bottom w:val="single" w:color="auto" w:sz="4" w:space="0"/>
              <w:right w:val="single" w:color="auto" w:sz="4" w:space="0"/>
            </w:tcBorders>
            <w:noWrap w:val="0"/>
            <w:vAlign w:val="center"/>
          </w:tcPr>
          <w:p w14:paraId="508D9F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32</w:t>
            </w:r>
          </w:p>
        </w:tc>
        <w:tc>
          <w:tcPr>
            <w:tcW w:w="648" w:type="pct"/>
            <w:vMerge w:val="continue"/>
            <w:tcBorders>
              <w:left w:val="single" w:color="auto" w:sz="4" w:space="0"/>
              <w:right w:val="single" w:color="auto" w:sz="4" w:space="0"/>
            </w:tcBorders>
            <w:noWrap w:val="0"/>
            <w:vAlign w:val="center"/>
          </w:tcPr>
          <w:p w14:paraId="645F92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仿宋_GB2312" w:hAnsi="仿宋_GB2312" w:eastAsia="仿宋_GB2312" w:cs="仿宋_GB2312"/>
                <w:color w:val="auto"/>
                <w:sz w:val="24"/>
                <w:szCs w:val="24"/>
              </w:rPr>
            </w:pPr>
          </w:p>
        </w:tc>
        <w:tc>
          <w:tcPr>
            <w:tcW w:w="591" w:type="pct"/>
            <w:vMerge w:val="restart"/>
            <w:tcBorders>
              <w:top w:val="single" w:color="auto" w:sz="4" w:space="0"/>
              <w:left w:val="single" w:color="auto" w:sz="4" w:space="0"/>
              <w:bottom w:val="single" w:color="auto" w:sz="4" w:space="0"/>
              <w:right w:val="single" w:color="auto" w:sz="4" w:space="0"/>
            </w:tcBorders>
            <w:noWrap w:val="0"/>
            <w:vAlign w:val="center"/>
          </w:tcPr>
          <w:p w14:paraId="5B669A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eastAsia="zh-CN"/>
              </w:rPr>
              <w:t>探访</w:t>
            </w:r>
            <w:r>
              <w:rPr>
                <w:rFonts w:hint="eastAsia" w:ascii="仿宋_GB2312" w:hAnsi="仿宋_GB2312" w:eastAsia="仿宋_GB2312" w:cs="仿宋_GB2312"/>
                <w:color w:val="auto"/>
                <w:sz w:val="24"/>
                <w:szCs w:val="24"/>
              </w:rPr>
              <w:t>关爱</w:t>
            </w:r>
            <w:r>
              <w:rPr>
                <w:rFonts w:hint="eastAsia" w:ascii="仿宋_GB2312" w:hAnsi="仿宋_GB2312" w:eastAsia="仿宋_GB2312" w:cs="仿宋_GB2312"/>
                <w:color w:val="auto"/>
                <w:sz w:val="24"/>
                <w:szCs w:val="24"/>
                <w:lang w:val="en-US" w:eastAsia="zh-CN"/>
              </w:rPr>
              <w:t>服务</w:t>
            </w:r>
          </w:p>
        </w:tc>
        <w:tc>
          <w:tcPr>
            <w:tcW w:w="869" w:type="pct"/>
            <w:tcBorders>
              <w:top w:val="single" w:color="auto" w:sz="4" w:space="0"/>
              <w:left w:val="single" w:color="auto" w:sz="4" w:space="0"/>
              <w:bottom w:val="single" w:color="auto" w:sz="4" w:space="0"/>
              <w:right w:val="single" w:color="auto" w:sz="4" w:space="0"/>
            </w:tcBorders>
            <w:noWrap w:val="0"/>
            <w:vAlign w:val="center"/>
          </w:tcPr>
          <w:p w14:paraId="34403A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节日关怀</w:t>
            </w:r>
          </w:p>
        </w:tc>
        <w:tc>
          <w:tcPr>
            <w:tcW w:w="1774" w:type="pct"/>
            <w:tcBorders>
              <w:top w:val="single" w:color="auto" w:sz="4" w:space="0"/>
              <w:left w:val="single" w:color="auto" w:sz="4" w:space="0"/>
              <w:bottom w:val="single" w:color="auto" w:sz="4" w:space="0"/>
              <w:right w:val="single" w:color="auto" w:sz="4" w:space="0"/>
            </w:tcBorders>
            <w:noWrap w:val="0"/>
            <w:vAlign w:val="center"/>
          </w:tcPr>
          <w:p w14:paraId="0F8003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生日关怀、节日关怀等服务</w:t>
            </w:r>
            <w:r>
              <w:rPr>
                <w:rFonts w:hint="eastAsia" w:ascii="仿宋_GB2312" w:hAnsi="仿宋_GB2312" w:eastAsia="仿宋_GB2312" w:cs="仿宋_GB2312"/>
                <w:color w:val="auto"/>
                <w:sz w:val="24"/>
                <w:szCs w:val="24"/>
                <w:lang w:eastAsia="zh-CN"/>
              </w:rPr>
              <w:t>。</w:t>
            </w:r>
          </w:p>
        </w:tc>
        <w:tc>
          <w:tcPr>
            <w:tcW w:w="668" w:type="pct"/>
            <w:tcBorders>
              <w:top w:val="single" w:color="auto" w:sz="4" w:space="0"/>
              <w:left w:val="single" w:color="auto" w:sz="4" w:space="0"/>
              <w:bottom w:val="single" w:color="auto" w:sz="4" w:space="0"/>
              <w:right w:val="single" w:color="auto" w:sz="4" w:space="0"/>
            </w:tcBorders>
            <w:noWrap w:val="0"/>
            <w:vAlign w:val="center"/>
          </w:tcPr>
          <w:p w14:paraId="2BB576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10/次</w:t>
            </w:r>
          </w:p>
        </w:tc>
      </w:tr>
      <w:tr w14:paraId="6B90F4EF">
        <w:tblPrEx>
          <w:tblCellMar>
            <w:top w:w="0" w:type="dxa"/>
            <w:left w:w="108" w:type="dxa"/>
            <w:bottom w:w="0" w:type="dxa"/>
            <w:right w:w="108" w:type="dxa"/>
          </w:tblCellMar>
        </w:tblPrEx>
        <w:trPr>
          <w:trHeight w:val="922" w:hRule="atLeast"/>
          <w:jc w:val="center"/>
        </w:trPr>
        <w:tc>
          <w:tcPr>
            <w:tcW w:w="448" w:type="pct"/>
            <w:vMerge w:val="continue"/>
            <w:tcBorders>
              <w:top w:val="single" w:color="auto" w:sz="4" w:space="0"/>
              <w:left w:val="single" w:color="auto" w:sz="4" w:space="0"/>
              <w:bottom w:val="single" w:color="auto" w:sz="4" w:space="0"/>
              <w:right w:val="single" w:color="auto" w:sz="4" w:space="0"/>
            </w:tcBorders>
            <w:noWrap w:val="0"/>
            <w:vAlign w:val="center"/>
          </w:tcPr>
          <w:p w14:paraId="6E751A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jc w:val="center"/>
              <w:textAlignment w:val="auto"/>
              <w:rPr>
                <w:rFonts w:hint="eastAsia" w:ascii="仿宋_GB2312" w:hAnsi="仿宋_GB2312" w:eastAsia="仿宋_GB2312" w:cs="仿宋_GB2312"/>
                <w:color w:val="auto"/>
                <w:sz w:val="24"/>
                <w:szCs w:val="24"/>
                <w:lang w:val="en-US" w:eastAsia="zh-CN"/>
              </w:rPr>
            </w:pPr>
          </w:p>
        </w:tc>
        <w:tc>
          <w:tcPr>
            <w:tcW w:w="648" w:type="pct"/>
            <w:vMerge w:val="continue"/>
            <w:tcBorders>
              <w:left w:val="single" w:color="auto" w:sz="4" w:space="0"/>
              <w:bottom w:val="single" w:color="auto" w:sz="4" w:space="0"/>
              <w:right w:val="single" w:color="auto" w:sz="4" w:space="0"/>
            </w:tcBorders>
            <w:noWrap w:val="0"/>
            <w:vAlign w:val="center"/>
          </w:tcPr>
          <w:p w14:paraId="3F6F56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仿宋_GB2312" w:hAnsi="仿宋_GB2312" w:eastAsia="仿宋_GB2312" w:cs="仿宋_GB2312"/>
                <w:color w:val="auto"/>
                <w:sz w:val="24"/>
                <w:szCs w:val="24"/>
              </w:rPr>
            </w:pPr>
          </w:p>
        </w:tc>
        <w:tc>
          <w:tcPr>
            <w:tcW w:w="591" w:type="pct"/>
            <w:vMerge w:val="continue"/>
            <w:tcBorders>
              <w:top w:val="single" w:color="auto" w:sz="4" w:space="0"/>
              <w:left w:val="single" w:color="auto" w:sz="4" w:space="0"/>
              <w:bottom w:val="single" w:color="auto" w:sz="4" w:space="0"/>
              <w:right w:val="single" w:color="auto" w:sz="4" w:space="0"/>
            </w:tcBorders>
            <w:noWrap w:val="0"/>
            <w:vAlign w:val="center"/>
          </w:tcPr>
          <w:p w14:paraId="412434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仿宋_GB2312" w:hAnsi="仿宋_GB2312" w:eastAsia="仿宋_GB2312" w:cs="仿宋_GB2312"/>
                <w:color w:val="auto"/>
                <w:sz w:val="24"/>
                <w:szCs w:val="24"/>
              </w:rPr>
            </w:pPr>
          </w:p>
        </w:tc>
        <w:tc>
          <w:tcPr>
            <w:tcW w:w="869" w:type="pct"/>
            <w:tcBorders>
              <w:top w:val="single" w:color="auto" w:sz="4" w:space="0"/>
              <w:left w:val="single" w:color="auto" w:sz="4" w:space="0"/>
              <w:bottom w:val="single" w:color="auto" w:sz="4" w:space="0"/>
              <w:right w:val="single" w:color="auto" w:sz="4" w:space="0"/>
            </w:tcBorders>
            <w:noWrap w:val="0"/>
            <w:vAlign w:val="center"/>
          </w:tcPr>
          <w:p w14:paraId="46E968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上门探访</w:t>
            </w:r>
          </w:p>
        </w:tc>
        <w:tc>
          <w:tcPr>
            <w:tcW w:w="1774" w:type="pct"/>
            <w:tcBorders>
              <w:top w:val="single" w:color="auto" w:sz="4" w:space="0"/>
              <w:left w:val="single" w:color="auto" w:sz="4" w:space="0"/>
              <w:bottom w:val="single" w:color="auto" w:sz="4" w:space="0"/>
              <w:right w:val="single" w:color="auto" w:sz="4" w:space="0"/>
            </w:tcBorders>
            <w:noWrap w:val="0"/>
            <w:vAlign w:val="center"/>
          </w:tcPr>
          <w:p w14:paraId="077A2E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对于独居</w:t>
            </w:r>
            <w:r>
              <w:rPr>
                <w:rFonts w:hint="eastAsia" w:ascii="仿宋_GB2312" w:hAnsi="仿宋_GB2312" w:eastAsia="仿宋_GB2312" w:cs="仿宋_GB2312"/>
                <w:color w:val="auto"/>
                <w:sz w:val="24"/>
                <w:szCs w:val="24"/>
                <w:lang w:eastAsia="zh-CN"/>
              </w:rPr>
              <w:t>、留守等</w:t>
            </w:r>
            <w:r>
              <w:rPr>
                <w:rFonts w:hint="eastAsia" w:ascii="仿宋_GB2312" w:hAnsi="仿宋_GB2312" w:eastAsia="仿宋_GB2312" w:cs="仿宋_GB2312"/>
                <w:color w:val="auto"/>
                <w:sz w:val="24"/>
                <w:szCs w:val="24"/>
              </w:rPr>
              <w:t>老年人</w:t>
            </w:r>
            <w:r>
              <w:rPr>
                <w:rFonts w:hint="eastAsia" w:ascii="仿宋_GB2312" w:hAnsi="仿宋_GB2312" w:eastAsia="仿宋_GB2312" w:cs="仿宋_GB2312"/>
                <w:color w:val="auto"/>
                <w:sz w:val="24"/>
                <w:szCs w:val="24"/>
                <w:lang w:eastAsia="zh-CN"/>
              </w:rPr>
              <w:t>提供探访关爱，开展社会救助政策宣传、链接社会资源，帮助老人解决实际困难。</w:t>
            </w:r>
          </w:p>
        </w:tc>
        <w:tc>
          <w:tcPr>
            <w:tcW w:w="668" w:type="pct"/>
            <w:tcBorders>
              <w:top w:val="single" w:color="auto" w:sz="4" w:space="0"/>
              <w:left w:val="single" w:color="auto" w:sz="4" w:space="0"/>
              <w:bottom w:val="single" w:color="auto" w:sz="4" w:space="0"/>
              <w:right w:val="single" w:color="auto" w:sz="4" w:space="0"/>
            </w:tcBorders>
            <w:noWrap w:val="0"/>
            <w:vAlign w:val="center"/>
          </w:tcPr>
          <w:p w14:paraId="0FCA7B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5/次</w:t>
            </w:r>
          </w:p>
        </w:tc>
      </w:tr>
    </w:tbl>
    <w:p w14:paraId="17DDD54C">
      <w:pPr>
        <w:keepNext w:val="0"/>
        <w:keepLines w:val="0"/>
        <w:pageBreakBefore w:val="0"/>
        <w:wordWrap/>
        <w:topLinePunct w:val="0"/>
        <w:autoSpaceDE/>
        <w:autoSpaceDN/>
        <w:bidi w:val="0"/>
        <w:spacing w:line="560" w:lineRule="exact"/>
        <w:ind w:left="0" w:leftChars="0"/>
        <w:textAlignment w:val="auto"/>
        <w:rPr>
          <w:color w:val="auto"/>
        </w:rPr>
      </w:pPr>
    </w:p>
    <w:p w14:paraId="39294F81">
      <w:pPr>
        <w:pStyle w:val="3"/>
        <w:keepNext w:val="0"/>
        <w:keepLines w:val="0"/>
        <w:pageBreakBefore w:val="0"/>
        <w:kinsoku w:val="0"/>
        <w:wordWrap/>
        <w:overflowPunct w:val="0"/>
        <w:topLinePunct w:val="0"/>
        <w:autoSpaceDE/>
        <w:autoSpaceDN/>
        <w:bidi w:val="0"/>
        <w:spacing w:line="560" w:lineRule="exact"/>
        <w:ind w:left="0" w:leftChars="0"/>
        <w:textAlignment w:val="auto"/>
        <w:rPr>
          <w:rFonts w:hint="eastAsia" w:ascii="黑体" w:hAnsi="黑体" w:eastAsia="黑体"/>
          <w:color w:val="auto"/>
          <w:sz w:val="32"/>
          <w:szCs w:val="32"/>
          <w:lang w:val="en-US" w:eastAsia="zh-CN"/>
        </w:rPr>
      </w:pPr>
    </w:p>
    <w:p w14:paraId="7A4FE625">
      <w:pPr>
        <w:pStyle w:val="3"/>
        <w:keepNext w:val="0"/>
        <w:keepLines w:val="0"/>
        <w:pageBreakBefore w:val="0"/>
        <w:kinsoku w:val="0"/>
        <w:wordWrap/>
        <w:overflowPunct w:val="0"/>
        <w:topLinePunct w:val="0"/>
        <w:autoSpaceDE/>
        <w:autoSpaceDN/>
        <w:bidi w:val="0"/>
        <w:spacing w:line="560" w:lineRule="exact"/>
        <w:ind w:left="0" w:leftChars="0"/>
        <w:textAlignment w:val="auto"/>
        <w:rPr>
          <w:rFonts w:hint="eastAsia" w:ascii="黑体" w:hAnsi="黑体" w:eastAsia="黑体"/>
          <w:color w:val="auto"/>
          <w:sz w:val="32"/>
          <w:szCs w:val="32"/>
          <w:lang w:val="en-US" w:eastAsia="zh-CN"/>
        </w:rPr>
      </w:pPr>
    </w:p>
    <w:p w14:paraId="33A6FB15">
      <w:pPr>
        <w:pStyle w:val="3"/>
        <w:keepNext w:val="0"/>
        <w:keepLines w:val="0"/>
        <w:pageBreakBefore w:val="0"/>
        <w:kinsoku w:val="0"/>
        <w:wordWrap/>
        <w:overflowPunct w:val="0"/>
        <w:topLinePunct w:val="0"/>
        <w:autoSpaceDE/>
        <w:autoSpaceDN/>
        <w:bidi w:val="0"/>
        <w:spacing w:line="560" w:lineRule="exact"/>
        <w:ind w:left="0" w:leftChars="0"/>
        <w:textAlignment w:val="auto"/>
        <w:rPr>
          <w:rFonts w:hint="eastAsia" w:ascii="黑体" w:hAnsi="黑体" w:eastAsia="黑体"/>
          <w:color w:val="auto"/>
          <w:sz w:val="32"/>
          <w:szCs w:val="32"/>
          <w:lang w:val="en-US" w:eastAsia="zh-CN"/>
        </w:rPr>
      </w:pPr>
    </w:p>
    <w:p w14:paraId="3DEEB036">
      <w:pPr>
        <w:pStyle w:val="3"/>
        <w:keepNext w:val="0"/>
        <w:keepLines w:val="0"/>
        <w:pageBreakBefore w:val="0"/>
        <w:kinsoku w:val="0"/>
        <w:wordWrap/>
        <w:overflowPunct w:val="0"/>
        <w:topLinePunct w:val="0"/>
        <w:autoSpaceDE/>
        <w:autoSpaceDN/>
        <w:bidi w:val="0"/>
        <w:spacing w:line="560" w:lineRule="exact"/>
        <w:ind w:left="0" w:leftChars="0"/>
        <w:textAlignment w:val="auto"/>
        <w:rPr>
          <w:rFonts w:hint="eastAsia" w:ascii="黑体" w:hAnsi="黑体" w:eastAsia="黑体"/>
          <w:color w:val="auto"/>
          <w:sz w:val="32"/>
          <w:szCs w:val="32"/>
          <w:lang w:val="en-US" w:eastAsia="zh-CN"/>
        </w:rPr>
      </w:pPr>
    </w:p>
    <w:p w14:paraId="0C3D88A2">
      <w:pPr>
        <w:pStyle w:val="3"/>
        <w:keepNext w:val="0"/>
        <w:keepLines w:val="0"/>
        <w:pageBreakBefore w:val="0"/>
        <w:kinsoku w:val="0"/>
        <w:wordWrap/>
        <w:overflowPunct w:val="0"/>
        <w:topLinePunct w:val="0"/>
        <w:autoSpaceDE/>
        <w:autoSpaceDN/>
        <w:bidi w:val="0"/>
        <w:spacing w:line="560" w:lineRule="exact"/>
        <w:ind w:left="0" w:leftChars="0"/>
        <w:textAlignment w:val="auto"/>
        <w:rPr>
          <w:rFonts w:hint="eastAsia" w:ascii="黑体" w:hAnsi="黑体" w:eastAsia="黑体"/>
          <w:color w:val="auto"/>
          <w:sz w:val="32"/>
          <w:szCs w:val="32"/>
          <w:lang w:val="en-US" w:eastAsia="zh-CN"/>
        </w:rPr>
      </w:pPr>
    </w:p>
    <w:p w14:paraId="20EDC8DC">
      <w:pPr>
        <w:pStyle w:val="3"/>
        <w:keepNext w:val="0"/>
        <w:keepLines w:val="0"/>
        <w:pageBreakBefore w:val="0"/>
        <w:kinsoku w:val="0"/>
        <w:wordWrap/>
        <w:overflowPunct w:val="0"/>
        <w:topLinePunct w:val="0"/>
        <w:autoSpaceDE/>
        <w:autoSpaceDN/>
        <w:bidi w:val="0"/>
        <w:spacing w:line="560" w:lineRule="exact"/>
        <w:ind w:left="0" w:leftChars="0"/>
        <w:textAlignment w:val="auto"/>
        <w:rPr>
          <w:rFonts w:hint="eastAsia" w:ascii="黑体" w:hAnsi="黑体" w:eastAsia="黑体"/>
          <w:color w:val="auto"/>
          <w:sz w:val="32"/>
          <w:szCs w:val="32"/>
          <w:lang w:val="en-US" w:eastAsia="zh-CN"/>
        </w:rPr>
      </w:pPr>
    </w:p>
    <w:p w14:paraId="0F64753C">
      <w:pPr>
        <w:pStyle w:val="3"/>
        <w:keepNext w:val="0"/>
        <w:keepLines w:val="0"/>
        <w:pageBreakBefore w:val="0"/>
        <w:kinsoku w:val="0"/>
        <w:wordWrap/>
        <w:overflowPunct w:val="0"/>
        <w:topLinePunct w:val="0"/>
        <w:autoSpaceDE/>
        <w:autoSpaceDN/>
        <w:bidi w:val="0"/>
        <w:spacing w:line="560" w:lineRule="exact"/>
        <w:ind w:left="0" w:leftChars="0"/>
        <w:textAlignment w:val="auto"/>
        <w:rPr>
          <w:rFonts w:hint="eastAsia" w:ascii="黑体" w:hAnsi="黑体" w:eastAsia="黑体"/>
          <w:color w:val="auto"/>
          <w:sz w:val="32"/>
          <w:szCs w:val="32"/>
          <w:lang w:val="en-US" w:eastAsia="zh-CN"/>
        </w:rPr>
      </w:pPr>
    </w:p>
    <w:p w14:paraId="14D0B4DC">
      <w:pPr>
        <w:pStyle w:val="3"/>
        <w:keepNext w:val="0"/>
        <w:keepLines w:val="0"/>
        <w:pageBreakBefore w:val="0"/>
        <w:kinsoku w:val="0"/>
        <w:wordWrap/>
        <w:overflowPunct w:val="0"/>
        <w:topLinePunct w:val="0"/>
        <w:autoSpaceDE/>
        <w:autoSpaceDN/>
        <w:bidi w:val="0"/>
        <w:spacing w:line="560" w:lineRule="exact"/>
        <w:ind w:left="0" w:leftChars="0"/>
        <w:textAlignment w:val="auto"/>
        <w:rPr>
          <w:rFonts w:hint="eastAsia" w:ascii="黑体" w:hAnsi="黑体" w:eastAsia="黑体"/>
          <w:color w:val="auto"/>
          <w:sz w:val="32"/>
          <w:szCs w:val="32"/>
          <w:lang w:val="en-US" w:eastAsia="zh-CN"/>
        </w:rPr>
      </w:pPr>
    </w:p>
    <w:p w14:paraId="1D763558">
      <w:pPr>
        <w:pStyle w:val="3"/>
        <w:keepNext w:val="0"/>
        <w:keepLines w:val="0"/>
        <w:pageBreakBefore w:val="0"/>
        <w:kinsoku w:val="0"/>
        <w:wordWrap/>
        <w:overflowPunct w:val="0"/>
        <w:topLinePunct w:val="0"/>
        <w:autoSpaceDE/>
        <w:autoSpaceDN/>
        <w:bidi w:val="0"/>
        <w:spacing w:line="560" w:lineRule="exact"/>
        <w:ind w:left="0" w:leftChars="0"/>
        <w:textAlignment w:val="auto"/>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附件5</w:t>
      </w:r>
    </w:p>
    <w:p w14:paraId="0A6AFEE3">
      <w:pPr>
        <w:pStyle w:val="3"/>
        <w:keepNext w:val="0"/>
        <w:keepLines w:val="0"/>
        <w:pageBreakBefore w:val="0"/>
        <w:kinsoku w:val="0"/>
        <w:wordWrap/>
        <w:overflowPunct w:val="0"/>
        <w:topLinePunct w:val="0"/>
        <w:autoSpaceDE/>
        <w:autoSpaceDN/>
        <w:bidi w:val="0"/>
        <w:spacing w:line="560" w:lineRule="exact"/>
        <w:ind w:left="0" w:leftChars="0"/>
        <w:textAlignment w:val="auto"/>
        <w:rPr>
          <w:rFonts w:hint="eastAsia" w:ascii="黑体" w:hAnsi="黑体" w:eastAsia="黑体"/>
          <w:color w:val="auto"/>
          <w:sz w:val="32"/>
          <w:szCs w:val="32"/>
          <w:lang w:val="en-US" w:eastAsia="zh-CN"/>
        </w:rPr>
      </w:pPr>
    </w:p>
    <w:tbl>
      <w:tblPr>
        <w:tblStyle w:val="9"/>
        <w:tblW w:w="8995" w:type="dxa"/>
        <w:tblInd w:w="0" w:type="dxa"/>
        <w:tblLayout w:type="fixed"/>
        <w:tblCellMar>
          <w:top w:w="0" w:type="dxa"/>
          <w:left w:w="108" w:type="dxa"/>
          <w:bottom w:w="0" w:type="dxa"/>
          <w:right w:w="108" w:type="dxa"/>
        </w:tblCellMar>
      </w:tblPr>
      <w:tblGrid>
        <w:gridCol w:w="1077"/>
        <w:gridCol w:w="1337"/>
        <w:gridCol w:w="1488"/>
        <w:gridCol w:w="887"/>
        <w:gridCol w:w="1138"/>
        <w:gridCol w:w="1537"/>
        <w:gridCol w:w="1531"/>
      </w:tblGrid>
      <w:tr w14:paraId="5BFC67EE">
        <w:tblPrEx>
          <w:tblCellMar>
            <w:top w:w="0" w:type="dxa"/>
            <w:left w:w="108" w:type="dxa"/>
            <w:bottom w:w="0" w:type="dxa"/>
            <w:right w:w="108" w:type="dxa"/>
          </w:tblCellMar>
        </w:tblPrEx>
        <w:trPr>
          <w:trHeight w:val="703" w:hRule="atLeast"/>
        </w:trPr>
        <w:tc>
          <w:tcPr>
            <w:tcW w:w="8995" w:type="dxa"/>
            <w:gridSpan w:val="7"/>
            <w:tcBorders>
              <w:bottom w:val="single" w:color="auto" w:sz="4" w:space="0"/>
            </w:tcBorders>
            <w:shd w:val="clear" w:color="auto" w:fill="auto"/>
            <w:noWrap/>
            <w:vAlign w:val="center"/>
          </w:tcPr>
          <w:p w14:paraId="48604CA1">
            <w:pPr>
              <w:keepNext w:val="0"/>
              <w:keepLines w:val="0"/>
              <w:pageBreakBefore w:val="0"/>
              <w:widowControl/>
              <w:suppressLineNumbers w:val="0"/>
              <w:wordWrap/>
              <w:topLinePunct w:val="0"/>
              <w:autoSpaceDE/>
              <w:autoSpaceDN/>
              <w:bidi w:val="0"/>
              <w:spacing w:before="0" w:beforeAutospacing="0" w:after="0" w:afterAutospacing="0" w:line="560" w:lineRule="exact"/>
              <w:ind w:left="0" w:leftChars="0" w:right="0"/>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建宁县“五联五保”居家养老上门服务</w:t>
            </w:r>
          </w:p>
          <w:p w14:paraId="562DDE3A">
            <w:pPr>
              <w:keepNext w:val="0"/>
              <w:keepLines w:val="0"/>
              <w:pageBreakBefore w:val="0"/>
              <w:widowControl/>
              <w:suppressLineNumbers w:val="0"/>
              <w:wordWrap/>
              <w:topLinePunct w:val="0"/>
              <w:autoSpaceDE/>
              <w:autoSpaceDN/>
              <w:bidi w:val="0"/>
              <w:spacing w:before="0" w:beforeAutospacing="0" w:after="0" w:afterAutospacing="0" w:line="560" w:lineRule="exact"/>
              <w:ind w:left="0" w:leftChars="0" w:right="0"/>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项目资金测算</w:t>
            </w:r>
          </w:p>
          <w:p w14:paraId="10A1B356">
            <w:pPr>
              <w:keepNext w:val="0"/>
              <w:keepLines w:val="0"/>
              <w:pageBreakBefore w:val="0"/>
              <w:widowControl/>
              <w:suppressLineNumbers w:val="0"/>
              <w:wordWrap/>
              <w:topLinePunct w:val="0"/>
              <w:autoSpaceDE/>
              <w:autoSpaceDN/>
              <w:bidi w:val="0"/>
              <w:spacing w:before="0" w:beforeAutospacing="0" w:after="0" w:afterAutospacing="0" w:line="560" w:lineRule="exact"/>
              <w:ind w:left="0" w:leftChars="0" w:right="0"/>
              <w:jc w:val="center"/>
              <w:textAlignment w:val="auto"/>
              <w:rPr>
                <w:rFonts w:hint="default" w:ascii="黑体" w:hAnsi="黑体" w:eastAsia="黑体"/>
                <w:color w:val="auto"/>
                <w:szCs w:val="32"/>
              </w:rPr>
            </w:pPr>
            <w:r>
              <w:rPr>
                <w:rFonts w:hint="eastAsia" w:ascii="仿宋_GB2312" w:hAnsi="仿宋_GB2312" w:eastAsia="仿宋_GB2312" w:cs="仿宋_GB2312"/>
                <w:color w:val="auto"/>
                <w:sz w:val="30"/>
                <w:szCs w:val="30"/>
                <w:lang w:eastAsia="zh-CN"/>
              </w:rPr>
              <w:t>（按全县符合标准老年人数约</w:t>
            </w:r>
            <w:r>
              <w:rPr>
                <w:rFonts w:hint="eastAsia" w:ascii="仿宋_GB2312" w:hAnsi="仿宋_GB2312" w:eastAsia="仿宋_GB2312" w:cs="仿宋_GB2312"/>
                <w:color w:val="auto"/>
                <w:sz w:val="30"/>
                <w:szCs w:val="30"/>
                <w:lang w:val="en-US" w:eastAsia="zh-CN"/>
              </w:rPr>
              <w:t>2400人测算</w:t>
            </w:r>
            <w:r>
              <w:rPr>
                <w:rFonts w:hint="eastAsia" w:ascii="仿宋_GB2312" w:hAnsi="仿宋_GB2312" w:eastAsia="仿宋_GB2312" w:cs="仿宋_GB2312"/>
                <w:color w:val="auto"/>
                <w:sz w:val="30"/>
                <w:szCs w:val="30"/>
                <w:lang w:eastAsia="zh-CN"/>
              </w:rPr>
              <w:t>）</w:t>
            </w:r>
          </w:p>
        </w:tc>
      </w:tr>
      <w:tr w14:paraId="354CFB8F">
        <w:tblPrEx>
          <w:tblCellMar>
            <w:top w:w="0" w:type="dxa"/>
            <w:left w:w="108" w:type="dxa"/>
            <w:bottom w:w="0" w:type="dxa"/>
            <w:right w:w="108" w:type="dxa"/>
          </w:tblCellMar>
        </w:tblPrEx>
        <w:trPr>
          <w:trHeight w:val="458" w:hRule="atLeast"/>
        </w:trPr>
        <w:tc>
          <w:tcPr>
            <w:tcW w:w="241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A554D3F">
            <w:pPr>
              <w:keepNext w:val="0"/>
              <w:keepLines w:val="0"/>
              <w:pageBreakBefore w:val="0"/>
              <w:widowControl/>
              <w:suppressLineNumbers w:val="0"/>
              <w:wordWrap/>
              <w:topLinePunct w:val="0"/>
              <w:autoSpaceDE/>
              <w:autoSpaceDN/>
              <w:bidi w:val="0"/>
              <w:spacing w:before="0" w:beforeAutospacing="0" w:after="0" w:afterAutospacing="0" w:line="560" w:lineRule="exact"/>
              <w:ind w:left="0" w:leftChars="0" w:right="0"/>
              <w:jc w:val="center"/>
              <w:textAlignment w:val="auto"/>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w:t>
            </w:r>
          </w:p>
        </w:tc>
        <w:tc>
          <w:tcPr>
            <w:tcW w:w="1488" w:type="dxa"/>
            <w:tcBorders>
              <w:top w:val="single" w:color="auto" w:sz="4" w:space="0"/>
              <w:left w:val="nil"/>
              <w:bottom w:val="single" w:color="auto" w:sz="4" w:space="0"/>
              <w:right w:val="single" w:color="auto" w:sz="4" w:space="0"/>
            </w:tcBorders>
            <w:shd w:val="clear" w:color="auto" w:fill="auto"/>
            <w:noWrap/>
            <w:vAlign w:val="center"/>
          </w:tcPr>
          <w:p w14:paraId="286FC06E">
            <w:pPr>
              <w:keepNext w:val="0"/>
              <w:keepLines w:val="0"/>
              <w:pageBreakBefore w:val="0"/>
              <w:widowControl/>
              <w:suppressLineNumbers w:val="0"/>
              <w:wordWrap/>
              <w:topLinePunct w:val="0"/>
              <w:autoSpaceDE/>
              <w:autoSpaceDN/>
              <w:bidi w:val="0"/>
              <w:spacing w:before="0" w:beforeAutospacing="0" w:after="0" w:afterAutospacing="0" w:line="560" w:lineRule="exact"/>
              <w:ind w:left="0" w:leftChars="0" w:right="0"/>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单价</w:t>
            </w:r>
          </w:p>
        </w:tc>
        <w:tc>
          <w:tcPr>
            <w:tcW w:w="2025" w:type="dxa"/>
            <w:gridSpan w:val="2"/>
            <w:tcBorders>
              <w:top w:val="single" w:color="auto" w:sz="4" w:space="0"/>
              <w:left w:val="nil"/>
              <w:bottom w:val="single" w:color="auto" w:sz="4" w:space="0"/>
              <w:right w:val="single" w:color="auto" w:sz="4" w:space="0"/>
            </w:tcBorders>
            <w:shd w:val="clear" w:color="auto" w:fill="auto"/>
            <w:noWrap/>
            <w:vAlign w:val="center"/>
          </w:tcPr>
          <w:p w14:paraId="2D5AB7BA">
            <w:pPr>
              <w:keepNext w:val="0"/>
              <w:keepLines w:val="0"/>
              <w:pageBreakBefore w:val="0"/>
              <w:widowControl/>
              <w:suppressLineNumbers w:val="0"/>
              <w:wordWrap/>
              <w:topLinePunct w:val="0"/>
              <w:autoSpaceDE/>
              <w:autoSpaceDN/>
              <w:bidi w:val="0"/>
              <w:spacing w:before="0" w:beforeAutospacing="0" w:after="0" w:afterAutospacing="0" w:line="560" w:lineRule="exact"/>
              <w:ind w:left="0" w:leftChars="0" w:right="0"/>
              <w:jc w:val="center"/>
              <w:textAlignment w:val="auto"/>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数量</w:t>
            </w:r>
          </w:p>
        </w:tc>
        <w:tc>
          <w:tcPr>
            <w:tcW w:w="1537" w:type="dxa"/>
            <w:tcBorders>
              <w:top w:val="single" w:color="auto" w:sz="4" w:space="0"/>
              <w:left w:val="nil"/>
              <w:bottom w:val="single" w:color="auto" w:sz="4" w:space="0"/>
              <w:right w:val="single" w:color="auto" w:sz="4" w:space="0"/>
            </w:tcBorders>
            <w:shd w:val="clear" w:color="auto" w:fill="auto"/>
            <w:noWrap/>
            <w:vAlign w:val="center"/>
          </w:tcPr>
          <w:p w14:paraId="540ADFD8">
            <w:pPr>
              <w:keepNext w:val="0"/>
              <w:keepLines w:val="0"/>
              <w:pageBreakBefore w:val="0"/>
              <w:widowControl/>
              <w:suppressLineNumbers w:val="0"/>
              <w:wordWrap/>
              <w:topLinePunct w:val="0"/>
              <w:autoSpaceDE/>
              <w:autoSpaceDN/>
              <w:bidi w:val="0"/>
              <w:spacing w:before="0" w:beforeAutospacing="0" w:after="0" w:afterAutospacing="0" w:line="560" w:lineRule="exact"/>
              <w:ind w:left="0" w:leftChars="0" w:right="0"/>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金额</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元)</w:t>
            </w:r>
          </w:p>
        </w:tc>
        <w:tc>
          <w:tcPr>
            <w:tcW w:w="1531" w:type="dxa"/>
            <w:tcBorders>
              <w:top w:val="single" w:color="auto" w:sz="4" w:space="0"/>
              <w:left w:val="nil"/>
              <w:bottom w:val="single" w:color="auto" w:sz="4" w:space="0"/>
              <w:right w:val="single" w:color="auto" w:sz="4" w:space="0"/>
            </w:tcBorders>
            <w:shd w:val="clear" w:color="auto" w:fill="auto"/>
            <w:noWrap/>
            <w:vAlign w:val="center"/>
          </w:tcPr>
          <w:p w14:paraId="1BF473A4">
            <w:pPr>
              <w:keepNext w:val="0"/>
              <w:keepLines w:val="0"/>
              <w:pageBreakBefore w:val="0"/>
              <w:widowControl/>
              <w:suppressLineNumbers w:val="0"/>
              <w:wordWrap/>
              <w:topLinePunct w:val="0"/>
              <w:autoSpaceDE/>
              <w:autoSpaceDN/>
              <w:bidi w:val="0"/>
              <w:spacing w:before="0" w:beforeAutospacing="0" w:after="0" w:afterAutospacing="0" w:line="560" w:lineRule="exact"/>
              <w:ind w:left="0" w:leftChars="0" w:right="0"/>
              <w:jc w:val="center"/>
              <w:textAlignment w:val="auto"/>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资金来源</w:t>
            </w:r>
          </w:p>
        </w:tc>
      </w:tr>
      <w:tr w14:paraId="23FD2FA8">
        <w:tblPrEx>
          <w:tblCellMar>
            <w:top w:w="0" w:type="dxa"/>
            <w:left w:w="108" w:type="dxa"/>
            <w:bottom w:w="0" w:type="dxa"/>
            <w:right w:w="108" w:type="dxa"/>
          </w:tblCellMar>
        </w:tblPrEx>
        <w:trPr>
          <w:trHeight w:val="916" w:hRule="atLeast"/>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14:paraId="49F283D8">
            <w:pPr>
              <w:keepNext w:val="0"/>
              <w:keepLines w:val="0"/>
              <w:pageBreakBefore w:val="0"/>
              <w:widowControl/>
              <w:suppressLineNumbers w:val="0"/>
              <w:wordWrap/>
              <w:topLinePunct w:val="0"/>
              <w:autoSpaceDE/>
              <w:autoSpaceDN/>
              <w:bidi w:val="0"/>
              <w:spacing w:before="0" w:beforeAutospacing="0" w:after="0" w:afterAutospacing="0" w:line="560" w:lineRule="exact"/>
              <w:ind w:left="0" w:leftChars="0" w:right="0"/>
              <w:jc w:val="center"/>
              <w:textAlignment w:val="auto"/>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居家养老上门服务</w:t>
            </w:r>
          </w:p>
        </w:tc>
        <w:tc>
          <w:tcPr>
            <w:tcW w:w="1337" w:type="dxa"/>
            <w:tcBorders>
              <w:top w:val="nil"/>
              <w:left w:val="nil"/>
              <w:bottom w:val="single" w:color="auto" w:sz="4" w:space="0"/>
              <w:right w:val="single" w:color="auto" w:sz="4" w:space="0"/>
            </w:tcBorders>
            <w:shd w:val="clear" w:color="auto" w:fill="auto"/>
            <w:noWrap/>
            <w:vAlign w:val="center"/>
          </w:tcPr>
          <w:p w14:paraId="4458EAC8">
            <w:pPr>
              <w:keepNext w:val="0"/>
              <w:keepLines w:val="0"/>
              <w:pageBreakBefore w:val="0"/>
              <w:widowControl/>
              <w:suppressLineNumbers w:val="0"/>
              <w:wordWrap/>
              <w:topLinePunct w:val="0"/>
              <w:autoSpaceDE/>
              <w:autoSpaceDN/>
              <w:bidi w:val="0"/>
              <w:spacing w:before="0" w:beforeAutospacing="0" w:after="0" w:afterAutospacing="0" w:line="560" w:lineRule="exact"/>
              <w:ind w:left="0" w:leftChars="0" w:right="0"/>
              <w:jc w:val="center"/>
              <w:textAlignment w:val="auto"/>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居家标准</w:t>
            </w:r>
          </w:p>
        </w:tc>
        <w:tc>
          <w:tcPr>
            <w:tcW w:w="1488" w:type="dxa"/>
            <w:tcBorders>
              <w:top w:val="nil"/>
              <w:left w:val="nil"/>
              <w:bottom w:val="single" w:color="auto" w:sz="4" w:space="0"/>
              <w:right w:val="single" w:color="auto" w:sz="4" w:space="0"/>
            </w:tcBorders>
            <w:shd w:val="clear" w:color="auto" w:fill="auto"/>
            <w:noWrap/>
            <w:vAlign w:val="center"/>
          </w:tcPr>
          <w:p w14:paraId="2E9435C2">
            <w:pPr>
              <w:keepNext w:val="0"/>
              <w:keepLines w:val="0"/>
              <w:pageBreakBefore w:val="0"/>
              <w:widowControl/>
              <w:suppressLineNumbers w:val="0"/>
              <w:wordWrap/>
              <w:topLinePunct w:val="0"/>
              <w:autoSpaceDE/>
              <w:autoSpaceDN/>
              <w:bidi w:val="0"/>
              <w:spacing w:before="0" w:beforeAutospacing="0" w:after="0" w:afterAutospacing="0" w:line="560" w:lineRule="exact"/>
              <w:ind w:left="0" w:leftChars="0" w:right="0"/>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4"/>
                <w:szCs w:val="24"/>
                <w:lang w:val="en-US" w:eastAsia="zh-CN"/>
              </w:rPr>
              <w:t>70元/人.月</w:t>
            </w:r>
          </w:p>
        </w:tc>
        <w:tc>
          <w:tcPr>
            <w:tcW w:w="887" w:type="dxa"/>
            <w:tcBorders>
              <w:top w:val="nil"/>
              <w:left w:val="nil"/>
              <w:bottom w:val="single" w:color="auto" w:sz="4" w:space="0"/>
              <w:right w:val="single" w:color="auto" w:sz="4" w:space="0"/>
            </w:tcBorders>
            <w:shd w:val="clear" w:color="auto" w:fill="auto"/>
            <w:noWrap/>
            <w:vAlign w:val="center"/>
          </w:tcPr>
          <w:p w14:paraId="5400CCC9">
            <w:pPr>
              <w:keepNext w:val="0"/>
              <w:keepLines w:val="0"/>
              <w:pageBreakBefore w:val="0"/>
              <w:widowControl/>
              <w:suppressLineNumbers w:val="0"/>
              <w:wordWrap/>
              <w:topLinePunct w:val="0"/>
              <w:autoSpaceDE/>
              <w:autoSpaceDN/>
              <w:bidi w:val="0"/>
              <w:spacing w:before="0" w:beforeAutospacing="0" w:after="0" w:afterAutospacing="0" w:line="560" w:lineRule="exact"/>
              <w:ind w:left="0" w:leftChars="0" w:right="0"/>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0"/>
                <w:szCs w:val="20"/>
                <w:lang w:val="en-US" w:eastAsia="zh-CN"/>
              </w:rPr>
              <w:t>2400人</w:t>
            </w:r>
          </w:p>
        </w:tc>
        <w:tc>
          <w:tcPr>
            <w:tcW w:w="1138" w:type="dxa"/>
            <w:tcBorders>
              <w:top w:val="nil"/>
              <w:left w:val="nil"/>
              <w:bottom w:val="single" w:color="auto" w:sz="4" w:space="0"/>
              <w:right w:val="single" w:color="auto" w:sz="4" w:space="0"/>
            </w:tcBorders>
            <w:shd w:val="clear" w:color="auto" w:fill="auto"/>
            <w:noWrap/>
            <w:vAlign w:val="center"/>
          </w:tcPr>
          <w:p w14:paraId="0D23868E">
            <w:pPr>
              <w:keepNext w:val="0"/>
              <w:keepLines w:val="0"/>
              <w:pageBreakBefore w:val="0"/>
              <w:widowControl/>
              <w:suppressLineNumbers w:val="0"/>
              <w:wordWrap/>
              <w:topLinePunct w:val="0"/>
              <w:autoSpaceDE/>
              <w:autoSpaceDN/>
              <w:bidi w:val="0"/>
              <w:spacing w:before="0" w:beforeAutospacing="0" w:after="0" w:afterAutospacing="0" w:line="560" w:lineRule="exact"/>
              <w:ind w:left="0" w:leftChars="0" w:right="0"/>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4"/>
                <w:szCs w:val="24"/>
                <w:lang w:val="en-US" w:eastAsia="zh-CN"/>
              </w:rPr>
              <w:t>12次/年</w:t>
            </w:r>
          </w:p>
        </w:tc>
        <w:tc>
          <w:tcPr>
            <w:tcW w:w="1537" w:type="dxa"/>
            <w:tcBorders>
              <w:top w:val="nil"/>
              <w:left w:val="nil"/>
              <w:bottom w:val="single" w:color="auto" w:sz="4" w:space="0"/>
              <w:right w:val="single" w:color="auto" w:sz="4" w:space="0"/>
            </w:tcBorders>
            <w:shd w:val="clear" w:color="auto" w:fill="auto"/>
            <w:noWrap/>
            <w:vAlign w:val="center"/>
          </w:tcPr>
          <w:p w14:paraId="23E1900F">
            <w:pPr>
              <w:keepNext w:val="0"/>
              <w:keepLines w:val="0"/>
              <w:pageBreakBefore w:val="0"/>
              <w:widowControl/>
              <w:suppressLineNumbers w:val="0"/>
              <w:wordWrap/>
              <w:topLinePunct w:val="0"/>
              <w:autoSpaceDE/>
              <w:autoSpaceDN/>
              <w:bidi w:val="0"/>
              <w:spacing w:before="0" w:beforeAutospacing="0" w:after="0" w:afterAutospacing="0" w:line="560" w:lineRule="exact"/>
              <w:ind w:left="0" w:leftChars="0" w:right="0"/>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2016000</w:t>
            </w:r>
          </w:p>
        </w:tc>
        <w:tc>
          <w:tcPr>
            <w:tcW w:w="1531" w:type="dxa"/>
            <w:tcBorders>
              <w:top w:val="nil"/>
              <w:left w:val="nil"/>
              <w:bottom w:val="single" w:color="auto" w:sz="4" w:space="0"/>
              <w:right w:val="single" w:color="auto" w:sz="4" w:space="0"/>
            </w:tcBorders>
            <w:shd w:val="clear" w:color="auto" w:fill="auto"/>
            <w:noWrap/>
            <w:vAlign w:val="center"/>
          </w:tcPr>
          <w:p w14:paraId="4A4F182C">
            <w:pPr>
              <w:keepNext w:val="0"/>
              <w:keepLines w:val="0"/>
              <w:pageBreakBefore w:val="0"/>
              <w:widowControl/>
              <w:suppressLineNumbers w:val="0"/>
              <w:wordWrap/>
              <w:topLinePunct w:val="0"/>
              <w:autoSpaceDE/>
              <w:autoSpaceDN/>
              <w:bidi w:val="0"/>
              <w:spacing w:before="0" w:beforeAutospacing="0" w:after="0" w:afterAutospacing="0" w:line="560" w:lineRule="exact"/>
              <w:ind w:left="0" w:leftChars="0" w:right="0"/>
              <w:jc w:val="center"/>
              <w:textAlignment w:val="auto"/>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县级财政</w:t>
            </w:r>
          </w:p>
        </w:tc>
      </w:tr>
      <w:tr w14:paraId="209487B0">
        <w:tblPrEx>
          <w:tblCellMar>
            <w:top w:w="0" w:type="dxa"/>
            <w:left w:w="108" w:type="dxa"/>
            <w:bottom w:w="0" w:type="dxa"/>
            <w:right w:w="108" w:type="dxa"/>
          </w:tblCellMar>
        </w:tblPrEx>
        <w:trPr>
          <w:trHeight w:val="935" w:hRule="atLeast"/>
        </w:trPr>
        <w:tc>
          <w:tcPr>
            <w:tcW w:w="8995"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73D5DBDD">
            <w:pPr>
              <w:keepNext w:val="0"/>
              <w:keepLines w:val="0"/>
              <w:pageBreakBefore w:val="0"/>
              <w:suppressLineNumbers w:val="0"/>
              <w:wordWrap/>
              <w:topLinePunct w:val="0"/>
              <w:autoSpaceDE/>
              <w:autoSpaceDN/>
              <w:bidi w:val="0"/>
              <w:spacing w:before="0" w:beforeAutospacing="0" w:after="0" w:afterAutospacing="0" w:line="560" w:lineRule="exact"/>
              <w:ind w:left="0" w:leftChars="0" w:right="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w:t>
            </w:r>
          </w:p>
          <w:p w14:paraId="0B49BCCE">
            <w:pPr>
              <w:keepNext w:val="0"/>
              <w:keepLines w:val="0"/>
              <w:pageBreakBefore w:val="0"/>
              <w:numPr>
                <w:ilvl w:val="0"/>
                <w:numId w:val="0"/>
              </w:numPr>
              <w:suppressLineNumbers w:val="0"/>
              <w:wordWrap/>
              <w:topLinePunct w:val="0"/>
              <w:autoSpaceDE/>
              <w:autoSpaceDN/>
              <w:bidi w:val="0"/>
              <w:spacing w:before="0" w:beforeAutospacing="0" w:after="0" w:afterAutospacing="0" w:line="560" w:lineRule="exact"/>
              <w:ind w:left="0" w:leftChars="0" w:righ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项目预算金额</w:t>
            </w:r>
            <w:r>
              <w:rPr>
                <w:rFonts w:hint="eastAsia" w:ascii="仿宋_GB2312" w:hAnsi="仿宋_GB2312" w:eastAsia="仿宋_GB2312" w:cs="仿宋_GB2312"/>
                <w:color w:val="auto"/>
                <w:sz w:val="28"/>
                <w:szCs w:val="28"/>
                <w:lang w:val="en-US" w:eastAsia="zh-CN"/>
              </w:rPr>
              <w:t>2016000</w:t>
            </w:r>
            <w:r>
              <w:rPr>
                <w:rFonts w:hint="eastAsia" w:ascii="仿宋_GB2312" w:hAnsi="仿宋_GB2312" w:eastAsia="仿宋_GB2312" w:cs="仿宋_GB2312"/>
                <w:color w:val="auto"/>
                <w:sz w:val="28"/>
                <w:szCs w:val="28"/>
              </w:rPr>
              <w:t>元</w:t>
            </w:r>
            <w:r>
              <w:rPr>
                <w:rFonts w:hint="eastAsia" w:ascii="仿宋_GB2312" w:hAnsi="仿宋_GB2312" w:eastAsia="仿宋_GB2312" w:cs="仿宋_GB2312"/>
                <w:color w:val="auto"/>
                <w:sz w:val="28"/>
                <w:szCs w:val="28"/>
                <w:lang w:eastAsia="zh-CN"/>
              </w:rPr>
              <w:t>，由</w:t>
            </w:r>
            <w:r>
              <w:rPr>
                <w:rFonts w:hint="eastAsia" w:ascii="仿宋_GB2312" w:hAnsi="仿宋_GB2312" w:eastAsia="仿宋_GB2312" w:cs="仿宋_GB2312"/>
                <w:color w:val="auto"/>
                <w:sz w:val="28"/>
                <w:szCs w:val="28"/>
              </w:rPr>
              <w:t>县级财政配套。</w:t>
            </w:r>
          </w:p>
          <w:p w14:paraId="60CA496F">
            <w:pPr>
              <w:keepNext w:val="0"/>
              <w:keepLines w:val="0"/>
              <w:pageBreakBefore w:val="0"/>
              <w:numPr>
                <w:ilvl w:val="0"/>
                <w:numId w:val="0"/>
              </w:numPr>
              <w:suppressLineNumbers w:val="0"/>
              <w:wordWrap/>
              <w:topLinePunct w:val="0"/>
              <w:autoSpaceDE/>
              <w:autoSpaceDN/>
              <w:bidi w:val="0"/>
              <w:spacing w:before="0" w:beforeAutospacing="0" w:after="0" w:afterAutospacing="0" w:line="560" w:lineRule="exact"/>
              <w:ind w:left="0" w:leftChars="0" w:right="0"/>
              <w:textAlignment w:val="auto"/>
              <w:rPr>
                <w:rFonts w:hint="default" w:ascii="仿宋_GB2312" w:hAnsi="仿宋_GB2312" w:eastAsia="仿宋_GB2312" w:cs="仿宋_GB2312"/>
                <w:b/>
                <w:color w:val="auto"/>
                <w:szCs w:val="28"/>
                <w:lang w:val="en-US" w:eastAsia="zh-CN"/>
              </w:rPr>
            </w:pPr>
            <w:r>
              <w:rPr>
                <w:rFonts w:hint="eastAsia" w:ascii="仿宋_GB2312" w:hAnsi="仿宋_GB2312" w:eastAsia="仿宋_GB2312" w:cs="仿宋_GB2312"/>
                <w:color w:val="auto"/>
                <w:sz w:val="28"/>
                <w:szCs w:val="28"/>
                <w:lang w:val="en-US" w:eastAsia="zh-CN"/>
              </w:rPr>
              <w:t>2、上</w:t>
            </w:r>
            <w:r>
              <w:rPr>
                <w:rFonts w:hint="eastAsia" w:ascii="仿宋_GB2312" w:hAnsi="仿宋_GB2312" w:eastAsia="仿宋_GB2312" w:cs="仿宋_GB2312"/>
                <w:color w:val="auto"/>
                <w:sz w:val="28"/>
                <w:szCs w:val="28"/>
                <w:lang w:eastAsia="zh-CN"/>
              </w:rPr>
              <w:t>门服务</w:t>
            </w:r>
            <w:r>
              <w:rPr>
                <w:rFonts w:hint="eastAsia" w:ascii="仿宋_GB2312" w:hAnsi="仿宋_GB2312" w:eastAsia="仿宋_GB2312" w:cs="仿宋_GB2312"/>
                <w:color w:val="auto"/>
                <w:sz w:val="28"/>
                <w:szCs w:val="28"/>
              </w:rPr>
              <w:t>按照</w:t>
            </w:r>
            <w:r>
              <w:rPr>
                <w:rFonts w:hint="eastAsia" w:ascii="仿宋_GB2312" w:hAnsi="仿宋_GB2312" w:eastAsia="仿宋_GB2312" w:cs="仿宋_GB2312"/>
                <w:color w:val="auto"/>
                <w:sz w:val="28"/>
                <w:szCs w:val="28"/>
                <w:lang w:val="en-US" w:eastAsia="zh-CN"/>
              </w:rPr>
              <w:t>70</w:t>
            </w:r>
            <w:r>
              <w:rPr>
                <w:rFonts w:hint="eastAsia" w:ascii="仿宋_GB2312" w:hAnsi="仿宋_GB2312" w:eastAsia="仿宋_GB2312" w:cs="仿宋_GB2312"/>
                <w:color w:val="auto"/>
                <w:sz w:val="28"/>
                <w:szCs w:val="28"/>
              </w:rPr>
              <w:t>元</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lang w:eastAsia="zh-CN"/>
              </w:rPr>
              <w:t>人</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月的补贴标准，全年</w:t>
            </w:r>
            <w:r>
              <w:rPr>
                <w:rFonts w:hint="eastAsia" w:ascii="仿宋_GB2312" w:hAnsi="仿宋_GB2312" w:eastAsia="仿宋_GB2312" w:cs="仿宋_GB2312"/>
                <w:color w:val="auto"/>
                <w:sz w:val="28"/>
                <w:szCs w:val="28"/>
                <w:lang w:val="en-US" w:eastAsia="zh-CN"/>
              </w:rPr>
              <w:t>12</w:t>
            </w:r>
            <w:r>
              <w:rPr>
                <w:rFonts w:hint="eastAsia" w:ascii="仿宋_GB2312" w:hAnsi="仿宋_GB2312" w:eastAsia="仿宋_GB2312" w:cs="仿宋_GB2312"/>
                <w:color w:val="auto"/>
                <w:sz w:val="28"/>
                <w:szCs w:val="28"/>
              </w:rPr>
              <w:t>次。</w:t>
            </w:r>
          </w:p>
        </w:tc>
      </w:tr>
    </w:tbl>
    <w:p w14:paraId="03EA31EE">
      <w:pPr>
        <w:pStyle w:val="3"/>
        <w:keepNext w:val="0"/>
        <w:keepLines w:val="0"/>
        <w:pageBreakBefore w:val="0"/>
        <w:kinsoku w:val="0"/>
        <w:wordWrap/>
        <w:overflowPunct w:val="0"/>
        <w:topLinePunct w:val="0"/>
        <w:autoSpaceDE/>
        <w:autoSpaceDN/>
        <w:bidi w:val="0"/>
        <w:spacing w:line="560" w:lineRule="exact"/>
        <w:ind w:left="0" w:left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20545F39">
      <w:pPr>
        <w:pStyle w:val="3"/>
        <w:keepNext w:val="0"/>
        <w:keepLines w:val="0"/>
        <w:pageBreakBefore w:val="0"/>
        <w:kinsoku w:val="0"/>
        <w:wordWrap/>
        <w:overflowPunct w:val="0"/>
        <w:topLinePunct w:val="0"/>
        <w:autoSpaceDE/>
        <w:autoSpaceDN/>
        <w:bidi w:val="0"/>
        <w:spacing w:line="560" w:lineRule="exact"/>
        <w:ind w:left="0" w:leftChars="0"/>
        <w:textAlignment w:val="auto"/>
        <w:rPr>
          <w:rFonts w:hint="eastAsia" w:ascii="黑体" w:hAnsi="黑体" w:eastAsia="黑体"/>
          <w:color w:val="000000" w:themeColor="text1"/>
          <w:sz w:val="32"/>
          <w:szCs w:val="32"/>
          <w:lang w:val="en-US" w:eastAsia="zh-CN"/>
          <w14:textFill>
            <w14:solidFill>
              <w14:schemeClr w14:val="tx1"/>
            </w14:solidFill>
          </w14:textFill>
        </w:rPr>
      </w:pPr>
    </w:p>
    <w:p w14:paraId="2C831FE2">
      <w:pPr>
        <w:pStyle w:val="3"/>
        <w:keepNext w:val="0"/>
        <w:keepLines w:val="0"/>
        <w:pageBreakBefore w:val="0"/>
        <w:kinsoku w:val="0"/>
        <w:wordWrap/>
        <w:overflowPunct w:val="0"/>
        <w:topLinePunct w:val="0"/>
        <w:autoSpaceDE/>
        <w:autoSpaceDN/>
        <w:bidi w:val="0"/>
        <w:spacing w:line="560" w:lineRule="exact"/>
        <w:ind w:left="0" w:leftChars="0"/>
        <w:textAlignment w:val="auto"/>
        <w:rPr>
          <w:rFonts w:hint="eastAsia" w:ascii="黑体" w:hAnsi="黑体" w:eastAsia="黑体"/>
          <w:color w:val="000000" w:themeColor="text1"/>
          <w:sz w:val="32"/>
          <w:szCs w:val="32"/>
          <w:lang w:val="en-US" w:eastAsia="zh-CN"/>
          <w14:textFill>
            <w14:solidFill>
              <w14:schemeClr w14:val="tx1"/>
            </w14:solidFill>
          </w14:textFill>
        </w:rPr>
      </w:pPr>
    </w:p>
    <w:p w14:paraId="58E4E815">
      <w:pPr>
        <w:pStyle w:val="3"/>
        <w:keepNext w:val="0"/>
        <w:keepLines w:val="0"/>
        <w:pageBreakBefore w:val="0"/>
        <w:kinsoku w:val="0"/>
        <w:wordWrap/>
        <w:overflowPunct w:val="0"/>
        <w:topLinePunct w:val="0"/>
        <w:autoSpaceDE/>
        <w:autoSpaceDN/>
        <w:bidi w:val="0"/>
        <w:spacing w:line="560" w:lineRule="exact"/>
        <w:ind w:left="0" w:leftChars="0"/>
        <w:textAlignment w:val="auto"/>
        <w:rPr>
          <w:rFonts w:hint="eastAsia" w:ascii="黑体" w:hAnsi="黑体" w:eastAsia="黑体"/>
          <w:color w:val="000000" w:themeColor="text1"/>
          <w:sz w:val="32"/>
          <w:szCs w:val="32"/>
          <w:lang w:val="en-US" w:eastAsia="zh-CN"/>
          <w14:textFill>
            <w14:solidFill>
              <w14:schemeClr w14:val="tx1"/>
            </w14:solidFill>
          </w14:textFill>
        </w:rPr>
      </w:pPr>
    </w:p>
    <w:p w14:paraId="011647C6">
      <w:pPr>
        <w:pStyle w:val="3"/>
        <w:keepNext w:val="0"/>
        <w:keepLines w:val="0"/>
        <w:pageBreakBefore w:val="0"/>
        <w:kinsoku w:val="0"/>
        <w:wordWrap/>
        <w:overflowPunct w:val="0"/>
        <w:topLinePunct w:val="0"/>
        <w:autoSpaceDE/>
        <w:autoSpaceDN/>
        <w:bidi w:val="0"/>
        <w:spacing w:line="560" w:lineRule="exact"/>
        <w:ind w:left="0" w:leftChars="0"/>
        <w:textAlignment w:val="auto"/>
        <w:rPr>
          <w:rFonts w:hint="eastAsia" w:ascii="黑体" w:hAnsi="黑体" w:eastAsia="黑体"/>
          <w:color w:val="000000" w:themeColor="text1"/>
          <w:sz w:val="32"/>
          <w:szCs w:val="32"/>
          <w:lang w:val="en-US" w:eastAsia="zh-CN"/>
          <w14:textFill>
            <w14:solidFill>
              <w14:schemeClr w14:val="tx1"/>
            </w14:solidFill>
          </w14:textFill>
        </w:rPr>
      </w:pPr>
    </w:p>
    <w:p w14:paraId="3A4ECFDD">
      <w:pPr>
        <w:pStyle w:val="3"/>
        <w:keepNext w:val="0"/>
        <w:keepLines w:val="0"/>
        <w:pageBreakBefore w:val="0"/>
        <w:kinsoku w:val="0"/>
        <w:wordWrap/>
        <w:overflowPunct w:val="0"/>
        <w:topLinePunct w:val="0"/>
        <w:autoSpaceDE/>
        <w:autoSpaceDN/>
        <w:bidi w:val="0"/>
        <w:spacing w:line="560" w:lineRule="exact"/>
        <w:ind w:left="0" w:leftChars="0"/>
        <w:textAlignment w:val="auto"/>
        <w:rPr>
          <w:rFonts w:hint="eastAsia" w:ascii="黑体" w:hAnsi="黑体" w:eastAsia="黑体"/>
          <w:color w:val="000000" w:themeColor="text1"/>
          <w:sz w:val="32"/>
          <w:szCs w:val="32"/>
          <w:lang w:val="en-US" w:eastAsia="zh-CN"/>
          <w14:textFill>
            <w14:solidFill>
              <w14:schemeClr w14:val="tx1"/>
            </w14:solidFill>
          </w14:textFill>
        </w:rPr>
      </w:pPr>
    </w:p>
    <w:p w14:paraId="4CD67EE2">
      <w:pPr>
        <w:pStyle w:val="3"/>
        <w:keepNext w:val="0"/>
        <w:keepLines w:val="0"/>
        <w:pageBreakBefore w:val="0"/>
        <w:kinsoku w:val="0"/>
        <w:wordWrap/>
        <w:overflowPunct w:val="0"/>
        <w:topLinePunct w:val="0"/>
        <w:autoSpaceDE/>
        <w:autoSpaceDN/>
        <w:bidi w:val="0"/>
        <w:spacing w:line="560" w:lineRule="exact"/>
        <w:ind w:left="0" w:leftChars="0"/>
        <w:textAlignment w:val="auto"/>
        <w:rPr>
          <w:rFonts w:hint="eastAsia" w:ascii="黑体" w:hAnsi="黑体" w:eastAsia="黑体"/>
          <w:color w:val="000000" w:themeColor="text1"/>
          <w:sz w:val="32"/>
          <w:szCs w:val="32"/>
          <w:lang w:val="en-US" w:eastAsia="zh-CN"/>
          <w14:textFill>
            <w14:solidFill>
              <w14:schemeClr w14:val="tx1"/>
            </w14:solidFill>
          </w14:textFill>
        </w:rPr>
      </w:pPr>
    </w:p>
    <w:p w14:paraId="1D4F87C5">
      <w:pPr>
        <w:pStyle w:val="3"/>
        <w:keepNext w:val="0"/>
        <w:keepLines w:val="0"/>
        <w:pageBreakBefore w:val="0"/>
        <w:kinsoku w:val="0"/>
        <w:wordWrap/>
        <w:overflowPunct w:val="0"/>
        <w:topLinePunct w:val="0"/>
        <w:autoSpaceDE/>
        <w:autoSpaceDN/>
        <w:bidi w:val="0"/>
        <w:spacing w:line="560" w:lineRule="exact"/>
        <w:ind w:left="0" w:leftChars="0"/>
        <w:textAlignment w:val="auto"/>
        <w:rPr>
          <w:rFonts w:hint="eastAsia" w:ascii="黑体" w:hAnsi="黑体" w:eastAsia="黑体"/>
          <w:color w:val="000000" w:themeColor="text1"/>
          <w:sz w:val="32"/>
          <w:szCs w:val="32"/>
          <w:lang w:val="en-US" w:eastAsia="zh-CN"/>
          <w14:textFill>
            <w14:solidFill>
              <w14:schemeClr w14:val="tx1"/>
            </w14:solidFill>
          </w14:textFill>
        </w:rPr>
      </w:pPr>
    </w:p>
    <w:sectPr>
      <w:footerReference r:id="rId3" w:type="default"/>
      <w:pgSz w:w="11911" w:h="16838" w:orient="landscape"/>
      <w:pgMar w:top="1587" w:right="1587" w:bottom="1587" w:left="1587" w:header="851" w:footer="992" w:gutter="0"/>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001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YaHei UI">
    <w:altName w:val="宋体"/>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A249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AE0A49">
                          <w:pPr>
                            <w:pStyle w:val="5"/>
                            <w:rPr>
                              <w:rFonts w:hint="eastAsia" w:ascii="仿宋_GB2312" w:hAnsi="仿宋_GB2312" w:eastAsia="仿宋_GB2312" w:cs="仿宋_GB2312"/>
                              <w:sz w:val="21"/>
                              <w:szCs w:val="21"/>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AE0A49">
                    <w:pPr>
                      <w:pStyle w:val="5"/>
                      <w:rPr>
                        <w:rFonts w:hint="eastAsia" w:ascii="仿宋_GB2312" w:hAnsi="仿宋_GB2312" w:eastAsia="仿宋_GB2312" w:cs="仿宋_GB2312"/>
                        <w:sz w:val="21"/>
                        <w:szCs w:val="21"/>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16454C"/>
    <w:multiLevelType w:val="singleLevel"/>
    <w:tmpl w:val="FE1645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bookFoldPrinting w:val="1"/>
  <w:bookFoldPrintingSheets w:val="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FF0F38"/>
    <w:rsid w:val="00F5402C"/>
    <w:rsid w:val="010D427B"/>
    <w:rsid w:val="011F0B95"/>
    <w:rsid w:val="012515C4"/>
    <w:rsid w:val="013B2B96"/>
    <w:rsid w:val="01F0204E"/>
    <w:rsid w:val="01F33470"/>
    <w:rsid w:val="029702A0"/>
    <w:rsid w:val="02D92666"/>
    <w:rsid w:val="02F94AB6"/>
    <w:rsid w:val="033E4BBF"/>
    <w:rsid w:val="03B22EB7"/>
    <w:rsid w:val="03B44FCF"/>
    <w:rsid w:val="041358F2"/>
    <w:rsid w:val="04187016"/>
    <w:rsid w:val="042C2C6A"/>
    <w:rsid w:val="043827FD"/>
    <w:rsid w:val="053242B0"/>
    <w:rsid w:val="054144F3"/>
    <w:rsid w:val="05453FE3"/>
    <w:rsid w:val="057C377D"/>
    <w:rsid w:val="063B305F"/>
    <w:rsid w:val="06782196"/>
    <w:rsid w:val="067D59FE"/>
    <w:rsid w:val="073E6F3C"/>
    <w:rsid w:val="07683FB9"/>
    <w:rsid w:val="07746801"/>
    <w:rsid w:val="077A1F3E"/>
    <w:rsid w:val="08291588"/>
    <w:rsid w:val="0845254C"/>
    <w:rsid w:val="089A2898"/>
    <w:rsid w:val="08F655F4"/>
    <w:rsid w:val="08FC0E5C"/>
    <w:rsid w:val="091471B0"/>
    <w:rsid w:val="09287720"/>
    <w:rsid w:val="095F763D"/>
    <w:rsid w:val="09A16F32"/>
    <w:rsid w:val="0A137F1C"/>
    <w:rsid w:val="0A595E3B"/>
    <w:rsid w:val="0AEE6ECB"/>
    <w:rsid w:val="0BA83509"/>
    <w:rsid w:val="0BB05F2E"/>
    <w:rsid w:val="0BBF43C3"/>
    <w:rsid w:val="0BC47C2C"/>
    <w:rsid w:val="0C281F69"/>
    <w:rsid w:val="0C394176"/>
    <w:rsid w:val="0C405504"/>
    <w:rsid w:val="0C7D22B4"/>
    <w:rsid w:val="0E2A1FC8"/>
    <w:rsid w:val="0E3D58F7"/>
    <w:rsid w:val="0E727773"/>
    <w:rsid w:val="0E77C15E"/>
    <w:rsid w:val="0E9953A0"/>
    <w:rsid w:val="0E9B1118"/>
    <w:rsid w:val="0F0C791F"/>
    <w:rsid w:val="0F22295F"/>
    <w:rsid w:val="0F2C7FC2"/>
    <w:rsid w:val="0F916077"/>
    <w:rsid w:val="0FA45DAA"/>
    <w:rsid w:val="0FD52407"/>
    <w:rsid w:val="0FE12B5A"/>
    <w:rsid w:val="0FFF2D21"/>
    <w:rsid w:val="10280789"/>
    <w:rsid w:val="103E1D5B"/>
    <w:rsid w:val="112E0021"/>
    <w:rsid w:val="11B5604C"/>
    <w:rsid w:val="12135469"/>
    <w:rsid w:val="121B406E"/>
    <w:rsid w:val="13165211"/>
    <w:rsid w:val="14C82772"/>
    <w:rsid w:val="14E31122"/>
    <w:rsid w:val="15064605"/>
    <w:rsid w:val="15252DED"/>
    <w:rsid w:val="155E2E9F"/>
    <w:rsid w:val="158C6B38"/>
    <w:rsid w:val="15D078F9"/>
    <w:rsid w:val="161D68B6"/>
    <w:rsid w:val="166B5873"/>
    <w:rsid w:val="16704C38"/>
    <w:rsid w:val="1767428D"/>
    <w:rsid w:val="178C3CF3"/>
    <w:rsid w:val="17FF6273"/>
    <w:rsid w:val="18A64941"/>
    <w:rsid w:val="18D85379"/>
    <w:rsid w:val="191256FF"/>
    <w:rsid w:val="192A5572"/>
    <w:rsid w:val="198B3B37"/>
    <w:rsid w:val="19940C3D"/>
    <w:rsid w:val="19D90D46"/>
    <w:rsid w:val="19DB4ABE"/>
    <w:rsid w:val="1A3348FA"/>
    <w:rsid w:val="1A6A7BF0"/>
    <w:rsid w:val="1A9F5AEC"/>
    <w:rsid w:val="1AB95442"/>
    <w:rsid w:val="1AC13CB4"/>
    <w:rsid w:val="1AC250FF"/>
    <w:rsid w:val="1AFF47DC"/>
    <w:rsid w:val="1B5608A7"/>
    <w:rsid w:val="1B6050F1"/>
    <w:rsid w:val="1C2D5481"/>
    <w:rsid w:val="1C80194D"/>
    <w:rsid w:val="1C850D11"/>
    <w:rsid w:val="1C8B27CB"/>
    <w:rsid w:val="1CAF0748"/>
    <w:rsid w:val="1CDF0421"/>
    <w:rsid w:val="1CF00F22"/>
    <w:rsid w:val="1CF57C45"/>
    <w:rsid w:val="1DA03EEE"/>
    <w:rsid w:val="1E0016AF"/>
    <w:rsid w:val="1E172C92"/>
    <w:rsid w:val="1E4A3FC0"/>
    <w:rsid w:val="1E6C03DB"/>
    <w:rsid w:val="1E9008BD"/>
    <w:rsid w:val="1E9971C1"/>
    <w:rsid w:val="1F36100F"/>
    <w:rsid w:val="1F9A4AD4"/>
    <w:rsid w:val="1FDE4C34"/>
    <w:rsid w:val="20C4005A"/>
    <w:rsid w:val="21004E0A"/>
    <w:rsid w:val="21060FFD"/>
    <w:rsid w:val="216F0E45"/>
    <w:rsid w:val="21BF4CC5"/>
    <w:rsid w:val="22484CBB"/>
    <w:rsid w:val="224F1BA5"/>
    <w:rsid w:val="225B49EE"/>
    <w:rsid w:val="22B21A79"/>
    <w:rsid w:val="23C966D4"/>
    <w:rsid w:val="23E959E9"/>
    <w:rsid w:val="24003A9F"/>
    <w:rsid w:val="2423153B"/>
    <w:rsid w:val="244020ED"/>
    <w:rsid w:val="24AC7783"/>
    <w:rsid w:val="25251CC1"/>
    <w:rsid w:val="253E7682"/>
    <w:rsid w:val="25626093"/>
    <w:rsid w:val="257638ED"/>
    <w:rsid w:val="2604714B"/>
    <w:rsid w:val="262F241A"/>
    <w:rsid w:val="26B02E2F"/>
    <w:rsid w:val="272F01F7"/>
    <w:rsid w:val="27734588"/>
    <w:rsid w:val="27A344DB"/>
    <w:rsid w:val="291678C1"/>
    <w:rsid w:val="29BF3AB4"/>
    <w:rsid w:val="29E32A3C"/>
    <w:rsid w:val="2A6401B8"/>
    <w:rsid w:val="2A686ED9"/>
    <w:rsid w:val="2AB7478C"/>
    <w:rsid w:val="2ADE14D6"/>
    <w:rsid w:val="2B5A33ED"/>
    <w:rsid w:val="2B733B33"/>
    <w:rsid w:val="2B9B22FF"/>
    <w:rsid w:val="2BD91E22"/>
    <w:rsid w:val="2BF56D35"/>
    <w:rsid w:val="2C167BD8"/>
    <w:rsid w:val="2C4E1120"/>
    <w:rsid w:val="2C646BB5"/>
    <w:rsid w:val="2C8B71EF"/>
    <w:rsid w:val="2CB30D3F"/>
    <w:rsid w:val="2CD535EF"/>
    <w:rsid w:val="2D0B7011"/>
    <w:rsid w:val="2D2D51D9"/>
    <w:rsid w:val="2D5409B8"/>
    <w:rsid w:val="2D6C5D01"/>
    <w:rsid w:val="2D8A262B"/>
    <w:rsid w:val="2DA07759"/>
    <w:rsid w:val="2E530C6F"/>
    <w:rsid w:val="2E893E61"/>
    <w:rsid w:val="2EB86423"/>
    <w:rsid w:val="2F08624D"/>
    <w:rsid w:val="2F106B60"/>
    <w:rsid w:val="2F956461"/>
    <w:rsid w:val="2F9B0B20"/>
    <w:rsid w:val="300264A9"/>
    <w:rsid w:val="30391DF8"/>
    <w:rsid w:val="30803872"/>
    <w:rsid w:val="30B57283"/>
    <w:rsid w:val="30B654E5"/>
    <w:rsid w:val="31232B7B"/>
    <w:rsid w:val="31466869"/>
    <w:rsid w:val="31BD7CCC"/>
    <w:rsid w:val="323A06AB"/>
    <w:rsid w:val="324A2389"/>
    <w:rsid w:val="32C91500"/>
    <w:rsid w:val="32DD31FD"/>
    <w:rsid w:val="333746BC"/>
    <w:rsid w:val="33925D96"/>
    <w:rsid w:val="34346E4D"/>
    <w:rsid w:val="345C1AE2"/>
    <w:rsid w:val="345F4166"/>
    <w:rsid w:val="348002E4"/>
    <w:rsid w:val="34A57D4B"/>
    <w:rsid w:val="34B44D7F"/>
    <w:rsid w:val="34B63D06"/>
    <w:rsid w:val="34B955A4"/>
    <w:rsid w:val="3643781B"/>
    <w:rsid w:val="366C0B20"/>
    <w:rsid w:val="37011D34"/>
    <w:rsid w:val="372E2279"/>
    <w:rsid w:val="38761300"/>
    <w:rsid w:val="387A2412"/>
    <w:rsid w:val="387C7014"/>
    <w:rsid w:val="388C6C7A"/>
    <w:rsid w:val="3894610C"/>
    <w:rsid w:val="38C34C43"/>
    <w:rsid w:val="38D46E50"/>
    <w:rsid w:val="38D562CC"/>
    <w:rsid w:val="391805C3"/>
    <w:rsid w:val="397F199A"/>
    <w:rsid w:val="39873EC3"/>
    <w:rsid w:val="3A6A7A6C"/>
    <w:rsid w:val="3AE35129"/>
    <w:rsid w:val="3B8A781E"/>
    <w:rsid w:val="3BBD597A"/>
    <w:rsid w:val="3BE57EB5"/>
    <w:rsid w:val="3C2B6D87"/>
    <w:rsid w:val="3D1141CF"/>
    <w:rsid w:val="3D257C7B"/>
    <w:rsid w:val="3D624A2B"/>
    <w:rsid w:val="3D6E1622"/>
    <w:rsid w:val="3E167329"/>
    <w:rsid w:val="3E344619"/>
    <w:rsid w:val="3E396F25"/>
    <w:rsid w:val="3E570308"/>
    <w:rsid w:val="3EB241DA"/>
    <w:rsid w:val="3EFA8F83"/>
    <w:rsid w:val="3F566811"/>
    <w:rsid w:val="3FE58789"/>
    <w:rsid w:val="4012098A"/>
    <w:rsid w:val="4061721C"/>
    <w:rsid w:val="40A84E4B"/>
    <w:rsid w:val="40BF3F42"/>
    <w:rsid w:val="40FC6F44"/>
    <w:rsid w:val="41546D80"/>
    <w:rsid w:val="423F17DF"/>
    <w:rsid w:val="424010B3"/>
    <w:rsid w:val="42934744"/>
    <w:rsid w:val="42FA0E54"/>
    <w:rsid w:val="42FAC985"/>
    <w:rsid w:val="431B5DA8"/>
    <w:rsid w:val="43571574"/>
    <w:rsid w:val="43880F63"/>
    <w:rsid w:val="438E5994"/>
    <w:rsid w:val="43B92ECB"/>
    <w:rsid w:val="43DF5027"/>
    <w:rsid w:val="440A3726"/>
    <w:rsid w:val="44254A04"/>
    <w:rsid w:val="44503BB9"/>
    <w:rsid w:val="44F93D86"/>
    <w:rsid w:val="451B69DA"/>
    <w:rsid w:val="4530540F"/>
    <w:rsid w:val="463F779D"/>
    <w:rsid w:val="46C67345"/>
    <w:rsid w:val="489269B3"/>
    <w:rsid w:val="48E21116"/>
    <w:rsid w:val="48EE0754"/>
    <w:rsid w:val="490746D8"/>
    <w:rsid w:val="49520049"/>
    <w:rsid w:val="49D5670E"/>
    <w:rsid w:val="4A30532F"/>
    <w:rsid w:val="4A767D68"/>
    <w:rsid w:val="4A857FAB"/>
    <w:rsid w:val="4B7E5126"/>
    <w:rsid w:val="4BD411EA"/>
    <w:rsid w:val="4BDA4326"/>
    <w:rsid w:val="4C2B6B19"/>
    <w:rsid w:val="4C3D6D8F"/>
    <w:rsid w:val="4C4C5224"/>
    <w:rsid w:val="4C7958ED"/>
    <w:rsid w:val="4D6E2F78"/>
    <w:rsid w:val="4D771E56"/>
    <w:rsid w:val="4D8056D5"/>
    <w:rsid w:val="4DDC6134"/>
    <w:rsid w:val="4E1E474B"/>
    <w:rsid w:val="4E3715BC"/>
    <w:rsid w:val="4E636855"/>
    <w:rsid w:val="4F5B752C"/>
    <w:rsid w:val="4FB530E0"/>
    <w:rsid w:val="4FB8497E"/>
    <w:rsid w:val="501E0C85"/>
    <w:rsid w:val="5041429D"/>
    <w:rsid w:val="508F3931"/>
    <w:rsid w:val="50DE1214"/>
    <w:rsid w:val="51DC16DA"/>
    <w:rsid w:val="51DD691E"/>
    <w:rsid w:val="51F31C9E"/>
    <w:rsid w:val="531B5950"/>
    <w:rsid w:val="53561BE0"/>
    <w:rsid w:val="5394125E"/>
    <w:rsid w:val="540B32CF"/>
    <w:rsid w:val="541D74A6"/>
    <w:rsid w:val="54271FE7"/>
    <w:rsid w:val="54F77CF7"/>
    <w:rsid w:val="553A3448"/>
    <w:rsid w:val="567A6A7A"/>
    <w:rsid w:val="56E36785"/>
    <w:rsid w:val="56F13231"/>
    <w:rsid w:val="57027519"/>
    <w:rsid w:val="57763155"/>
    <w:rsid w:val="57BD6FD6"/>
    <w:rsid w:val="57CB6E0C"/>
    <w:rsid w:val="57D4431F"/>
    <w:rsid w:val="583F5C3D"/>
    <w:rsid w:val="58613E05"/>
    <w:rsid w:val="58BF6D7E"/>
    <w:rsid w:val="58D740C7"/>
    <w:rsid w:val="58DE5456"/>
    <w:rsid w:val="59050C34"/>
    <w:rsid w:val="590D7AE9"/>
    <w:rsid w:val="595B0854"/>
    <w:rsid w:val="595E4CE0"/>
    <w:rsid w:val="595E6596"/>
    <w:rsid w:val="59653481"/>
    <w:rsid w:val="59871007"/>
    <w:rsid w:val="59B32515"/>
    <w:rsid w:val="5A0E1D6B"/>
    <w:rsid w:val="5A3A490E"/>
    <w:rsid w:val="5A5B4884"/>
    <w:rsid w:val="5AF076C2"/>
    <w:rsid w:val="5B5068D8"/>
    <w:rsid w:val="5BDE5410"/>
    <w:rsid w:val="5C8B76A2"/>
    <w:rsid w:val="5C8C1EC4"/>
    <w:rsid w:val="5C8C341B"/>
    <w:rsid w:val="5D305DF0"/>
    <w:rsid w:val="5D811E11"/>
    <w:rsid w:val="5D823F89"/>
    <w:rsid w:val="5D8B5480"/>
    <w:rsid w:val="5DC63DAB"/>
    <w:rsid w:val="5E287173"/>
    <w:rsid w:val="5E663254"/>
    <w:rsid w:val="5E9A1E1F"/>
    <w:rsid w:val="5EAF7A90"/>
    <w:rsid w:val="5EBEBF71"/>
    <w:rsid w:val="5ECE4D17"/>
    <w:rsid w:val="5EEC01A1"/>
    <w:rsid w:val="5F931615"/>
    <w:rsid w:val="5F93686E"/>
    <w:rsid w:val="5FD2230E"/>
    <w:rsid w:val="5FF612D7"/>
    <w:rsid w:val="60AF76D8"/>
    <w:rsid w:val="60D1764E"/>
    <w:rsid w:val="60E23609"/>
    <w:rsid w:val="6118702B"/>
    <w:rsid w:val="613F38F1"/>
    <w:rsid w:val="617F52FC"/>
    <w:rsid w:val="61F9738B"/>
    <w:rsid w:val="626F5370"/>
    <w:rsid w:val="62F65EA5"/>
    <w:rsid w:val="637114CE"/>
    <w:rsid w:val="638D6ECA"/>
    <w:rsid w:val="639C3149"/>
    <w:rsid w:val="639F1C85"/>
    <w:rsid w:val="646507D9"/>
    <w:rsid w:val="646B7DB9"/>
    <w:rsid w:val="64A57CAA"/>
    <w:rsid w:val="64BE25DF"/>
    <w:rsid w:val="6502427A"/>
    <w:rsid w:val="6515190C"/>
    <w:rsid w:val="65183A9D"/>
    <w:rsid w:val="656960A7"/>
    <w:rsid w:val="65744A4C"/>
    <w:rsid w:val="658D71C3"/>
    <w:rsid w:val="65F362B8"/>
    <w:rsid w:val="667C5D5C"/>
    <w:rsid w:val="676F0F89"/>
    <w:rsid w:val="67EC1211"/>
    <w:rsid w:val="67FD51CC"/>
    <w:rsid w:val="680176A9"/>
    <w:rsid w:val="681C38A5"/>
    <w:rsid w:val="68821CC5"/>
    <w:rsid w:val="68C06926"/>
    <w:rsid w:val="68E00D76"/>
    <w:rsid w:val="69C441F4"/>
    <w:rsid w:val="69F8719C"/>
    <w:rsid w:val="6A404B28"/>
    <w:rsid w:val="6B0C224B"/>
    <w:rsid w:val="6B0F76F1"/>
    <w:rsid w:val="6B6D4417"/>
    <w:rsid w:val="6B934040"/>
    <w:rsid w:val="6BF863D7"/>
    <w:rsid w:val="6C060AF4"/>
    <w:rsid w:val="6C272818"/>
    <w:rsid w:val="6C835F4E"/>
    <w:rsid w:val="6CB247D7"/>
    <w:rsid w:val="6CF46B9E"/>
    <w:rsid w:val="6D5C2995"/>
    <w:rsid w:val="6D792F7E"/>
    <w:rsid w:val="6D9A31C0"/>
    <w:rsid w:val="6DA46816"/>
    <w:rsid w:val="6DF66946"/>
    <w:rsid w:val="6E6A7810"/>
    <w:rsid w:val="6F3911E0"/>
    <w:rsid w:val="6F3C65DA"/>
    <w:rsid w:val="6F6F3387"/>
    <w:rsid w:val="6F9F7969"/>
    <w:rsid w:val="6FA128E1"/>
    <w:rsid w:val="6FAF4FFE"/>
    <w:rsid w:val="6FEF3CBB"/>
    <w:rsid w:val="70221C74"/>
    <w:rsid w:val="7064228D"/>
    <w:rsid w:val="706B57A4"/>
    <w:rsid w:val="708B7819"/>
    <w:rsid w:val="70B7060E"/>
    <w:rsid w:val="70DF7B65"/>
    <w:rsid w:val="710D46D2"/>
    <w:rsid w:val="71357785"/>
    <w:rsid w:val="7137174F"/>
    <w:rsid w:val="72563E57"/>
    <w:rsid w:val="727F33AE"/>
    <w:rsid w:val="728075B7"/>
    <w:rsid w:val="72D0378E"/>
    <w:rsid w:val="72EC0317"/>
    <w:rsid w:val="72FF0F38"/>
    <w:rsid w:val="7346211D"/>
    <w:rsid w:val="73CB4205"/>
    <w:rsid w:val="73CB43D1"/>
    <w:rsid w:val="74B84955"/>
    <w:rsid w:val="74F05C86"/>
    <w:rsid w:val="74FA2108"/>
    <w:rsid w:val="75023E22"/>
    <w:rsid w:val="7513602F"/>
    <w:rsid w:val="751A5610"/>
    <w:rsid w:val="75F55735"/>
    <w:rsid w:val="76500BBD"/>
    <w:rsid w:val="76614383"/>
    <w:rsid w:val="7683584E"/>
    <w:rsid w:val="76854D0B"/>
    <w:rsid w:val="76A553AD"/>
    <w:rsid w:val="772A140E"/>
    <w:rsid w:val="77BA4FFE"/>
    <w:rsid w:val="77EF7995"/>
    <w:rsid w:val="785E75C1"/>
    <w:rsid w:val="78B227CF"/>
    <w:rsid w:val="78B83176"/>
    <w:rsid w:val="78CF4963"/>
    <w:rsid w:val="78D37FAF"/>
    <w:rsid w:val="78EE51C1"/>
    <w:rsid w:val="79046E9B"/>
    <w:rsid w:val="794F10EF"/>
    <w:rsid w:val="79A07039"/>
    <w:rsid w:val="79A11E5C"/>
    <w:rsid w:val="7ABD0F17"/>
    <w:rsid w:val="7B2A5E81"/>
    <w:rsid w:val="7B933B32"/>
    <w:rsid w:val="7B937ECA"/>
    <w:rsid w:val="7C0B2311"/>
    <w:rsid w:val="7C9E08D4"/>
    <w:rsid w:val="7CA73C2D"/>
    <w:rsid w:val="7CCA16C9"/>
    <w:rsid w:val="7DB163E5"/>
    <w:rsid w:val="7DDB0277"/>
    <w:rsid w:val="7E3A287F"/>
    <w:rsid w:val="7E5751DF"/>
    <w:rsid w:val="7E590C18"/>
    <w:rsid w:val="7E9A50CB"/>
    <w:rsid w:val="7EE527EB"/>
    <w:rsid w:val="7F587460"/>
    <w:rsid w:val="7F5FF612"/>
    <w:rsid w:val="7FBC4DCA"/>
    <w:rsid w:val="7FFA4074"/>
    <w:rsid w:val="7FFB603E"/>
    <w:rsid w:val="7FFFE0EA"/>
    <w:rsid w:val="AFCB87FD"/>
    <w:rsid w:val="BEFF443E"/>
    <w:rsid w:val="DEB7E4D2"/>
    <w:rsid w:val="ED0D8936"/>
    <w:rsid w:val="EFC7C389"/>
    <w:rsid w:val="F7F96A3F"/>
    <w:rsid w:val="FAFF36F1"/>
    <w:rsid w:val="FE79420E"/>
    <w:rsid w:val="FEBB7382"/>
    <w:rsid w:val="FEFF713F"/>
    <w:rsid w:val="FF65E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59"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2">
    <w:name w:val="Balloon Text"/>
    <w:basedOn w:val="1"/>
    <w:next w:val="1"/>
    <w:qFormat/>
    <w:uiPriority w:val="0"/>
    <w:rPr>
      <w:sz w:val="18"/>
      <w:szCs w:val="18"/>
    </w:rPr>
  </w:style>
  <w:style w:type="paragraph" w:styleId="3">
    <w:name w:val="Body Text"/>
    <w:basedOn w:val="1"/>
    <w:qFormat/>
    <w:uiPriority w:val="0"/>
    <w:rPr>
      <w:szCs w:val="24"/>
    </w:rPr>
  </w:style>
  <w:style w:type="paragraph" w:styleId="4">
    <w:name w:val="Body Text Indent"/>
    <w:basedOn w:val="1"/>
    <w:link w:val="15"/>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2"/>
    <w:basedOn w:val="4"/>
    <w:link w:val="14"/>
    <w:qFormat/>
    <w:uiPriority w:val="99"/>
    <w:pPr>
      <w:keepNext w:val="0"/>
      <w:keepLines w:val="0"/>
      <w:widowControl w:val="0"/>
      <w:suppressLineNumbers w:val="0"/>
      <w:spacing w:before="0" w:beforeAutospacing="0" w:after="120" w:afterAutospacing="0"/>
      <w:ind w:left="420" w:leftChars="200" w:right="0" w:firstLine="420" w:firstLineChars="200"/>
      <w:jc w:val="both"/>
    </w:pPr>
    <w:rPr>
      <w:rFonts w:hint="default" w:ascii="Calibri" w:hAnsi="Calibri" w:eastAsia="宋体" w:cs="Times New Roman"/>
      <w:kern w:val="2"/>
      <w:sz w:val="21"/>
      <w:szCs w:val="24"/>
      <w:lang w:val="en-US" w:eastAsia="zh-CN" w:bidi="ar"/>
    </w:rPr>
  </w:style>
  <w:style w:type="table" w:styleId="10">
    <w:name w:val="Table Grid"/>
    <w:basedOn w:val="9"/>
    <w:semiHidden/>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customStyle="1" w:styleId="14">
    <w:name w:val="正文首行缩进 2 Char"/>
    <w:basedOn w:val="15"/>
    <w:link w:val="8"/>
    <w:qFormat/>
    <w:uiPriority w:val="0"/>
    <w:rPr>
      <w:rFonts w:hint="default" w:ascii="Calibri" w:hAnsi="Calibri" w:eastAsia="宋体" w:cs="Times New Roman"/>
      <w:kern w:val="2"/>
      <w:sz w:val="21"/>
      <w:szCs w:val="24"/>
    </w:rPr>
  </w:style>
  <w:style w:type="character" w:customStyle="1" w:styleId="15">
    <w:name w:val="正文文本缩进 Char"/>
    <w:basedOn w:val="11"/>
    <w:link w:val="4"/>
    <w:qFormat/>
    <w:uiPriority w:val="0"/>
    <w:rPr>
      <w:rFonts w:hint="default" w:ascii="Calibri" w:hAnsi="Calibri" w:eastAsia="宋体" w:cs="Times New Roman"/>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5985</Words>
  <Characters>6134</Characters>
  <Lines>0</Lines>
  <Paragraphs>0</Paragraphs>
  <TotalTime>12</TotalTime>
  <ScaleCrop>false</ScaleCrop>
  <LinksUpToDate>false</LinksUpToDate>
  <CharactersWithSpaces>6522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2025-03-20T17:29:00Z</dcterms:created>
  <dc:creator>赵盈盈</dc:creator>
  <cp:lastModifiedBy>苏凯</cp:lastModifiedBy>
  <dcterms:modified xsi:type="dcterms:W3CDTF">2025-11-20T03:05:57Z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E681F87025954A01B41892EFDE4CA23F_13</vt:lpwstr>
  </property>
  <property fmtid="{D5CDD505-2E9C-101B-9397-08002B2CF9AE}" pid="4" name="KSOTemplateDocerSaveRecord">
    <vt:lpwstr>eyJoZGlkIjoiNWQzZTg5NmFkYjRkMDA2NzhmZmE3ZTkwOTFhNDVjNDgiLCJ1c2VySWQiOiI1ODM2MTYxOTEifQ==</vt:lpwstr>
  </property>
</Properties>
</file>