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2D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里心镇人民政府</w:t>
      </w:r>
    </w:p>
    <w:p w14:paraId="691C6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关于里心镇镇办花果山公开竞价招租</w:t>
      </w:r>
    </w:p>
    <w:p w14:paraId="70ADD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的公告（第二片）</w:t>
      </w:r>
    </w:p>
    <w:bookmarkEnd w:id="0"/>
    <w:p w14:paraId="7F442B07">
      <w:pPr>
        <w:keepLines/>
        <w:spacing w:before="0" w:after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</w:p>
    <w:p w14:paraId="490C295F">
      <w:pPr>
        <w:keepLines/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仿宋_GB2312"/>
          <w:sz w:val="32"/>
          <w:szCs w:val="32"/>
        </w:rPr>
        <w:t>为加强镇属资产的管理，规范镇办果园资产管理，提升资产使用效益，现就公开竞价招租的相关事宜公告如下：</w:t>
      </w:r>
    </w:p>
    <w:p w14:paraId="013E5612">
      <w:pPr>
        <w:keepLines/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仿宋_GB2312"/>
          <w:sz w:val="32"/>
          <w:szCs w:val="32"/>
        </w:rPr>
        <w:t>一、里心镇人民政府将位于里心镇花果山的果山对外招租。具体面积以红线图为准（第二片：花排路口路边上的果山面积约72.5亩。）</w:t>
      </w:r>
    </w:p>
    <w:p w14:paraId="127B9101">
      <w:pPr>
        <w:keepLines/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仿宋_GB2312"/>
          <w:sz w:val="32"/>
          <w:szCs w:val="32"/>
        </w:rPr>
        <w:t>二、果山现有的设施以镇政府向原承包户收回的设施为准，无偿移交给承租方使用（设施在信龙这边的归第一片使用，设施在花排路口路边的归第二片使用），承租方需加强维护和管理，租期结束后按原移交标准无偿归还里心镇人民政府。</w:t>
      </w:r>
    </w:p>
    <w:p w14:paraId="3C0A5101">
      <w:pPr>
        <w:keepLines/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仿宋_GB2312"/>
          <w:sz w:val="32"/>
          <w:szCs w:val="32"/>
        </w:rPr>
        <w:t>三、招标价格：按面积以每亩每年人民币320元开始竞价。</w:t>
      </w:r>
    </w:p>
    <w:p w14:paraId="57256BA4">
      <w:pPr>
        <w:keepLines/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仿宋_GB2312"/>
          <w:sz w:val="32"/>
          <w:szCs w:val="32"/>
        </w:rPr>
        <w:t>四、招标方式以公开竞价进行，每次加价以每亩每年增加人民币20元为标准。</w:t>
      </w:r>
    </w:p>
    <w:p w14:paraId="5F245949">
      <w:pPr>
        <w:keepLines/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仿宋_GB2312"/>
          <w:sz w:val="32"/>
          <w:szCs w:val="32"/>
        </w:rPr>
        <w:t>五、承租期限：一次性竞价招租十五年期限，分三个阶段处理：第一个五年按中标价执行，第二个五年按中标价增加10%执行，第三个五年按第二个五年中标价增加10%执行。</w:t>
      </w:r>
    </w:p>
    <w:p w14:paraId="1728A71F">
      <w:pPr>
        <w:keepLines/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仿宋_GB2312"/>
          <w:sz w:val="32"/>
          <w:szCs w:val="32"/>
        </w:rPr>
        <w:t>六、付款方式：竞价结束后，中标者需在三天内（含节假日）一次性付清第一个五年期承包款，并交付人民币壹拾万元作为押金（第一、第二片按面积比例交纳），押金待全部承包期结束后一次性退还中标方。第二个五年期承包款于第一个五年期限最后一年的9月30日前交清。第三个五年期承包款于第二个五年期限最后一年的9月30日前交清。</w:t>
      </w:r>
    </w:p>
    <w:p w14:paraId="179F5AD7">
      <w:pPr>
        <w:keepLines/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仿宋_GB2312" w:cstheme="minorBidi"/>
          <w:sz w:val="32"/>
          <w:szCs w:val="32"/>
        </w:rPr>
        <w:t>七、具体承包细节以协议为准。</w:t>
      </w:r>
    </w:p>
    <w:p w14:paraId="3C61A177">
      <w:pPr>
        <w:keepLines/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仿宋_GB2312"/>
          <w:sz w:val="32"/>
          <w:szCs w:val="32"/>
        </w:rPr>
        <w:t>八、招标时间：2026年10月16日上午8点30分在里心镇人民政府三楼会议室准时开始。无需报名，参加竞价招租需交纳人民币叁万元现金作为保证金，中标后保证金转为承包期押金，不足部分与第一个五年承包费一起交纳足额，未中标者保证金当场退返。</w:t>
      </w:r>
    </w:p>
    <w:p w14:paraId="352820B4">
      <w:pPr>
        <w:keepLines/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仿宋_GB2312"/>
          <w:sz w:val="32"/>
          <w:szCs w:val="32"/>
        </w:rPr>
        <w:t>九、联系人：周毕煜，电话13338474173；陈盛云，电话13328912661；徐敏，电话18960536268。</w:t>
      </w:r>
    </w:p>
    <w:p w14:paraId="0F0926C8">
      <w:pPr>
        <w:keepLines/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仿宋_GB2312"/>
          <w:sz w:val="32"/>
          <w:szCs w:val="32"/>
        </w:rPr>
        <w:t>十、未尽事宜双方协商，协商不成按相关法律执行。</w:t>
      </w:r>
    </w:p>
    <w:p w14:paraId="0F1AD8CB">
      <w:pPr>
        <w:keepLines/>
        <w:spacing w:before="0" w:after="0" w:line="560" w:lineRule="exact"/>
        <w:ind w:right="1280" w:rightChars="400"/>
        <w:jc w:val="right"/>
      </w:pPr>
      <w:r>
        <w:rPr>
          <w:rFonts w:ascii="Times New Roman" w:hAnsi="Times New Roman" w:eastAsia="仿宋_GB2312"/>
          <w:sz w:val="32"/>
          <w:szCs w:val="32"/>
        </w:rPr>
        <w:t>里心镇人民政府</w:t>
      </w:r>
    </w:p>
    <w:p w14:paraId="473E3CB2">
      <w:pPr>
        <w:keepLines/>
        <w:spacing w:before="0" w:after="0" w:line="560" w:lineRule="exact"/>
        <w:ind w:right="640" w:rightChars="200"/>
        <w:jc w:val="right"/>
      </w:pPr>
      <w:r>
        <w:rPr>
          <w:rFonts w:ascii="Times New Roman" w:hAnsi="Times New Roman" w:eastAsia="仿宋_GB2312"/>
          <w:sz w:val="32"/>
          <w:szCs w:val="32"/>
        </w:rPr>
        <w:t>2026年10月12日</w:t>
      </w:r>
    </w:p>
    <w:sectPr>
      <w:footerReference r:id="rId3" w:type="default"/>
      <w:footerReference r:id="rId4" w:type="even"/>
      <w:pgSz w:w="11906" w:h="16838"/>
      <w:pgMar w:top="2098" w:right="1474" w:bottom="1985" w:left="1474" w:header="851" w:footer="992" w:gutter="0"/>
      <w:cols w:space="425" w:num="1"/>
      <w:docGrid w:type="lines" w:linePitch="5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D091E">
    <w:pPr>
      <w:spacing w:before="0" w:after="0"/>
      <w:jc w:val="right"/>
    </w:pPr>
    <w:r>
      <w:rPr>
        <w:rFonts w:ascii="Times New Roman" w:hAnsi="Times New Roman" w:eastAsia="宋体"/>
        <w:sz w:val="28"/>
        <w:szCs w:val="28"/>
      </w:rP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Fonts w:ascii="Times New Roman" w:hAnsi="Times New Roman" w:eastAsia="宋体"/>
        <w:sz w:val="28"/>
        <w:szCs w:val="28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B6435">
    <w:pPr>
      <w:spacing w:before="0" w:after="0"/>
      <w:jc w:val="left"/>
    </w:pPr>
    <w:r>
      <w:rPr>
        <w:rFonts w:ascii="Times New Roman" w:hAnsi="Times New Roman" w:eastAsia="宋体"/>
        <w:sz w:val="28"/>
        <w:szCs w:val="28"/>
      </w:rP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Fonts w:ascii="Times New Roman" w:hAnsi="Times New Roman" w:eastAsia="宋体"/>
        <w:sz w:val="28"/>
        <w:szCs w:val="28"/>
      </w:rPr>
      <w:t xml:space="preserve"> 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evenAndOddHeaders w:val="1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AA39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仿宋_GB2312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719</Words>
  <Characters>772</Characters>
  <TotalTime>0</TotalTime>
  <ScaleCrop>false</ScaleCrop>
  <LinksUpToDate>false</LinksUpToDate>
  <CharactersWithSpaces>772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2026-10-12T00:33:31Z</dcterms:created>
  <dc:creator>党政办1</dc:creator>
  <cp:lastModifiedBy>yolo</cp:lastModifiedBy>
  <dcterms:modified xsi:type="dcterms:W3CDTF">2026-10-12T00:35:50Z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eyJoZGlkIjoiMTgyMDI2MDgxY2JhYzYxMjVlM2Q1NDFmOTgyZTE5MDMiLCJ1c2VySWQiOiI0MDA1NTYwIn0=</vt:lpwstr>
  </property>
  <property fmtid="{D5CDD505-2E9C-101B-9397-08002B2CF9AE}" pid="3" name="KSOProductBuildVer">
    <vt:lpwstr>2052-12.1.0.23542</vt:lpwstr>
  </property>
  <property fmtid="{D5CDD505-2E9C-101B-9397-08002B2CF9AE}" pid="4" name="ICV">
    <vt:lpwstr>BDBAFAC4875240F2A8AD87EEF57D259D_13</vt:lpwstr>
  </property>
</Properties>
</file>