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spacing w:line="800" w:lineRule="exact"/>
        <w:jc w:val="center"/>
        <w:rPr>
          <w:rFonts w:ascii="黑体" w:eastAsia="黑体" w:cs="黑体"/>
          <w:b/>
          <w:bCs/>
          <w:sz w:val="48"/>
          <w:szCs w:val="48"/>
        </w:rPr>
      </w:pPr>
      <w:r>
        <w:rPr>
          <w:rFonts w:hint="eastAsia" w:ascii="黑体" w:eastAsia="黑体" w:cs="黑体"/>
          <w:b/>
          <w:bCs/>
          <w:sz w:val="48"/>
          <w:szCs w:val="48"/>
        </w:rPr>
        <w:t>2020年度建宁县</w:t>
      </w:r>
      <w:r>
        <w:rPr>
          <w:rFonts w:hint="eastAsia" w:ascii="黑体" w:eastAsia="黑体" w:cs="黑体"/>
          <w:b/>
          <w:bCs/>
          <w:sz w:val="48"/>
          <w:szCs w:val="48"/>
          <w:lang w:eastAsia="zh-CN"/>
        </w:rPr>
        <w:t>住建</w:t>
      </w:r>
      <w:r>
        <w:rPr>
          <w:rFonts w:hint="eastAsia" w:ascii="黑体" w:eastAsia="黑体" w:cs="黑体"/>
          <w:b/>
          <w:bCs/>
          <w:sz w:val="48"/>
          <w:szCs w:val="48"/>
        </w:rPr>
        <w:t>局</w:t>
      </w:r>
      <w:r>
        <w:rPr>
          <w:rFonts w:hint="eastAsia" w:ascii="黑体" w:eastAsia="黑体" w:cs="黑体"/>
          <w:b/>
          <w:bCs/>
          <w:sz w:val="48"/>
          <w:szCs w:val="48"/>
          <w:lang w:eastAsia="zh-CN"/>
        </w:rPr>
        <w:t>城市建设管理</w:t>
      </w:r>
      <w:r>
        <w:rPr>
          <w:rFonts w:hint="eastAsia" w:ascii="黑体" w:eastAsia="黑体" w:cs="黑体"/>
          <w:b/>
          <w:bCs/>
          <w:sz w:val="48"/>
          <w:szCs w:val="48"/>
        </w:rPr>
        <w:t>专项资金绩效评价报告</w:t>
      </w:r>
    </w:p>
    <w:p>
      <w:pPr>
        <w:spacing w:line="360" w:lineRule="auto"/>
        <w:jc w:val="center"/>
        <w:rPr>
          <w:rFonts w:ascii="黑体" w:eastAsia="黑体" w:cs="Times New Roman"/>
          <w:b/>
          <w:bCs/>
          <w:sz w:val="48"/>
          <w:szCs w:val="48"/>
        </w:rPr>
      </w:pPr>
    </w:p>
    <w:p>
      <w:pPr>
        <w:jc w:val="center"/>
        <w:rPr>
          <w:rFonts w:ascii="黑体" w:hAns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项目承担单位：</w:t>
      </w:r>
      <w:r>
        <w:rPr>
          <w:rFonts w:ascii="黑体" w:eastAsia="黑体" w:cs="黑体"/>
          <w:sz w:val="32"/>
          <w:szCs w:val="32"/>
          <w:u w:val="single"/>
        </w:rPr>
        <w:t xml:space="preserve">    </w:t>
      </w:r>
      <w:r>
        <w:rPr>
          <w:rFonts w:hint="eastAsia" w:ascii="黑体" w:eastAsia="黑体" w:cs="黑体"/>
          <w:sz w:val="32"/>
          <w:szCs w:val="32"/>
          <w:u w:val="single"/>
        </w:rPr>
        <w:t>建宁县</w:t>
      </w:r>
      <w:r>
        <w:rPr>
          <w:rFonts w:hint="eastAsia" w:ascii="黑体" w:eastAsia="黑体" w:cs="黑体"/>
          <w:sz w:val="32"/>
          <w:szCs w:val="32"/>
          <w:u w:val="single"/>
          <w:lang w:eastAsia="zh-CN"/>
        </w:rPr>
        <w:t>住建</w:t>
      </w:r>
      <w:r>
        <w:rPr>
          <w:rFonts w:hint="eastAsia" w:ascii="黑体" w:eastAsia="黑体" w:cs="黑体"/>
          <w:sz w:val="32"/>
          <w:szCs w:val="32"/>
          <w:u w:val="single"/>
        </w:rPr>
        <w:t>局</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w:t>
      </w:r>
      <w:r>
        <w:rPr>
          <w:rFonts w:ascii="黑体" w:eastAsia="黑体" w:cs="黑体"/>
          <w:sz w:val="13"/>
          <w:szCs w:val="13"/>
        </w:rPr>
        <w:t xml:space="preserve"> </w:t>
      </w:r>
      <w:r>
        <w:rPr>
          <w:rFonts w:hint="eastAsia" w:ascii="黑体" w:eastAsia="黑体" w:cs="黑体"/>
          <w:sz w:val="32"/>
          <w:szCs w:val="32"/>
        </w:rPr>
        <w:t>目</w:t>
      </w:r>
      <w:r>
        <w:rPr>
          <w:rFonts w:ascii="黑体" w:eastAsia="黑体" w:cs="黑体"/>
          <w:sz w:val="13"/>
          <w:szCs w:val="13"/>
        </w:rPr>
        <w:t xml:space="preserve"> </w:t>
      </w:r>
      <w:r>
        <w:rPr>
          <w:rFonts w:hint="eastAsia" w:ascii="黑体" w:eastAsia="黑体" w:cs="黑体"/>
          <w:sz w:val="32"/>
          <w:szCs w:val="32"/>
        </w:rPr>
        <w:t>负</w:t>
      </w:r>
      <w:r>
        <w:rPr>
          <w:rFonts w:ascii="黑体" w:eastAsia="黑体" w:cs="黑体"/>
          <w:sz w:val="13"/>
          <w:szCs w:val="13"/>
        </w:rPr>
        <w:t xml:space="preserve"> </w:t>
      </w:r>
      <w:r>
        <w:rPr>
          <w:rFonts w:hint="eastAsia" w:ascii="黑体" w:eastAsia="黑体" w:cs="黑体"/>
          <w:sz w:val="32"/>
          <w:szCs w:val="32"/>
        </w:rPr>
        <w:t>责</w:t>
      </w:r>
      <w:r>
        <w:rPr>
          <w:rFonts w:ascii="黑体" w:eastAsia="黑体" w:cs="黑体"/>
          <w:sz w:val="13"/>
          <w:szCs w:val="13"/>
        </w:rPr>
        <w:t xml:space="preserve"> </w:t>
      </w:r>
      <w:r>
        <w:rPr>
          <w:rFonts w:hint="eastAsia" w:ascii="黑体" w:eastAsia="黑体" w:cs="黑体"/>
          <w:sz w:val="32"/>
          <w:szCs w:val="32"/>
        </w:rPr>
        <w:t>人：</w:t>
      </w:r>
      <w:r>
        <w:rPr>
          <w:rFonts w:ascii="黑体" w:eastAsia="黑体" w:cs="黑体"/>
          <w:sz w:val="32"/>
          <w:szCs w:val="32"/>
          <w:u w:val="single"/>
        </w:rPr>
        <w:t xml:space="preserve">    </w:t>
      </w:r>
      <w:r>
        <w:rPr>
          <w:rFonts w:hint="eastAsia" w:ascii="黑体" w:eastAsia="黑体" w:cs="黑体"/>
          <w:sz w:val="32"/>
          <w:szCs w:val="32"/>
          <w:u w:val="single"/>
        </w:rPr>
        <w:t xml:space="preserve">  </w:t>
      </w:r>
      <w:r>
        <w:rPr>
          <w:rFonts w:ascii="黑体" w:eastAsia="黑体" w:cs="黑体"/>
          <w:sz w:val="32"/>
          <w:szCs w:val="32"/>
          <w:u w:val="single"/>
        </w:rPr>
        <w:t xml:space="preserve">  </w:t>
      </w:r>
      <w:r>
        <w:rPr>
          <w:rFonts w:hint="eastAsia" w:ascii="黑体" w:eastAsia="黑体" w:cs="黑体"/>
          <w:sz w:val="32"/>
          <w:szCs w:val="32"/>
          <w:u w:val="single"/>
        </w:rPr>
        <w:t>黄银才</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联</w:t>
      </w:r>
      <w:r>
        <w:rPr>
          <w:rFonts w:ascii="黑体" w:eastAsia="黑体" w:cs="黑体"/>
          <w:sz w:val="18"/>
          <w:szCs w:val="18"/>
        </w:rPr>
        <w:t xml:space="preserve">  </w:t>
      </w:r>
      <w:r>
        <w:rPr>
          <w:rFonts w:hint="eastAsia" w:ascii="黑体" w:eastAsia="黑体" w:cs="黑体"/>
          <w:sz w:val="32"/>
          <w:szCs w:val="32"/>
        </w:rPr>
        <w:t>系</w:t>
      </w:r>
      <w:r>
        <w:rPr>
          <w:rFonts w:ascii="黑体" w:eastAsia="黑体" w:cs="黑体"/>
          <w:sz w:val="18"/>
          <w:szCs w:val="18"/>
        </w:rPr>
        <w:t xml:space="preserve">  </w:t>
      </w:r>
      <w:r>
        <w:rPr>
          <w:rFonts w:hint="eastAsia" w:ascii="黑体" w:eastAsia="黑体" w:cs="黑体"/>
          <w:sz w:val="32"/>
          <w:szCs w:val="32"/>
        </w:rPr>
        <w:t>电</w:t>
      </w:r>
      <w:r>
        <w:rPr>
          <w:rFonts w:ascii="黑体" w:eastAsia="黑体" w:cs="黑体"/>
          <w:sz w:val="18"/>
          <w:szCs w:val="18"/>
        </w:rPr>
        <w:t xml:space="preserve">  </w:t>
      </w:r>
      <w:r>
        <w:rPr>
          <w:rFonts w:hint="eastAsia" w:ascii="黑体" w:eastAsia="黑体" w:cs="黑体"/>
          <w:sz w:val="32"/>
          <w:szCs w:val="32"/>
        </w:rPr>
        <w:t>话：</w:t>
      </w:r>
      <w:r>
        <w:rPr>
          <w:rFonts w:ascii="黑体" w:eastAsia="黑体" w:cs="黑体"/>
          <w:sz w:val="32"/>
          <w:szCs w:val="32"/>
          <w:u w:val="single"/>
        </w:rPr>
        <w:t xml:space="preserve">   </w:t>
      </w:r>
      <w:r>
        <w:rPr>
          <w:rFonts w:hint="eastAsia" w:ascii="黑体" w:eastAsia="黑体" w:cs="黑体"/>
          <w:sz w:val="32"/>
          <w:szCs w:val="32"/>
          <w:u w:val="single"/>
        </w:rPr>
        <w:t xml:space="preserve">  </w:t>
      </w:r>
      <w:r>
        <w:rPr>
          <w:rFonts w:ascii="黑体" w:eastAsia="黑体" w:cs="黑体"/>
          <w:sz w:val="32"/>
          <w:szCs w:val="32"/>
          <w:u w:val="single"/>
        </w:rPr>
        <w:t xml:space="preserve"> </w:t>
      </w:r>
      <w:r>
        <w:rPr>
          <w:rFonts w:hint="eastAsia" w:ascii="黑体" w:eastAsia="黑体" w:cs="黑体"/>
          <w:sz w:val="32"/>
          <w:szCs w:val="32"/>
          <w:u w:val="single"/>
        </w:rPr>
        <w:t xml:space="preserve">13850873981  </w:t>
      </w:r>
    </w:p>
    <w:p>
      <w:pPr>
        <w:spacing w:line="360" w:lineRule="auto"/>
        <w:ind w:firstLine="1104" w:firstLineChars="345"/>
        <w:rPr>
          <w:rFonts w:ascii="黑体" w:eastAsia="黑体" w:cs="Times New Roman"/>
          <w:sz w:val="32"/>
          <w:szCs w:val="32"/>
        </w:rPr>
      </w:pPr>
    </w:p>
    <w:p>
      <w:pPr>
        <w:ind w:firstLine="1120" w:firstLineChars="350"/>
        <w:rPr>
          <w:rFonts w:ascii="黑体" w:eastAsia="黑体" w:cs="Times New Roman"/>
          <w:sz w:val="32"/>
          <w:szCs w:val="32"/>
          <w:u w:val="single"/>
        </w:rPr>
      </w:pPr>
      <w:r>
        <w:rPr>
          <w:rFonts w:hint="eastAsia" w:ascii="黑体" w:eastAsia="黑体" w:cs="黑体"/>
          <w:sz w:val="32"/>
          <w:szCs w:val="32"/>
        </w:rPr>
        <w:t>项目起止时间：</w:t>
      </w:r>
      <w:r>
        <w:rPr>
          <w:rFonts w:hint="eastAsia" w:ascii="黑体" w:eastAsia="黑体" w:cs="黑体"/>
          <w:sz w:val="32"/>
          <w:szCs w:val="32"/>
          <w:u w:val="single"/>
        </w:rPr>
        <w:t>20</w:t>
      </w:r>
      <w:r>
        <w:rPr>
          <w:rFonts w:hint="eastAsia" w:ascii="黑体" w:eastAsia="黑体" w:cs="黑体"/>
          <w:sz w:val="32"/>
          <w:szCs w:val="32"/>
          <w:u w:val="single"/>
          <w:lang w:val="en-US" w:eastAsia="zh-CN"/>
        </w:rPr>
        <w:t>20</w:t>
      </w:r>
      <w:r>
        <w:rPr>
          <w:rFonts w:hint="eastAsia" w:ascii="黑体" w:eastAsia="黑体" w:cs="黑体"/>
          <w:sz w:val="32"/>
          <w:szCs w:val="32"/>
          <w:u w:val="single"/>
        </w:rPr>
        <w:t>年1月1日--12月31日</w:t>
      </w: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eastAsia="黑体" w:cs="Times New Roman"/>
          <w:b/>
          <w:bCs/>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黑体" w:eastAsia="黑体" w:cs="黑体"/>
          <w:b/>
          <w:bCs/>
          <w:sz w:val="32"/>
          <w:szCs w:val="32"/>
        </w:rPr>
        <w:t>20</w:t>
      </w:r>
      <w:r>
        <w:rPr>
          <w:rFonts w:hint="eastAsia" w:ascii="黑体" w:eastAsia="黑体" w:cs="黑体"/>
          <w:b/>
          <w:bCs/>
          <w:sz w:val="32"/>
          <w:szCs w:val="32"/>
          <w:lang w:val="en-US" w:eastAsia="zh-CN"/>
        </w:rPr>
        <w:t>21</w:t>
      </w:r>
      <w:r>
        <w:rPr>
          <w:rFonts w:hint="eastAsia" w:ascii="黑体" w:eastAsia="黑体" w:cs="黑体"/>
          <w:b/>
          <w:bCs/>
          <w:sz w:val="32"/>
          <w:szCs w:val="32"/>
        </w:rPr>
        <w:t>年</w:t>
      </w:r>
      <w:r>
        <w:rPr>
          <w:rFonts w:hint="eastAsia" w:ascii="黑体" w:eastAsia="黑体" w:cs="黑体"/>
          <w:b/>
          <w:bCs/>
          <w:sz w:val="32"/>
          <w:szCs w:val="32"/>
          <w:lang w:val="en-US" w:eastAsia="zh-CN"/>
        </w:rPr>
        <w:t>9</w:t>
      </w:r>
      <w:r>
        <w:rPr>
          <w:rFonts w:hint="eastAsia" w:ascii="黑体" w:eastAsia="黑体" w:cs="黑体"/>
          <w:b/>
          <w:bCs/>
          <w:sz w:val="32"/>
          <w:szCs w:val="32"/>
        </w:rPr>
        <w:t>月13日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cs="宋体"/>
          <w:b/>
          <w:bCs/>
          <w:sz w:val="32"/>
          <w:szCs w:val="32"/>
        </w:rPr>
      </w:pPr>
      <w:bookmarkStart w:id="0" w:name="_Toc495352545"/>
      <w:r>
        <w:rPr>
          <w:rFonts w:hint="eastAsia" w:ascii="宋体" w:hAnsi="宋体" w:cs="宋体"/>
          <w:b/>
          <w:bCs/>
          <w:sz w:val="32"/>
          <w:szCs w:val="32"/>
        </w:rPr>
        <w:t>引</w:t>
      </w:r>
      <w:r>
        <w:rPr>
          <w:rFonts w:ascii="宋体" w:hAnsi="宋体" w:cs="宋体"/>
          <w:b/>
          <w:bCs/>
          <w:sz w:val="32"/>
          <w:szCs w:val="32"/>
        </w:rPr>
        <w:t xml:space="preserve">   </w:t>
      </w:r>
      <w:r>
        <w:rPr>
          <w:rFonts w:hint="eastAsia" w:ascii="宋体" w:hAnsi="宋体" w:cs="宋体"/>
          <w:b/>
          <w:bCs/>
          <w:sz w:val="32"/>
          <w:szCs w:val="32"/>
        </w:rPr>
        <w:t>言</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为提高城市建设管理</w:t>
      </w:r>
      <w:bookmarkStart w:id="3" w:name="_GoBack"/>
      <w:bookmarkEnd w:id="3"/>
      <w:r>
        <w:rPr>
          <w:rFonts w:hint="eastAsia" w:ascii="仿宋_GB2312" w:eastAsia="仿宋_GB2312"/>
          <w:sz w:val="32"/>
          <w:szCs w:val="32"/>
          <w:lang w:eastAsia="zh-CN"/>
        </w:rPr>
        <w:t>专项</w:t>
      </w:r>
      <w:r>
        <w:rPr>
          <w:rFonts w:hint="eastAsia" w:ascii="仿宋_GB2312" w:hAnsi="仿宋" w:eastAsia="仿宋_GB2312"/>
          <w:sz w:val="32"/>
          <w:szCs w:val="32"/>
        </w:rPr>
        <w:t>资金使用绩效，近期财政局组织对20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年度城市建设管理</w:t>
      </w:r>
      <w:r>
        <w:rPr>
          <w:rFonts w:hint="eastAsia" w:ascii="仿宋_GB2312" w:eastAsia="仿宋_GB2312"/>
          <w:sz w:val="32"/>
          <w:szCs w:val="32"/>
          <w:lang w:eastAsia="zh-CN"/>
        </w:rPr>
        <w:t>专项</w:t>
      </w:r>
      <w:r>
        <w:rPr>
          <w:rFonts w:hint="eastAsia" w:ascii="仿宋_GB2312" w:hAnsi="仿宋" w:eastAsia="仿宋_GB2312"/>
          <w:sz w:val="32"/>
          <w:szCs w:val="32"/>
        </w:rPr>
        <w:t>开展绩效评价。评价围绕投入、过程、产出和效益等环节关键绩效指标，采取收集数据、实地调研、座谈了解等形式，对专项资金管理、使用、效益等情况进行分析，并借鉴好的做法和经验，提出改进绩效的有关建议。</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rPr>
      </w:pPr>
      <w:r>
        <w:rPr>
          <w:rFonts w:hint="eastAsia" w:ascii="黑体" w:hAnsi="黑体" w:eastAsia="黑体" w:cs="黑体"/>
          <w:b w:val="0"/>
        </w:rPr>
        <w:t>一、基本情况</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bCs w:val="0"/>
        </w:rPr>
      </w:pPr>
      <w:r>
        <w:rPr>
          <w:rFonts w:hint="eastAsia" w:ascii="楷体" w:hAnsi="楷体" w:eastAsia="楷体" w:cs="楷体"/>
          <w:b w:val="0"/>
          <w:bCs w:val="0"/>
        </w:rPr>
        <w:t>（一）资金分配和使用情况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sz w:val="32"/>
          <w:szCs w:val="32"/>
          <w:lang w:val="en-US"/>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年度城市建设管理专项共安排资金</w:t>
      </w:r>
      <w:r>
        <w:rPr>
          <w:rFonts w:hint="eastAsia" w:ascii="仿宋_GB2312" w:hAnsi="仿宋" w:eastAsia="仿宋_GB2312"/>
          <w:sz w:val="32"/>
          <w:szCs w:val="32"/>
          <w:lang w:val="en-US" w:eastAsia="zh-CN"/>
        </w:rPr>
        <w:t>702</w:t>
      </w:r>
      <w:r>
        <w:rPr>
          <w:rFonts w:hint="eastAsia" w:ascii="仿宋_GB2312" w:hAnsi="仿宋" w:eastAsia="仿宋_GB2312"/>
          <w:sz w:val="32"/>
          <w:szCs w:val="32"/>
        </w:rPr>
        <w:t xml:space="preserve">万元，下达资金    </w:t>
      </w:r>
      <w:r>
        <w:rPr>
          <w:rFonts w:hint="eastAsia" w:ascii="仿宋_GB2312" w:hAnsi="仿宋" w:eastAsia="仿宋_GB2312"/>
          <w:sz w:val="32"/>
          <w:szCs w:val="32"/>
          <w:lang w:val="en-US" w:eastAsia="zh-CN"/>
        </w:rPr>
        <w:t>702</w:t>
      </w:r>
      <w:r>
        <w:rPr>
          <w:rFonts w:hint="eastAsia" w:ascii="仿宋_GB2312" w:hAnsi="仿宋" w:eastAsia="仿宋_GB2312"/>
          <w:sz w:val="32"/>
          <w:szCs w:val="32"/>
        </w:rPr>
        <w:t>万元。从资金使用率看，投资促进专项资金使用效率较高，达到100%</w:t>
      </w:r>
      <w:r>
        <w:rPr>
          <w:rFonts w:hint="eastAsia" w:ascii="仿宋_GB2312" w:hAnsi="仿宋" w:eastAsia="仿宋_GB2312"/>
          <w:sz w:val="32"/>
          <w:szCs w:val="32"/>
          <w:lang w:eastAsia="zh-CN"/>
        </w:rPr>
        <w:t>。其中：园林管护费安排支出</w:t>
      </w:r>
      <w:r>
        <w:rPr>
          <w:rFonts w:hint="eastAsia" w:ascii="仿宋_GB2312" w:hAnsi="仿宋" w:eastAsia="仿宋_GB2312"/>
          <w:sz w:val="32"/>
          <w:szCs w:val="32"/>
          <w:lang w:val="en-US" w:eastAsia="zh-CN"/>
        </w:rPr>
        <w:t>250万元，所占支出比例35.61%，</w:t>
      </w:r>
      <w:r>
        <w:rPr>
          <w:rFonts w:hint="eastAsia" w:ascii="仿宋_GB2312" w:hAnsi="仿宋" w:eastAsia="仿宋_GB2312"/>
          <w:sz w:val="32"/>
          <w:szCs w:val="32"/>
          <w:lang w:eastAsia="zh-CN"/>
        </w:rPr>
        <w:t>：城区路灯、夜景维护安排支出</w:t>
      </w:r>
      <w:r>
        <w:rPr>
          <w:rFonts w:hint="eastAsia" w:ascii="仿宋_GB2312" w:hAnsi="仿宋" w:eastAsia="仿宋_GB2312"/>
          <w:sz w:val="32"/>
          <w:szCs w:val="32"/>
          <w:lang w:val="en-US" w:eastAsia="zh-CN"/>
        </w:rPr>
        <w:t>120万元，所占支出比例17.1%，</w:t>
      </w:r>
      <w:r>
        <w:rPr>
          <w:rFonts w:hint="eastAsia" w:ascii="仿宋_GB2312" w:hAnsi="仿宋" w:eastAsia="仿宋_GB2312"/>
          <w:sz w:val="32"/>
          <w:szCs w:val="32"/>
          <w:lang w:eastAsia="zh-CN"/>
        </w:rPr>
        <w:t>：城市建设管理安排支出</w:t>
      </w:r>
      <w:r>
        <w:rPr>
          <w:rFonts w:hint="eastAsia" w:ascii="仿宋_GB2312" w:hAnsi="仿宋" w:eastAsia="仿宋_GB2312"/>
          <w:sz w:val="32"/>
          <w:szCs w:val="32"/>
          <w:lang w:val="en-US" w:eastAsia="zh-CN"/>
        </w:rPr>
        <w:t>332万元，所占支出比例47.29%。城市管理建设项目主要用于环卫城区道路清扫及公厕保洁，垃圾清运，城区园林绿化管护，城区路灯、夜景管护及电费，城区公共市政设施零星维修、数字城管平台运行费等支出。</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bCs w:val="0"/>
        </w:rPr>
      </w:pPr>
      <w:r>
        <w:rPr>
          <w:rFonts w:hint="eastAsia" w:ascii="楷体" w:hAnsi="楷体" w:eastAsia="楷体" w:cs="楷体"/>
          <w:b w:val="0"/>
          <w:bCs w:val="0"/>
        </w:rPr>
        <w:t>（二）绩效评价情况</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宋体" w:eastAsia="仿宋_GB2312"/>
          <w:b w:val="0"/>
        </w:rPr>
      </w:pPr>
      <w:r>
        <w:rPr>
          <w:rFonts w:hint="eastAsia" w:ascii="仿宋_GB2312" w:hAnsi="宋体" w:eastAsia="仿宋_GB2312"/>
          <w:b w:val="0"/>
        </w:rPr>
        <w:t>项目绩效评价工作组根据财政部、福建省和财政支出绩效评价管理办法的要求，依据相关性、重要性、可比性、系统性及经济性原则，围绕投入、过程、项目产出与效益三个方面设计绩效评价指标以及评分标准和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指标体系设定满分100分，其中：“投入”,30分，主要体现项目立项和资金落实情况；“过程”30分，主要体现项目的业务管理、资金使用管理等方面的情况；“产出与效益”40分，主要体现项目产出数量、产出质量、经济与社会效益、可持续效益和服务对象满意度等（具体评分见附表）。基于外部独立评价的特点和要求，指标设置和评分标准力求可行性、客观性、科学性与简明性。指标体系和评分标准如表1所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绩效评价方法是指在绩效评价实施过程中为了取得被评价的预算支出项目、单位基础数据和资金使用绩效情况，完成绩效评价任务而采取的各种手段。根据省财政厅有关财政支出绩效评价的有关规定，参照预算绩效评价共性指标体系，结合该项资金的实际情况，绩效评价方法采用因素分析法、目标预定与实施效果比较法等。</w:t>
      </w:r>
      <w:r>
        <w:rPr>
          <w:rFonts w:hint="eastAsia" w:ascii="仿宋_GB2312" w:hAnsi="仿宋" w:eastAsia="仿宋_GB2312"/>
          <w:sz w:val="32"/>
          <w:szCs w:val="32"/>
        </w:rPr>
        <w:t>在评价中，对城市建设管理</w:t>
      </w:r>
      <w:r>
        <w:rPr>
          <w:rFonts w:hint="eastAsia" w:ascii="仿宋_GB2312" w:hAnsi="仿宋" w:eastAsia="仿宋_GB2312"/>
          <w:sz w:val="32"/>
          <w:szCs w:val="32"/>
          <w:lang w:eastAsia="zh-CN"/>
        </w:rPr>
        <w:t>项目</w:t>
      </w:r>
      <w:r>
        <w:rPr>
          <w:rFonts w:hint="eastAsia" w:ascii="仿宋_GB2312" w:hAnsi="仿宋" w:eastAsia="仿宋_GB2312"/>
          <w:sz w:val="32"/>
          <w:szCs w:val="32"/>
        </w:rPr>
        <w:t>开展现场核查，完成任务</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%。经综合评价，20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年度城市建设管理</w:t>
      </w:r>
      <w:r>
        <w:rPr>
          <w:rFonts w:hint="eastAsia" w:ascii="仿宋_GB2312" w:eastAsia="仿宋_GB2312"/>
          <w:sz w:val="32"/>
          <w:szCs w:val="32"/>
          <w:lang w:eastAsia="zh-CN"/>
        </w:rPr>
        <w:t>专项</w:t>
      </w:r>
      <w:r>
        <w:rPr>
          <w:rFonts w:hint="eastAsia" w:ascii="仿宋_GB2312" w:hAnsi="仿宋" w:eastAsia="仿宋_GB2312"/>
          <w:sz w:val="32"/>
          <w:szCs w:val="32"/>
        </w:rPr>
        <w:t>资金得分</w:t>
      </w:r>
      <w:r>
        <w:rPr>
          <w:rFonts w:hint="eastAsia" w:ascii="仿宋_GB2312" w:hAnsi="仿宋" w:eastAsia="仿宋_GB2312"/>
          <w:sz w:val="32"/>
          <w:szCs w:val="32"/>
          <w:lang w:val="en-US" w:eastAsia="zh-CN"/>
        </w:rPr>
        <w:t>95</w:t>
      </w:r>
      <w:r>
        <w:rPr>
          <w:rFonts w:hint="eastAsia" w:ascii="仿宋_GB2312" w:hAnsi="仿宋"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从评价指标分析来看，分数较高的指标主要为</w:t>
      </w:r>
      <w:r>
        <w:rPr>
          <w:rFonts w:hint="eastAsia" w:ascii="仿宋_GB2312" w:hAnsi="仿宋" w:eastAsia="仿宋_GB2312"/>
          <w:sz w:val="32"/>
          <w:szCs w:val="32"/>
          <w:lang w:val="en-US" w:eastAsia="zh-CN"/>
        </w:rPr>
        <w:t>项目立项和资金落实</w:t>
      </w:r>
      <w:r>
        <w:rPr>
          <w:rFonts w:hint="eastAsia" w:ascii="仿宋_GB2312" w:hAnsi="仿宋" w:eastAsia="仿宋_GB2312"/>
          <w:sz w:val="32"/>
          <w:szCs w:val="32"/>
        </w:rPr>
        <w:t>指标，扣分较多的指标是</w:t>
      </w:r>
      <w:r>
        <w:rPr>
          <w:rFonts w:hint="eastAsia" w:ascii="仿宋_GB2312" w:hAnsi="仿宋" w:eastAsia="仿宋_GB2312"/>
          <w:sz w:val="32"/>
          <w:szCs w:val="32"/>
          <w:lang w:val="en-US" w:eastAsia="zh-CN"/>
        </w:rPr>
        <w:t>业务管理和资金使用管理</w:t>
      </w:r>
      <w:r>
        <w:rPr>
          <w:rFonts w:hint="eastAsia" w:ascii="仿宋_GB2312" w:hAnsi="仿宋" w:eastAsia="仿宋_GB2312"/>
          <w:sz w:val="32"/>
          <w:szCs w:val="32"/>
        </w:rPr>
        <w:t>，主要原因是</w:t>
      </w:r>
      <w:r>
        <w:rPr>
          <w:rFonts w:hint="eastAsia" w:ascii="仿宋_GB2312" w:hAnsi="仿宋" w:eastAsia="仿宋_GB2312"/>
          <w:sz w:val="32"/>
          <w:szCs w:val="32"/>
          <w:lang w:val="en-US" w:eastAsia="zh-CN"/>
        </w:rPr>
        <w:t>人员配备不足，缺乏专业队伍</w:t>
      </w:r>
      <w:r>
        <w:rPr>
          <w:rFonts w:hint="eastAsia" w:ascii="仿宋_GB2312" w:hAnsi="仿宋" w:eastAsia="仿宋_GB2312"/>
          <w:sz w:val="32"/>
          <w:szCs w:val="32"/>
        </w:rPr>
        <w:t>。</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7" w:firstLineChars="196"/>
        <w:jc w:val="left"/>
        <w:textAlignment w:val="auto"/>
        <w:rPr>
          <w:rFonts w:hint="eastAsia" w:ascii="仿宋_GB2312" w:hAnsi="仿宋" w:eastAsia="仿宋_GB2312"/>
          <w:b w:val="0"/>
          <w:bCs w:val="0"/>
          <w:sz w:val="32"/>
          <w:szCs w:val="32"/>
        </w:rPr>
      </w:pPr>
      <w:r>
        <w:rPr>
          <w:rFonts w:hint="eastAsia" w:ascii="仿宋_GB2312" w:hAnsi="仿宋" w:eastAsia="仿宋_GB2312"/>
          <w:b w:val="0"/>
          <w:bCs w:val="0"/>
          <w:sz w:val="32"/>
          <w:szCs w:val="32"/>
        </w:rPr>
        <w:t>总体上城市建设管理</w:t>
      </w:r>
      <w:r>
        <w:rPr>
          <w:rFonts w:hint="eastAsia" w:ascii="仿宋_GB2312" w:eastAsia="仿宋_GB2312"/>
          <w:b w:val="0"/>
          <w:bCs w:val="0"/>
          <w:sz w:val="32"/>
          <w:szCs w:val="32"/>
          <w:lang w:eastAsia="zh-CN"/>
        </w:rPr>
        <w:t>专项</w:t>
      </w:r>
      <w:r>
        <w:rPr>
          <w:rFonts w:hint="eastAsia" w:ascii="仿宋_GB2312" w:hAnsi="仿宋" w:eastAsia="仿宋_GB2312"/>
          <w:b w:val="0"/>
          <w:bCs w:val="0"/>
          <w:sz w:val="32"/>
          <w:szCs w:val="32"/>
        </w:rPr>
        <w:t>使用成效较好。城管部门圆满完成了年初制定的垃圾填埋30300吨、改善城区、公园、绿化带等绿地面积422850平方米、路灯亮灯率达95%；圆满完成年度目标任务。</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7" w:firstLineChars="196"/>
        <w:jc w:val="left"/>
        <w:textAlignment w:val="auto"/>
        <w:rPr>
          <w:rFonts w:hint="eastAsia" w:ascii="黑体" w:hAnsi="黑体" w:eastAsia="黑体" w:cs="黑体"/>
          <w:b w:val="0"/>
        </w:rPr>
      </w:pPr>
      <w:r>
        <w:rPr>
          <w:rFonts w:hint="eastAsia" w:ascii="黑体" w:hAnsi="黑体" w:eastAsia="黑体" w:cs="黑体"/>
          <w:b w:val="0"/>
        </w:rPr>
        <w:t>二、 问题分析</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（一）资金管理有待加强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sz w:val="32"/>
          <w:szCs w:val="32"/>
          <w:lang w:eastAsia="zh-CN"/>
        </w:rPr>
      </w:pPr>
      <w:r>
        <w:rPr>
          <w:rFonts w:hint="eastAsia" w:ascii="仿宋_GB2312" w:hAnsi="仿宋" w:eastAsia="仿宋_GB2312"/>
          <w:b/>
          <w:sz w:val="32"/>
          <w:szCs w:val="32"/>
        </w:rPr>
        <w:t>1.财务管理制度健全性。</w:t>
      </w:r>
      <w:r>
        <w:rPr>
          <w:rFonts w:hint="eastAsia" w:ascii="仿宋_GB2312" w:hAnsi="微软雅黑" w:eastAsia="仿宋_GB2312" w:cs="Calibri"/>
          <w:kern w:val="2"/>
          <w:sz w:val="32"/>
          <w:szCs w:val="32"/>
          <w:shd w:val="clear" w:fill="FFFFFF"/>
          <w:lang w:val="en-US" w:eastAsia="zh-CN" w:bidi="ar"/>
        </w:rPr>
        <w:t>财务制度不够重视，内部财务制度残缺不全财务管理制度内部控制不完善，没有渗透到各个业务领域和各个操作环节，没有做到账、钱分管原则，部分资金和有关账簿的管理混乱。没有明确职责权限、实行职务分离，没有明确学校各级管理部门和人员各自的职能和责任。加强内部控制，为了保证业务活动的有效进行，保护资产的安全和完整，防止、发现、纠正错误与舞弊，保证财务资料的真实、合法、完整</w:t>
      </w:r>
      <w:r>
        <w:rPr>
          <w:rFonts w:hint="eastAsia" w:ascii="仿宋_GB2312" w:hAnsi="仿宋" w:eastAsia="仿宋_GB2312" w:cs="Calibri"/>
          <w:kern w:val="2"/>
          <w:sz w:val="32"/>
          <w:szCs w:val="32"/>
          <w:lang w:val="en-US" w:eastAsia="zh-CN" w:bidi="ar"/>
        </w:rPr>
        <w:t xml:space="preserve">。  </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（二）项目管理需要改进</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仿宋_GB2312" w:hAnsi="仿宋" w:eastAsia="仿宋_GB2312"/>
          <w:b w:val="0"/>
          <w:bCs/>
          <w:sz w:val="32"/>
          <w:szCs w:val="32"/>
          <w:lang w:eastAsia="zh-CN"/>
        </w:rPr>
      </w:pPr>
      <w:r>
        <w:rPr>
          <w:rFonts w:hint="eastAsia" w:ascii="仿宋_GB2312" w:hAnsi="仿宋" w:eastAsia="仿宋_GB2312"/>
          <w:b/>
          <w:bCs w:val="0"/>
          <w:sz w:val="32"/>
          <w:szCs w:val="32"/>
          <w:lang w:eastAsia="zh-CN"/>
        </w:rPr>
        <w:t>效应管理方面。</w:t>
      </w:r>
      <w:r>
        <w:rPr>
          <w:rFonts w:hint="eastAsia" w:ascii="仿宋_GB2312" w:hAnsi="仿宋" w:eastAsia="仿宋_GB2312" w:cs="仿宋_GB2312"/>
          <w:bCs/>
          <w:kern w:val="2"/>
          <w:sz w:val="32"/>
          <w:szCs w:val="32"/>
          <w:lang w:val="en-US" w:eastAsia="zh-CN" w:bidi="ar"/>
        </w:rPr>
        <w:t>项目的实施未产生示范和扩散效应。2020年度</w:t>
      </w:r>
      <w:r>
        <w:rPr>
          <w:rFonts w:hint="eastAsia" w:ascii="仿宋_GB2312" w:hAnsi="仿宋" w:eastAsia="仿宋_GB2312"/>
          <w:b w:val="0"/>
          <w:bCs w:val="0"/>
          <w:sz w:val="32"/>
          <w:szCs w:val="32"/>
        </w:rPr>
        <w:t>城市建设管理</w:t>
      </w:r>
      <w:r>
        <w:rPr>
          <w:rFonts w:hint="eastAsia" w:ascii="仿宋_GB2312" w:eastAsia="仿宋_GB2312"/>
          <w:b w:val="0"/>
          <w:bCs w:val="0"/>
          <w:sz w:val="32"/>
          <w:szCs w:val="32"/>
          <w:lang w:eastAsia="zh-CN"/>
        </w:rPr>
        <w:t>专项</w:t>
      </w:r>
      <w:r>
        <w:rPr>
          <w:rFonts w:hint="eastAsia" w:ascii="仿宋_GB2312" w:hAnsi="仿宋" w:eastAsia="仿宋_GB2312" w:cs="仿宋_GB2312"/>
          <w:bCs/>
          <w:kern w:val="2"/>
          <w:sz w:val="32"/>
          <w:szCs w:val="32"/>
          <w:lang w:val="en-US" w:eastAsia="zh-CN" w:bidi="ar"/>
        </w:rPr>
        <w:t>资金在用于项目实施过程中，没有成功经验的扩散效应。同时，也未产生示范作用。</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仿宋_GB2312" w:hAnsi="仿宋" w:eastAsia="仿宋_GB2312" w:cs="仿宋_GB2312"/>
          <w:b w:val="0"/>
          <w:bCs/>
          <w:kern w:val="2"/>
          <w:sz w:val="32"/>
          <w:szCs w:val="32"/>
          <w:lang w:val="en-US" w:eastAsia="zh-CN" w:bidi="ar"/>
        </w:rPr>
      </w:pPr>
      <w:r>
        <w:rPr>
          <w:rFonts w:hint="eastAsia" w:ascii="楷体" w:hAnsi="楷体" w:eastAsia="楷体" w:cs="楷体"/>
          <w:b w:val="0"/>
        </w:rPr>
        <w:t>（三）</w:t>
      </w:r>
      <w:bookmarkStart w:id="1" w:name="fi_zb_problem"/>
      <w:bookmarkEnd w:id="1"/>
      <w:r>
        <w:rPr>
          <w:rFonts w:hint="eastAsia" w:ascii="仿宋_GB2312" w:hAnsi="仿宋" w:eastAsia="仿宋_GB2312" w:cs="Calibri"/>
          <w:b/>
          <w:bCs w:val="0"/>
          <w:kern w:val="2"/>
          <w:sz w:val="32"/>
          <w:szCs w:val="32"/>
          <w:lang w:val="en-US" w:eastAsia="zh-CN" w:bidi="ar-SA"/>
        </w:rPr>
        <w:t>专业技术人才缺乏。</w:t>
      </w:r>
      <w:r>
        <w:rPr>
          <w:rFonts w:hint="eastAsia" w:ascii="仿宋_GB2312" w:hAnsi="仿宋" w:eastAsia="仿宋_GB2312" w:cs="仿宋_GB2312"/>
          <w:b w:val="0"/>
          <w:bCs/>
          <w:kern w:val="2"/>
          <w:sz w:val="32"/>
          <w:szCs w:val="32"/>
          <w:lang w:val="en-US" w:eastAsia="zh-CN" w:bidi="ar"/>
        </w:rPr>
        <w:t>现有专业技术队伍整体素质还有待提高，城市扩容提质与管理力量不相适应。</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rPr>
      </w:pPr>
      <w:r>
        <w:rPr>
          <w:rFonts w:hint="eastAsia" w:ascii="黑体" w:hAnsi="黑体" w:eastAsia="黑体" w:cs="黑体"/>
          <w:b w:val="0"/>
        </w:rPr>
        <w:t>三、有关建议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Times New Roman"/>
          <w:b w:val="0"/>
          <w:bCs w:val="0"/>
          <w:kern w:val="28"/>
          <w:sz w:val="32"/>
          <w:szCs w:val="32"/>
          <w:lang w:val="en-US" w:eastAsia="zh-CN" w:bidi="ar-SA"/>
        </w:rPr>
      </w:pPr>
      <w:r>
        <w:rPr>
          <w:rFonts w:hint="eastAsia" w:ascii="仿宋_GB2312" w:hAnsi="仿宋" w:eastAsia="仿宋_GB2312" w:cs="Times New Roman"/>
          <w:b/>
          <w:bCs/>
          <w:kern w:val="28"/>
          <w:sz w:val="32"/>
          <w:szCs w:val="32"/>
          <w:lang w:val="en-US" w:eastAsia="zh-CN" w:bidi="ar-SA"/>
        </w:rPr>
        <w:t>一是规范资金管理。</w:t>
      </w:r>
      <w:r>
        <w:rPr>
          <w:rFonts w:hint="eastAsia" w:ascii="仿宋_GB2312" w:hAnsi="仿宋" w:eastAsia="仿宋_GB2312" w:cs="Times New Roman"/>
          <w:b w:val="0"/>
          <w:bCs w:val="0"/>
          <w:kern w:val="28"/>
          <w:sz w:val="32"/>
          <w:szCs w:val="32"/>
          <w:lang w:val="en-US" w:eastAsia="zh-CN" w:bidi="ar-SA"/>
        </w:rPr>
        <w:t>首先，要加强预算管理。住建主管部门要将</w:t>
      </w:r>
      <w:r>
        <w:rPr>
          <w:rFonts w:hint="eastAsia" w:ascii="仿宋_GB2312" w:hAnsi="仿宋" w:eastAsia="仿宋_GB2312"/>
          <w:b w:val="0"/>
          <w:bCs w:val="0"/>
          <w:sz w:val="32"/>
          <w:szCs w:val="32"/>
        </w:rPr>
        <w:t>城市建设管理</w:t>
      </w:r>
      <w:r>
        <w:rPr>
          <w:rFonts w:hint="eastAsia" w:ascii="仿宋_GB2312" w:eastAsia="仿宋_GB2312"/>
          <w:b w:val="0"/>
          <w:bCs w:val="0"/>
          <w:sz w:val="32"/>
          <w:szCs w:val="32"/>
          <w:lang w:eastAsia="zh-CN"/>
        </w:rPr>
        <w:t>专项资金</w:t>
      </w:r>
      <w:r>
        <w:rPr>
          <w:rFonts w:hint="eastAsia" w:ascii="仿宋_GB2312" w:hAnsi="仿宋" w:eastAsia="仿宋_GB2312" w:cs="Times New Roman"/>
          <w:b w:val="0"/>
          <w:bCs w:val="0"/>
          <w:kern w:val="28"/>
          <w:sz w:val="32"/>
          <w:szCs w:val="32"/>
          <w:lang w:val="en-US" w:eastAsia="zh-CN" w:bidi="ar-SA"/>
        </w:rPr>
        <w:t>纳入年初预算，科学合理的编制预算，细化项目支出结构，严格预算执行进度考核制度，切实提高</w:t>
      </w:r>
      <w:r>
        <w:rPr>
          <w:rFonts w:hint="eastAsia" w:ascii="仿宋_GB2312" w:eastAsia="仿宋_GB2312"/>
          <w:sz w:val="32"/>
          <w:szCs w:val="32"/>
          <w:lang w:eastAsia="zh-CN"/>
        </w:rPr>
        <w:t>城市管理</w:t>
      </w:r>
      <w:r>
        <w:rPr>
          <w:rFonts w:hint="eastAsia" w:ascii="仿宋_GB2312" w:hAnsi="仿宋" w:eastAsia="仿宋_GB2312" w:cs="Times New Roman"/>
          <w:b w:val="0"/>
          <w:bCs w:val="0"/>
          <w:kern w:val="28"/>
          <w:sz w:val="32"/>
          <w:szCs w:val="32"/>
          <w:lang w:val="en-US" w:eastAsia="zh-CN" w:bidi="ar-SA"/>
        </w:rPr>
        <w:t>执行效率；其次，要完善分配机制。住建主管部门要充分考虑</w:t>
      </w:r>
      <w:r>
        <w:rPr>
          <w:rFonts w:hint="eastAsia" w:ascii="仿宋_GB2312" w:eastAsia="仿宋_GB2312"/>
          <w:sz w:val="32"/>
          <w:szCs w:val="32"/>
          <w:lang w:eastAsia="zh-CN"/>
        </w:rPr>
        <w:t>城市建设</w:t>
      </w:r>
      <w:r>
        <w:rPr>
          <w:rFonts w:hint="eastAsia" w:ascii="仿宋_GB2312" w:hAnsi="仿宋" w:eastAsia="仿宋_GB2312" w:cs="Times New Roman"/>
          <w:b w:val="0"/>
          <w:bCs w:val="0"/>
          <w:kern w:val="28"/>
          <w:sz w:val="32"/>
          <w:szCs w:val="32"/>
          <w:lang w:val="en-US" w:eastAsia="zh-CN" w:bidi="ar-SA"/>
        </w:rPr>
        <w:t>投入的重点和方向，实行与项目单位目标任务完成情况相结合的考核分配机制，确保专项资金分配公平、公正、合理；再次，要优化投入结构。同时，要适当提高城市硬件设备和软件方面的投入，全面提升群众获得感、幸福感和安全感。</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Times New Roman"/>
          <w:b w:val="0"/>
          <w:bCs w:val="0"/>
          <w:kern w:val="28"/>
          <w:sz w:val="32"/>
          <w:szCs w:val="32"/>
          <w:lang w:val="en-US" w:eastAsia="zh-CN" w:bidi="ar-SA"/>
        </w:rPr>
      </w:pPr>
      <w:r>
        <w:rPr>
          <w:rFonts w:hint="eastAsia" w:ascii="仿宋_GB2312" w:hAnsi="仿宋" w:eastAsia="仿宋_GB2312" w:cs="Times New Roman"/>
          <w:b/>
          <w:bCs/>
          <w:kern w:val="28"/>
          <w:sz w:val="32"/>
          <w:szCs w:val="32"/>
          <w:lang w:val="en-US" w:eastAsia="zh-CN" w:bidi="ar-SA"/>
        </w:rPr>
        <w:t>二是加强基建项目建设管理。</w:t>
      </w:r>
      <w:r>
        <w:rPr>
          <w:rFonts w:hint="eastAsia" w:ascii="仿宋_GB2312" w:hAnsi="仿宋" w:eastAsia="仿宋_GB2312" w:cs="Times New Roman"/>
          <w:b w:val="0"/>
          <w:bCs w:val="0"/>
          <w:kern w:val="28"/>
          <w:sz w:val="32"/>
          <w:szCs w:val="32"/>
          <w:lang w:val="en-US" w:eastAsia="zh-CN" w:bidi="ar-SA"/>
        </w:rPr>
        <w:t>项目单位要认真履行基建项目的建设程序，严格按照法定程序报批建设，不得擅自变更批准的项目规模和用途，严格执行工程招标投标、施工图审查、施工许可、质量监督、工程监理、竣工验收备案等建设程序，落实项目法人制、招标投标制、工程监理制、合同管理制等规定，主管部门和财政部门要创新工程建设管理思路和工作方法，提高管理效能，对存在违法违规行为和工程质量不符合强制性标准的，责令整改，消除质量缺陷，保证城市建设相关工程使用功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Times New Roman"/>
          <w:b w:val="0"/>
          <w:bCs w:val="0"/>
          <w:kern w:val="28"/>
          <w:sz w:val="32"/>
          <w:szCs w:val="32"/>
          <w:lang w:val="en-US" w:eastAsia="zh-CN" w:bidi="ar-SA"/>
        </w:rPr>
      </w:pPr>
      <w:r>
        <w:rPr>
          <w:rFonts w:hint="eastAsia" w:ascii="仿宋_GB2312" w:hAnsi="仿宋" w:eastAsia="仿宋_GB2312" w:cs="Times New Roman"/>
          <w:b w:val="0"/>
          <w:bCs w:val="0"/>
          <w:kern w:val="28"/>
          <w:sz w:val="32"/>
          <w:szCs w:val="32"/>
          <w:lang w:val="en-US" w:eastAsia="zh-CN" w:bidi="ar-SA"/>
        </w:rPr>
        <w:t xml:space="preserve">   </w:t>
      </w:r>
      <w:r>
        <w:rPr>
          <w:rFonts w:hint="eastAsia" w:ascii="仿宋_GB2312" w:hAnsi="仿宋" w:eastAsia="仿宋_GB2312" w:cs="Times New Roman"/>
          <w:b/>
          <w:bCs/>
          <w:kern w:val="28"/>
          <w:sz w:val="32"/>
          <w:szCs w:val="32"/>
          <w:lang w:val="en-US" w:eastAsia="zh-CN" w:bidi="ar-SA"/>
        </w:rPr>
        <w:t xml:space="preserve"> 三是完善城市建设管理评估和监督机制。</w:t>
      </w:r>
      <w:r>
        <w:rPr>
          <w:rFonts w:hint="eastAsia" w:ascii="仿宋_GB2312" w:hAnsi="仿宋" w:eastAsia="仿宋_GB2312" w:cs="Times New Roman"/>
          <w:b w:val="0"/>
          <w:bCs w:val="0"/>
          <w:kern w:val="28"/>
          <w:sz w:val="32"/>
          <w:szCs w:val="32"/>
          <w:lang w:val="en-US" w:eastAsia="zh-CN" w:bidi="ar-SA"/>
        </w:rPr>
        <w:t>在实际工作中，</w:t>
      </w:r>
      <w:r>
        <w:rPr>
          <w:rFonts w:hint="eastAsia" w:ascii="仿宋_GB2312" w:hAnsi="仿宋" w:eastAsia="仿宋_GB2312"/>
          <w:b w:val="0"/>
          <w:bCs w:val="0"/>
          <w:sz w:val="32"/>
          <w:szCs w:val="32"/>
        </w:rPr>
        <w:t>城市建设</w:t>
      </w:r>
      <w:r>
        <w:rPr>
          <w:rFonts w:hint="eastAsia" w:ascii="仿宋_GB2312" w:hAnsi="仿宋" w:eastAsia="仿宋_GB2312" w:cs="Times New Roman"/>
          <w:b w:val="0"/>
          <w:bCs w:val="0"/>
          <w:kern w:val="28"/>
          <w:sz w:val="32"/>
          <w:szCs w:val="32"/>
          <w:lang w:val="en-US" w:eastAsia="zh-CN" w:bidi="ar-SA"/>
        </w:rPr>
        <w:t>管理使用效益对当地社会经济的健康发展会产生直接影响，政府有关职能部门要给予高度重视，对资金投入数额较大的项目要建立绩效评估和监管机制，加大监督检查力度。财政和审计部门以及教育主管部门内审机构要将城市建设管理纳入年度检查项目计划，定期或不定期开展专项监督检查，发现问题督促有关单位及时整改，并对相关人员进行追责问责，决不姑息，确保</w:t>
      </w:r>
      <w:r>
        <w:rPr>
          <w:rFonts w:hint="eastAsia" w:ascii="仿宋_GB2312" w:hAnsi="仿宋" w:eastAsia="仿宋_GB2312"/>
          <w:b w:val="0"/>
          <w:bCs w:val="0"/>
          <w:sz w:val="32"/>
          <w:szCs w:val="32"/>
        </w:rPr>
        <w:t>城市建设管理</w:t>
      </w:r>
      <w:r>
        <w:rPr>
          <w:rFonts w:hint="eastAsia" w:ascii="仿宋_GB2312" w:eastAsia="仿宋_GB2312"/>
          <w:b w:val="0"/>
          <w:bCs w:val="0"/>
          <w:sz w:val="32"/>
          <w:szCs w:val="32"/>
          <w:lang w:eastAsia="zh-CN"/>
        </w:rPr>
        <w:t>专项经费</w:t>
      </w:r>
      <w:r>
        <w:rPr>
          <w:rFonts w:hint="eastAsia" w:ascii="仿宋_GB2312" w:hAnsi="仿宋" w:eastAsia="仿宋_GB2312" w:cs="Times New Roman"/>
          <w:b w:val="0"/>
          <w:bCs w:val="0"/>
          <w:kern w:val="28"/>
          <w:sz w:val="32"/>
          <w:szCs w:val="32"/>
          <w:lang w:val="en-US" w:eastAsia="zh-CN" w:bidi="ar-SA"/>
        </w:rPr>
        <w:t>专款专用，发挥应有的社会效益和资金效益。</w:t>
      </w:r>
    </w:p>
    <w:p>
      <w:pPr>
        <w:rPr>
          <w:rFonts w:hint="eastAsia" w:ascii="仿宋_GB2312" w:hAnsi="仿宋" w:eastAsia="仿宋_GB2312" w:cs="Times New Roman"/>
          <w:b w:val="0"/>
          <w:bCs w:val="0"/>
          <w:kern w:val="28"/>
          <w:sz w:val="32"/>
          <w:szCs w:val="32"/>
          <w:lang w:val="en-US" w:eastAsia="zh-CN" w:bidi="ar-SA"/>
        </w:rPr>
      </w:pPr>
    </w:p>
    <w:p>
      <w:pPr>
        <w:rPr>
          <w:rFonts w:hint="eastAsia" w:ascii="仿宋_GB2312" w:hAnsi="仿宋" w:eastAsia="仿宋_GB2312" w:cs="Times New Roman"/>
          <w:b w:val="0"/>
          <w:bCs w:val="0"/>
          <w:kern w:val="28"/>
          <w:sz w:val="32"/>
          <w:szCs w:val="32"/>
          <w:lang w:val="en-US" w:eastAsia="zh-CN" w:bidi="ar-SA"/>
        </w:rPr>
        <w:sectPr>
          <w:footerReference r:id="rId4" w:type="default"/>
          <w:pgSz w:w="11906" w:h="16838"/>
          <w:pgMar w:top="1440" w:right="1274" w:bottom="1440" w:left="1418" w:header="851" w:footer="992" w:gutter="0"/>
          <w:cols w:space="425" w:num="1"/>
          <w:docGrid w:type="lines" w:linePitch="312" w:charSpace="0"/>
        </w:sectPr>
      </w:pPr>
    </w:p>
    <w:p>
      <w:pPr>
        <w:pStyle w:val="2"/>
        <w:spacing w:before="0" w:after="0" w:line="360" w:lineRule="auto"/>
        <w:ind w:firstLine="643" w:firstLineChars="200"/>
        <w:jc w:val="center"/>
        <w:rPr>
          <w:rFonts w:ascii="仿宋_GB2312" w:eastAsia="仿宋_GB2312"/>
          <w:kern w:val="0"/>
          <w:sz w:val="32"/>
          <w:szCs w:val="32"/>
        </w:rPr>
      </w:pPr>
      <w:bookmarkStart w:id="2" w:name="_Toc14348"/>
      <w:r>
        <w:rPr>
          <w:rFonts w:hint="eastAsia" w:ascii="仿宋_GB2312" w:eastAsia="仿宋_GB2312"/>
          <w:kern w:val="0"/>
          <w:sz w:val="32"/>
          <w:szCs w:val="32"/>
        </w:rPr>
        <w:t>附表  20</w:t>
      </w:r>
      <w:r>
        <w:rPr>
          <w:rFonts w:hint="eastAsia" w:ascii="仿宋_GB2312" w:eastAsia="仿宋_GB2312"/>
          <w:kern w:val="0"/>
          <w:sz w:val="32"/>
          <w:szCs w:val="32"/>
          <w:lang w:val="en-US" w:eastAsia="zh-CN"/>
        </w:rPr>
        <w:t>20</w:t>
      </w:r>
      <w:r>
        <w:rPr>
          <w:rFonts w:hint="eastAsia" w:ascii="仿宋_GB2312" w:eastAsia="仿宋_GB2312"/>
          <w:kern w:val="0"/>
          <w:sz w:val="32"/>
          <w:szCs w:val="32"/>
        </w:rPr>
        <w:t>年度城市建设管理专项绩效评价评分表</w:t>
      </w:r>
      <w:bookmarkEnd w:id="2"/>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投入</w:t>
            </w:r>
          </w:p>
          <w:p>
            <w:pPr>
              <w:jc w:val="center"/>
              <w:rPr>
                <w:rFonts w:ascii="仿宋_GB2312" w:eastAsia="仿宋_GB2312"/>
                <w:sz w:val="24"/>
                <w:szCs w:val="24"/>
              </w:rPr>
            </w:pPr>
            <w:r>
              <w:rPr>
                <w:rFonts w:hint="eastAsia" w:ascii="仿宋_GB2312" w:hAnsi="宋体" w:eastAsia="仿宋_GB2312"/>
                <w:b/>
                <w:bCs/>
                <w:kern w:val="0"/>
                <w:sz w:val="24"/>
                <w:szCs w:val="24"/>
              </w:rPr>
              <w:t>（30分）</w:t>
            </w:r>
          </w:p>
        </w:tc>
        <w:tc>
          <w:tcPr>
            <w:tcW w:w="1995"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项目立项情况</w:t>
            </w:r>
          </w:p>
          <w:p>
            <w:pPr>
              <w:jc w:val="center"/>
              <w:rPr>
                <w:rFonts w:ascii="仿宋_GB2312" w:hAnsi="宋体" w:eastAsia="仿宋_GB2312"/>
                <w:sz w:val="24"/>
                <w:szCs w:val="24"/>
              </w:rPr>
            </w:pPr>
            <w:r>
              <w:rPr>
                <w:rFonts w:hint="eastAsia" w:ascii="仿宋_GB2312" w:hAnsi="宋体" w:eastAsia="仿宋_GB2312"/>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绩效目标合理性</w:t>
            </w:r>
          </w:p>
          <w:p>
            <w:pPr>
              <w:widowControl/>
              <w:jc w:val="center"/>
              <w:rPr>
                <w:rFonts w:ascii="仿宋_GB2312" w:hAnsi="宋体" w:eastAsia="仿宋_GB2312" w:cs="宋体"/>
                <w:color w:val="000000"/>
                <w:kern w:val="0"/>
                <w:sz w:val="24"/>
                <w:szCs w:val="24"/>
              </w:rPr>
            </w:pPr>
          </w:p>
        </w:tc>
        <w:tc>
          <w:tcPr>
            <w:tcW w:w="6195" w:type="dxa"/>
            <w:vAlign w:val="center"/>
          </w:tcPr>
          <w:p>
            <w:pPr>
              <w:pStyle w:val="13"/>
              <w:numPr>
                <w:ilvl w:val="0"/>
                <w:numId w:val="1"/>
              </w:numPr>
              <w:rPr>
                <w:rFonts w:ascii="仿宋_GB2312" w:eastAsia="仿宋_GB2312"/>
              </w:rPr>
            </w:pPr>
            <w:r>
              <w:rPr>
                <w:rFonts w:hint="eastAsia" w:ascii="仿宋_GB2312" w:eastAsia="仿宋_GB2312"/>
              </w:rPr>
              <w:t>是否与项目年度任务数或计划数相对应；②是否与预算确定的项目投资额或资金量相匹配。一项不符合扣一分，严重的此项完全不得分。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trPr>
        <w:tc>
          <w:tcPr>
            <w:tcW w:w="948" w:type="dxa"/>
            <w:vMerge w:val="continue"/>
            <w:vAlign w:val="center"/>
          </w:tcPr>
          <w:p>
            <w:pPr>
              <w:jc w:val="center"/>
              <w:rPr>
                <w:rFonts w:ascii="仿宋_GB2312" w:eastAsia="仿宋_GB2312"/>
                <w:sz w:val="24"/>
                <w:szCs w:val="24"/>
              </w:rPr>
            </w:pPr>
          </w:p>
        </w:tc>
        <w:tc>
          <w:tcPr>
            <w:tcW w:w="1995" w:type="dxa"/>
            <w:vMerge w:val="continue"/>
          </w:tcPr>
          <w:p>
            <w:pPr>
              <w:jc w:val="center"/>
              <w:rPr>
                <w:rFonts w:ascii="仿宋_GB2312" w:eastAsia="仿宋_GB2312"/>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kern w:val="0"/>
                <w:sz w:val="24"/>
                <w:szCs w:val="24"/>
              </w:rPr>
              <w:t>绩效指标明确性</w:t>
            </w:r>
          </w:p>
        </w:tc>
        <w:tc>
          <w:tcPr>
            <w:tcW w:w="6195" w:type="dxa"/>
            <w:vAlign w:val="center"/>
          </w:tcPr>
          <w:p>
            <w:pPr>
              <w:pStyle w:val="13"/>
              <w:rPr>
                <w:rFonts w:ascii="仿宋_GB2312" w:eastAsia="仿宋_GB2312"/>
              </w:rPr>
            </w:pPr>
            <w:r>
              <w:rPr>
                <w:rFonts w:hint="eastAsia" w:ascii="仿宋_GB2312" w:eastAsia="仿宋_GB2312"/>
              </w:rPr>
              <w:t>①是否将项目绩效目标细化分解为具体的绩效指标；②是否通过清晰、可衡量的指标值予以体现。一项不符合扣2分，扣完为止。</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948" w:type="dxa"/>
            <w:vMerge w:val="continue"/>
            <w:vAlign w:val="center"/>
          </w:tcPr>
          <w:p>
            <w:pPr>
              <w:jc w:val="center"/>
              <w:rPr>
                <w:rFonts w:ascii="仿宋_GB2312" w:eastAsia="仿宋_GB2312"/>
                <w:sz w:val="24"/>
                <w:szCs w:val="24"/>
              </w:rPr>
            </w:pPr>
          </w:p>
        </w:tc>
        <w:tc>
          <w:tcPr>
            <w:tcW w:w="1995" w:type="dxa"/>
            <w:vMerge w:val="continue"/>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绩效指标完成率</w:t>
            </w:r>
          </w:p>
          <w:p>
            <w:pPr>
              <w:pStyle w:val="13"/>
              <w:jc w:val="center"/>
              <w:rPr>
                <w:rFonts w:ascii="仿宋_GB2312" w:eastAsia="仿宋_GB2312"/>
              </w:rPr>
            </w:pPr>
          </w:p>
        </w:tc>
        <w:tc>
          <w:tcPr>
            <w:tcW w:w="6195" w:type="dxa"/>
            <w:vAlign w:val="center"/>
          </w:tcPr>
          <w:p>
            <w:pPr>
              <w:pStyle w:val="13"/>
              <w:rPr>
                <w:rFonts w:ascii="仿宋_GB2312" w:eastAsia="仿宋_GB2312"/>
              </w:rPr>
            </w:pPr>
            <w:r>
              <w:rPr>
                <w:rFonts w:hint="eastAsia" w:ascii="仿宋_GB2312" w:eastAsia="仿宋_GB2312"/>
              </w:rPr>
              <w:t>①目标完成率E=目标实际完成数/期初目标编制数，本指标得分为指标权重×E。</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0" w:hRule="atLeast"/>
        </w:trPr>
        <w:tc>
          <w:tcPr>
            <w:tcW w:w="948" w:type="dxa"/>
            <w:vMerge w:val="continue"/>
            <w:vAlign w:val="center"/>
          </w:tcPr>
          <w:p>
            <w:pPr>
              <w:jc w:val="center"/>
              <w:rPr>
                <w:rFonts w:ascii="仿宋_GB2312" w:eastAsia="仿宋_GB2312"/>
                <w:sz w:val="24"/>
                <w:szCs w:val="24"/>
              </w:rPr>
            </w:pPr>
          </w:p>
        </w:tc>
        <w:tc>
          <w:tcPr>
            <w:tcW w:w="1995" w:type="dxa"/>
            <w:vMerge w:val="restart"/>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4"/>
                <w:szCs w:val="24"/>
              </w:rPr>
              <w:t>资金落实</w:t>
            </w:r>
          </w:p>
          <w:p>
            <w:pPr>
              <w:widowControl/>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成本控制率</w:t>
            </w:r>
          </w:p>
        </w:tc>
        <w:tc>
          <w:tcPr>
            <w:tcW w:w="6195" w:type="dxa"/>
            <w:vAlign w:val="center"/>
          </w:tcPr>
          <w:p>
            <w:pPr>
              <w:pStyle w:val="13"/>
              <w:rPr>
                <w:rFonts w:ascii="仿宋_GB2312" w:eastAsia="仿宋_GB2312"/>
              </w:rPr>
            </w:pPr>
            <w:r>
              <w:rPr>
                <w:rFonts w:hint="eastAsia" w:ascii="仿宋_GB2312" w:eastAsia="仿宋_GB2312"/>
              </w:rPr>
              <w:t>成本控制率A=截至年末累计支出数/项目概算或当年预算数。A</w:t>
            </w:r>
            <w:r>
              <w:rPr>
                <w:rFonts w:hint="eastAsia" w:eastAsia="仿宋_GB2312"/>
              </w:rPr>
              <w:t>≦</w:t>
            </w:r>
            <w:r>
              <w:rPr>
                <w:rFonts w:hint="eastAsia" w:ascii="仿宋_GB2312" w:eastAsia="仿宋_GB2312"/>
              </w:rPr>
              <w:t>100%得满分；100%</w:t>
            </w:r>
            <w:r>
              <w:rPr>
                <w:rFonts w:hint="eastAsia" w:ascii="仿宋_GB2312"/>
              </w:rPr>
              <w:t>﹤</w:t>
            </w:r>
            <w:r>
              <w:rPr>
                <w:rFonts w:hint="eastAsia" w:ascii="仿宋_GB2312" w:eastAsia="仿宋_GB2312"/>
              </w:rPr>
              <w:t>A</w:t>
            </w:r>
            <w:r>
              <w:rPr>
                <w:rFonts w:hint="eastAsia" w:eastAsia="仿宋_GB2312"/>
              </w:rPr>
              <w:t>≦</w:t>
            </w:r>
            <w:r>
              <w:rPr>
                <w:rFonts w:hint="eastAsia" w:ascii="仿宋_GB2312" w:eastAsia="仿宋_GB2312"/>
              </w:rPr>
              <w:t>105%时，得分为此项指标满分值-100×（A-100%）（如：A=102.8%，此项指标权重4分，则得分为4-2.8=1.2分），A＞105%时不得分。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4"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资金到位率</w:t>
            </w:r>
          </w:p>
        </w:tc>
        <w:tc>
          <w:tcPr>
            <w:tcW w:w="6195" w:type="dxa"/>
            <w:vAlign w:val="center"/>
          </w:tcPr>
          <w:p>
            <w:pPr>
              <w:pStyle w:val="13"/>
              <w:rPr>
                <w:rFonts w:ascii="仿宋_GB2312" w:eastAsia="仿宋_GB2312"/>
              </w:rPr>
            </w:pPr>
            <w:r>
              <w:rPr>
                <w:rFonts w:hint="eastAsia" w:ascii="仿宋_GB2312" w:eastAsia="仿宋_GB2312"/>
              </w:rPr>
              <w:t>①资金到位率=（实际到位资金/计划投入资金）×100%。资金到位率大于90%的得满分，每少5个百分点扣1分，扣完为止。实际到位资金：一定时期（本年度或项目期）内实际落实到项目实施单位的资金总额。计划投入资金：一定时期（本年度或项目期）内计划投入到项目实施单位的资金总额。</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4"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widowControl/>
              <w:jc w:val="center"/>
              <w:rPr>
                <w:rFonts w:ascii="仿宋_GB2312" w:hAnsi="宋体" w:eastAsia="仿宋_GB2312"/>
                <w:kern w:val="0"/>
                <w:sz w:val="24"/>
                <w:szCs w:val="24"/>
              </w:rPr>
            </w:pP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资金使用率</w:t>
            </w:r>
          </w:p>
        </w:tc>
        <w:tc>
          <w:tcPr>
            <w:tcW w:w="6195" w:type="dxa"/>
            <w:vAlign w:val="center"/>
          </w:tcPr>
          <w:p>
            <w:pPr>
              <w:pStyle w:val="13"/>
              <w:rPr>
                <w:rFonts w:ascii="仿宋_GB2312" w:eastAsia="仿宋_GB2312"/>
              </w:rPr>
            </w:pPr>
            <w:r>
              <w:rPr>
                <w:rFonts w:hint="eastAsia" w:ascii="仿宋_GB2312" w:eastAsia="仿宋_GB2312"/>
              </w:rPr>
              <w:t>①资金使用率=（实际使用资金/实际到位资金）×100%。资金使用率大于95%的得满分，每少5个百分点扣1分，扣完为止。实际使用资金：一定时期（本年度或项目期）内项目实施单位实际使用的资金总额。</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bl>
    <w:p>
      <w:pPr>
        <w:ind w:right="105"/>
        <w:jc w:val="right"/>
        <w:rPr>
          <w:rFonts w:ascii="仿宋_GB2312" w:eastAsia="仿宋_GB2312"/>
          <w:b/>
        </w:rPr>
      </w:pPr>
    </w:p>
    <w:p>
      <w:pPr>
        <w:ind w:right="105"/>
        <w:jc w:val="right"/>
        <w:rPr>
          <w:rFonts w:ascii="仿宋_GB2312" w:eastAsia="仿宋_GB2312"/>
          <w:b/>
        </w:rPr>
      </w:pPr>
    </w:p>
    <w:p>
      <w:pPr>
        <w:ind w:right="105"/>
        <w:jc w:val="right"/>
        <w:rPr>
          <w:rFonts w:ascii="仿宋_GB2312" w:eastAsia="仿宋_GB2312"/>
          <w:b/>
        </w:rPr>
      </w:pPr>
      <w:r>
        <w:rPr>
          <w:rFonts w:hint="eastAsia" w:ascii="仿宋_GB2312" w:eastAsia="仿宋_GB2312"/>
          <w:b/>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4"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过程</w:t>
            </w:r>
          </w:p>
          <w:p>
            <w:pPr>
              <w:jc w:val="center"/>
              <w:rPr>
                <w:rFonts w:ascii="仿宋_GB2312" w:eastAsia="仿宋_GB2312"/>
                <w:sz w:val="24"/>
                <w:szCs w:val="24"/>
              </w:rPr>
            </w:pPr>
            <w:r>
              <w:rPr>
                <w:rFonts w:hint="eastAsia" w:ascii="仿宋_GB2312" w:hAnsi="宋体" w:eastAsia="仿宋_GB2312"/>
                <w:b/>
                <w:bCs/>
                <w:kern w:val="0"/>
                <w:sz w:val="24"/>
                <w:szCs w:val="24"/>
              </w:rPr>
              <w:t>（30分）</w:t>
            </w:r>
          </w:p>
        </w:tc>
        <w:tc>
          <w:tcPr>
            <w:tcW w:w="1995" w:type="dxa"/>
            <w:vMerge w:val="restart"/>
            <w:vAlign w:val="center"/>
          </w:tcPr>
          <w:p>
            <w:pPr>
              <w:jc w:val="center"/>
              <w:rPr>
                <w:rFonts w:ascii="仿宋_GB2312" w:hAnsi="宋体" w:eastAsia="仿宋_GB2312"/>
                <w:kern w:val="0"/>
                <w:sz w:val="24"/>
                <w:szCs w:val="24"/>
              </w:rPr>
            </w:pPr>
            <w:r>
              <w:rPr>
                <w:rFonts w:hint="eastAsia" w:ascii="仿宋_GB2312" w:hAnsi="宋体" w:eastAsia="仿宋_GB2312"/>
                <w:kern w:val="0"/>
                <w:sz w:val="24"/>
                <w:szCs w:val="24"/>
              </w:rPr>
              <w:t>业务管理</w:t>
            </w:r>
          </w:p>
          <w:p>
            <w:pPr>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管理制度健全性</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eastAsia="仿宋_GB2312"/>
                <w:sz w:val="24"/>
                <w:szCs w:val="24"/>
              </w:rPr>
              <w:t>是否已制定或具有相应的业务管理制度；</w:t>
            </w:r>
            <w:r>
              <w:rPr>
                <w:rFonts w:hint="eastAsia" w:ascii="仿宋_GB2312" w:hAnsi="宋体" w:eastAsia="仿宋_GB2312" w:cs="宋体"/>
                <w:sz w:val="24"/>
                <w:szCs w:val="24"/>
              </w:rPr>
              <w:t>②</w:t>
            </w:r>
            <w:r>
              <w:rPr>
                <w:rFonts w:hint="eastAsia" w:ascii="仿宋_GB2312" w:eastAsia="仿宋_GB2312"/>
                <w:sz w:val="24"/>
                <w:szCs w:val="24"/>
              </w:rPr>
              <w:t>业务管理制度是否合法、合规、完整。一项不符合扣一分，严重的此项完全不得分。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管理制度执行情况</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eastAsia="仿宋_GB2312"/>
                <w:sz w:val="24"/>
                <w:szCs w:val="24"/>
              </w:rPr>
              <w:t>是否已制定或具有相应的业务管理制度；</w:t>
            </w:r>
            <w:r>
              <w:rPr>
                <w:rFonts w:hint="eastAsia" w:ascii="仿宋_GB2312" w:hAnsi="宋体" w:eastAsia="仿宋_GB2312" w:cs="宋体"/>
                <w:sz w:val="24"/>
                <w:szCs w:val="24"/>
              </w:rPr>
              <w:t>②</w:t>
            </w:r>
            <w:r>
              <w:rPr>
                <w:rFonts w:hint="eastAsia" w:ascii="仿宋_GB2312" w:eastAsia="仿宋_GB2312"/>
                <w:sz w:val="24"/>
                <w:szCs w:val="24"/>
              </w:rPr>
              <w:t>业务管理制度是否合法、合规、完整。一项不符合扣一分，严重的此项完全不得分。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项目质量可控性</w:t>
            </w:r>
          </w:p>
          <w:p>
            <w:pPr>
              <w:pStyle w:val="6"/>
              <w:jc w:val="center"/>
              <w:rPr>
                <w:rFonts w:ascii="仿宋_GB2312" w:hAnsi="宋体" w:eastAsia="仿宋_GB2312"/>
                <w:sz w:val="24"/>
                <w:szCs w:val="24"/>
              </w:rPr>
            </w:pPr>
          </w:p>
        </w:tc>
        <w:tc>
          <w:tcPr>
            <w:tcW w:w="6195" w:type="dxa"/>
            <w:vAlign w:val="center"/>
          </w:tcPr>
          <w:p>
            <w:pPr>
              <w:pStyle w:val="13"/>
              <w:rPr>
                <w:rFonts w:ascii="仿宋_GB2312" w:eastAsia="仿宋_GB2312"/>
              </w:rPr>
            </w:pPr>
            <w:r>
              <w:rPr>
                <w:rFonts w:hint="eastAsia" w:ascii="仿宋_GB2312" w:eastAsia="仿宋_GB2312"/>
              </w:rPr>
              <w:t>①是否具有或制定了相应的项目质量要求或标准；②是否采取了必需的控制措施或手段。一项不符合扣2.5分，严重的此项完全不得分。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2" w:hRule="atLeast"/>
        </w:trPr>
        <w:tc>
          <w:tcPr>
            <w:tcW w:w="948" w:type="dxa"/>
            <w:vMerge w:val="continue"/>
            <w:vAlign w:val="center"/>
          </w:tcPr>
          <w:p>
            <w:pPr>
              <w:jc w:val="center"/>
              <w:rPr>
                <w:rFonts w:ascii="仿宋_GB2312" w:eastAsia="仿宋_GB2312"/>
                <w:sz w:val="24"/>
                <w:szCs w:val="24"/>
              </w:rPr>
            </w:pPr>
          </w:p>
        </w:tc>
        <w:tc>
          <w:tcPr>
            <w:tcW w:w="1995" w:type="dxa"/>
            <w:vMerge w:val="restart"/>
            <w:vAlign w:val="center"/>
          </w:tcPr>
          <w:p>
            <w:pPr>
              <w:jc w:val="center"/>
              <w:rPr>
                <w:rFonts w:ascii="仿宋_GB2312" w:hAnsi="宋体" w:eastAsia="仿宋_GB2312"/>
                <w:kern w:val="0"/>
                <w:sz w:val="24"/>
                <w:szCs w:val="24"/>
              </w:rPr>
            </w:pPr>
            <w:r>
              <w:rPr>
                <w:rFonts w:hint="eastAsia" w:ascii="仿宋_GB2312" w:hAnsi="宋体" w:eastAsia="仿宋_GB2312"/>
                <w:kern w:val="0"/>
                <w:sz w:val="24"/>
                <w:szCs w:val="24"/>
              </w:rPr>
              <w:t>资金使用管理</w:t>
            </w:r>
          </w:p>
          <w:p>
            <w:pPr>
              <w:jc w:val="center"/>
              <w:rPr>
                <w:rFonts w:ascii="仿宋_GB2312" w:hAnsi="宋体" w:eastAsia="仿宋_GB2312"/>
                <w:kern w:val="0"/>
                <w:sz w:val="24"/>
                <w:szCs w:val="24"/>
              </w:rPr>
            </w:pPr>
            <w:r>
              <w:rPr>
                <w:rFonts w:hint="eastAsia" w:ascii="仿宋_GB2312" w:hAnsi="宋体" w:eastAsia="仿宋_GB2312"/>
                <w:kern w:val="0"/>
                <w:sz w:val="24"/>
                <w:szCs w:val="24"/>
              </w:rPr>
              <w:t>（15分）</w:t>
            </w:r>
          </w:p>
        </w:tc>
        <w:tc>
          <w:tcPr>
            <w:tcW w:w="2835" w:type="dxa"/>
            <w:vAlign w:val="center"/>
          </w:tcPr>
          <w:p>
            <w:pPr>
              <w:pStyle w:val="13"/>
              <w:jc w:val="center"/>
              <w:rPr>
                <w:rFonts w:ascii="仿宋_GB2312" w:eastAsia="仿宋_GB2312"/>
              </w:rPr>
            </w:pPr>
            <w:r>
              <w:rPr>
                <w:rFonts w:hint="eastAsia" w:ascii="仿宋_GB2312" w:eastAsia="仿宋_GB2312"/>
              </w:rPr>
              <w:t>资金使用合规性</w:t>
            </w:r>
          </w:p>
          <w:p>
            <w:pPr>
              <w:widowControl/>
              <w:jc w:val="center"/>
              <w:rPr>
                <w:rFonts w:ascii="仿宋_GB2312" w:hAnsi="宋体" w:eastAsia="仿宋_GB2312" w:cs="宋体"/>
                <w:color w:val="000000"/>
                <w:kern w:val="0"/>
                <w:sz w:val="24"/>
                <w:szCs w:val="24"/>
              </w:rPr>
            </w:pP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sz w:val="24"/>
                <w:szCs w:val="24"/>
              </w:rPr>
              <w:t>①</w:t>
            </w:r>
            <w:r>
              <w:rPr>
                <w:rFonts w:hint="eastAsia" w:ascii="仿宋_GB2312" w:eastAsia="仿宋_GB2312"/>
                <w:sz w:val="24"/>
                <w:szCs w:val="24"/>
              </w:rPr>
              <w:t>是否符合国家财经法规和财务管理制度以及有关专项资金管理办法的规定；</w:t>
            </w:r>
            <w:r>
              <w:rPr>
                <w:rFonts w:hint="eastAsia" w:ascii="仿宋_GB2312" w:hAnsi="宋体" w:eastAsia="仿宋_GB2312" w:cs="宋体"/>
                <w:sz w:val="24"/>
                <w:szCs w:val="24"/>
              </w:rPr>
              <w:t>②</w:t>
            </w:r>
            <w:r>
              <w:rPr>
                <w:rFonts w:hint="eastAsia" w:ascii="仿宋_GB2312" w:eastAsia="仿宋_GB2312"/>
                <w:sz w:val="24"/>
                <w:szCs w:val="24"/>
              </w:rPr>
              <w:t>资金的拨付是否有完整的审批程序和手续；</w:t>
            </w:r>
            <w:r>
              <w:rPr>
                <w:rFonts w:hint="eastAsia" w:ascii="仿宋_GB2312" w:hAnsi="宋体" w:eastAsia="仿宋_GB2312" w:cs="宋体"/>
                <w:sz w:val="24"/>
                <w:szCs w:val="24"/>
              </w:rPr>
              <w:t>③</w:t>
            </w:r>
            <w:r>
              <w:rPr>
                <w:rFonts w:hint="eastAsia" w:ascii="仿宋_GB2312" w:eastAsia="仿宋_GB2312"/>
                <w:sz w:val="24"/>
                <w:szCs w:val="24"/>
              </w:rPr>
              <w:t>项目的重大开支是否经过评估认证。一项不符合扣2分，严重的此项完全不得分。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9"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财务管理制度健全性</w:t>
            </w:r>
          </w:p>
          <w:p>
            <w:pPr>
              <w:widowControl/>
              <w:jc w:val="center"/>
              <w:rPr>
                <w:rFonts w:ascii="仿宋_GB2312" w:hAnsi="宋体" w:eastAsia="仿宋_GB2312" w:cs="宋体"/>
                <w:color w:val="000000"/>
                <w:kern w:val="0"/>
                <w:sz w:val="24"/>
                <w:szCs w:val="24"/>
              </w:rPr>
            </w:pPr>
          </w:p>
        </w:tc>
        <w:tc>
          <w:tcPr>
            <w:tcW w:w="6195" w:type="dxa"/>
            <w:vAlign w:val="center"/>
          </w:tcPr>
          <w:p>
            <w:pPr>
              <w:pStyle w:val="13"/>
              <w:rPr>
                <w:rFonts w:ascii="仿宋_GB2312" w:eastAsia="仿宋_GB2312"/>
              </w:rPr>
            </w:pPr>
            <w:r>
              <w:rPr>
                <w:rFonts w:hint="eastAsia" w:ascii="仿宋_GB2312" w:eastAsia="仿宋_GB2312"/>
              </w:rPr>
              <w:t>①是否有专门的项目资金管理办法；②项目资金管理办法是否符合相关财务会计制度的规定。无项目资金管理办法此项不得分。有项目资金管理办法但有1处不符合要求的扣1分，扣完为止。</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948" w:type="dxa"/>
            <w:vMerge w:val="continue"/>
            <w:vAlign w:val="center"/>
          </w:tcPr>
          <w:p>
            <w:pPr>
              <w:jc w:val="center"/>
              <w:rPr>
                <w:rFonts w:ascii="仿宋_GB2312" w:eastAsia="仿宋_GB2312"/>
                <w:sz w:val="24"/>
                <w:szCs w:val="24"/>
              </w:rPr>
            </w:pPr>
          </w:p>
        </w:tc>
        <w:tc>
          <w:tcPr>
            <w:tcW w:w="1995" w:type="dxa"/>
            <w:vMerge w:val="continue"/>
            <w:vAlign w:val="center"/>
          </w:tcPr>
          <w:p>
            <w:pPr>
              <w:jc w:val="center"/>
              <w:rPr>
                <w:rFonts w:ascii="仿宋_GB2312" w:eastAsia="仿宋_GB2312"/>
                <w:sz w:val="24"/>
                <w:szCs w:val="24"/>
              </w:rPr>
            </w:pPr>
          </w:p>
        </w:tc>
        <w:tc>
          <w:tcPr>
            <w:tcW w:w="2835" w:type="dxa"/>
            <w:vAlign w:val="center"/>
          </w:tcPr>
          <w:p>
            <w:pPr>
              <w:pStyle w:val="13"/>
              <w:jc w:val="center"/>
              <w:rPr>
                <w:rFonts w:ascii="仿宋_GB2312" w:eastAsia="仿宋_GB2312"/>
              </w:rPr>
            </w:pPr>
            <w:r>
              <w:rPr>
                <w:rFonts w:hint="eastAsia" w:ascii="仿宋_GB2312" w:eastAsia="仿宋_GB2312"/>
              </w:rPr>
              <w:t>项目资金安全性</w:t>
            </w:r>
          </w:p>
          <w:p>
            <w:pPr>
              <w:widowControl/>
              <w:jc w:val="center"/>
              <w:rPr>
                <w:rFonts w:ascii="仿宋_GB2312" w:hAnsi="宋体" w:eastAsia="仿宋_GB2312" w:cs="宋体"/>
                <w:color w:val="000000"/>
                <w:kern w:val="0"/>
                <w:sz w:val="24"/>
                <w:szCs w:val="24"/>
              </w:rPr>
            </w:pPr>
          </w:p>
        </w:tc>
        <w:tc>
          <w:tcPr>
            <w:tcW w:w="6195" w:type="dxa"/>
            <w:vAlign w:val="center"/>
          </w:tcPr>
          <w:p>
            <w:pPr>
              <w:pStyle w:val="13"/>
              <w:rPr>
                <w:rFonts w:ascii="仿宋_GB2312" w:eastAsia="仿宋_GB2312"/>
              </w:rPr>
            </w:pPr>
            <w:r>
              <w:rPr>
                <w:rFonts w:hint="eastAsia" w:ascii="仿宋_GB2312" w:eastAsia="仿宋_GB2312"/>
              </w:rPr>
              <w:t>①是否符合项目预算批复或合同规定的用途；②是否存在截留、挤占、挪用等情况。第一项不符合扣2分，第二项存在截留、挤占、挪用扣3分。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948"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产出与效益</w:t>
            </w:r>
          </w:p>
          <w:p>
            <w:pPr>
              <w:jc w:val="center"/>
              <w:rPr>
                <w:rFonts w:ascii="仿宋_GB2312" w:eastAsia="仿宋_GB2312"/>
                <w:sz w:val="24"/>
                <w:szCs w:val="24"/>
              </w:rPr>
            </w:pPr>
            <w:r>
              <w:rPr>
                <w:rFonts w:hint="eastAsia" w:ascii="仿宋_GB2312" w:hAnsi="宋体" w:eastAsia="仿宋_GB2312"/>
                <w:b/>
                <w:bCs/>
                <w:kern w:val="0"/>
                <w:sz w:val="24"/>
                <w:szCs w:val="24"/>
              </w:rPr>
              <w:t>（</w:t>
            </w:r>
            <w:r>
              <w:rPr>
                <w:rFonts w:hint="eastAsia" w:ascii="仿宋_GB2312" w:hAnsi="宋体" w:eastAsia="仿宋_GB2312"/>
                <w:b/>
                <w:bCs/>
                <w:kern w:val="0"/>
                <w:sz w:val="24"/>
                <w:szCs w:val="24"/>
                <w:lang w:val="en-US" w:eastAsia="zh-CN"/>
              </w:rPr>
              <w:t>4</w:t>
            </w:r>
            <w:r>
              <w:rPr>
                <w:rFonts w:hint="eastAsia" w:ascii="仿宋_GB2312" w:hAnsi="宋体" w:eastAsia="仿宋_GB2312"/>
                <w:b/>
                <w:bCs/>
                <w:kern w:val="0"/>
                <w:sz w:val="24"/>
                <w:szCs w:val="24"/>
              </w:rPr>
              <w:t>0分）</w:t>
            </w: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产出数量</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eastAsia="仿宋_GB2312"/>
              </w:rPr>
              <w:t>培训乡镇统计员人员数</w:t>
            </w:r>
          </w:p>
        </w:tc>
        <w:tc>
          <w:tcPr>
            <w:tcW w:w="6195" w:type="dxa"/>
            <w:vAlign w:val="center"/>
          </w:tcPr>
          <w:p>
            <w:pPr>
              <w:pStyle w:val="13"/>
              <w:rPr>
                <w:rFonts w:ascii="仿宋_GB2312" w:eastAsia="仿宋_GB2312"/>
              </w:rPr>
            </w:pPr>
            <w:r>
              <w:rPr>
                <w:rFonts w:hint="eastAsia" w:ascii="仿宋_GB2312" w:eastAsia="仿宋_GB2312"/>
              </w:rPr>
              <w:t>目标值完成比例*指标权重（目标值比例超过100%按满分计算）</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bl>
    <w:p>
      <w:pPr>
        <w:ind w:right="480"/>
        <w:rPr>
          <w:rFonts w:ascii="仿宋_GB2312" w:eastAsia="仿宋_GB2312"/>
          <w:b/>
          <w:sz w:val="24"/>
          <w:szCs w:val="24"/>
        </w:rPr>
      </w:pPr>
    </w:p>
    <w:p>
      <w:pPr>
        <w:ind w:right="480" w:firstLine="1063" w:firstLineChars="441"/>
        <w:rPr>
          <w:rFonts w:ascii="仿宋_GB2312" w:eastAsia="仿宋_GB2312"/>
          <w:b/>
          <w:sz w:val="24"/>
          <w:szCs w:val="24"/>
        </w:rPr>
      </w:pPr>
    </w:p>
    <w:p>
      <w:pPr>
        <w:ind w:right="480" w:firstLine="12647" w:firstLineChars="5249"/>
        <w:rPr>
          <w:rFonts w:ascii="仿宋_GB2312" w:eastAsia="仿宋_GB2312"/>
          <w:sz w:val="24"/>
          <w:szCs w:val="24"/>
        </w:rPr>
      </w:pPr>
      <w:r>
        <w:rPr>
          <w:rFonts w:hint="eastAsia" w:ascii="仿宋_GB2312" w:eastAsia="仿宋_GB2312"/>
          <w:b/>
          <w:sz w:val="24"/>
          <w:szCs w:val="24"/>
        </w:rPr>
        <w:t>续上表</w:t>
      </w:r>
    </w:p>
    <w:tbl>
      <w:tblPr>
        <w:tblStyle w:val="14"/>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995"/>
        <w:gridCol w:w="2835"/>
        <w:gridCol w:w="6195"/>
        <w:gridCol w:w="1155"/>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一级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9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二级</w:t>
            </w:r>
          </w:p>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83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19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48" w:type="dxa"/>
            <w:vMerge w:val="restart"/>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产出与效益</w:t>
            </w:r>
          </w:p>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（50分）</w:t>
            </w: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产出质量</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乡镇统计员队伍稳定率</w:t>
            </w:r>
          </w:p>
        </w:tc>
        <w:tc>
          <w:tcPr>
            <w:tcW w:w="6195" w:type="dxa"/>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目标值完成比例*指标权重（目标值比例超过100%按满分计算）</w:t>
            </w:r>
          </w:p>
        </w:tc>
        <w:tc>
          <w:tcPr>
            <w:tcW w:w="1155"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48" w:type="dxa"/>
            <w:vMerge w:val="continue"/>
            <w:vAlign w:val="center"/>
          </w:tcPr>
          <w:p>
            <w:pPr>
              <w:jc w:val="center"/>
              <w:rPr>
                <w:rFonts w:ascii="仿宋_GB2312" w:hAnsi="宋体" w:eastAsia="仿宋_GB2312"/>
                <w:b/>
                <w:bCs/>
                <w:kern w:val="0"/>
                <w:sz w:val="24"/>
                <w:szCs w:val="24"/>
              </w:rPr>
            </w:pPr>
          </w:p>
        </w:tc>
        <w:tc>
          <w:tcPr>
            <w:tcW w:w="1995" w:type="dxa"/>
            <w:vAlign w:val="center"/>
          </w:tcPr>
          <w:p>
            <w:pPr>
              <w:jc w:val="center"/>
              <w:rPr>
                <w:rFonts w:ascii="仿宋_GB2312" w:hAnsi="宋体" w:eastAsia="仿宋_GB2312"/>
                <w:sz w:val="24"/>
                <w:szCs w:val="24"/>
              </w:rPr>
            </w:pPr>
            <w:r>
              <w:rPr>
                <w:rFonts w:hint="eastAsia" w:ascii="仿宋_GB2312" w:hAnsi="宋体" w:eastAsia="仿宋_GB2312"/>
                <w:sz w:val="24"/>
                <w:szCs w:val="24"/>
              </w:rPr>
              <w:t>社会效益</w:t>
            </w:r>
          </w:p>
          <w:p>
            <w:pPr>
              <w:jc w:val="center"/>
              <w:rPr>
                <w:rFonts w:ascii="仿宋_GB2312" w:hAnsi="宋体" w:eastAsia="仿宋_GB2312"/>
                <w:sz w:val="24"/>
                <w:szCs w:val="24"/>
              </w:rPr>
            </w:pPr>
            <w:r>
              <w:rPr>
                <w:rFonts w:hint="eastAsia" w:ascii="仿宋_GB2312" w:hAnsi="宋体" w:eastAsia="仿宋_GB2312"/>
                <w:sz w:val="24"/>
                <w:szCs w:val="24"/>
              </w:rPr>
              <w:t>（10分）</w:t>
            </w:r>
          </w:p>
        </w:tc>
        <w:tc>
          <w:tcPr>
            <w:tcW w:w="2835" w:type="dxa"/>
            <w:vAlign w:val="center"/>
          </w:tcPr>
          <w:p>
            <w:pPr>
              <w:pStyle w:val="13"/>
              <w:rPr>
                <w:rFonts w:ascii="仿宋_GB2312" w:eastAsia="仿宋_GB2312"/>
              </w:rPr>
            </w:pPr>
            <w:r>
              <w:rPr>
                <w:rFonts w:hint="eastAsia" w:ascii="仿宋_GB2312" w:eastAsia="仿宋_GB2312"/>
              </w:rPr>
              <w:t>统计各方面数据的覆盖率</w:t>
            </w:r>
          </w:p>
        </w:tc>
        <w:tc>
          <w:tcPr>
            <w:tcW w:w="6195" w:type="dxa"/>
            <w:vAlign w:val="center"/>
          </w:tcPr>
          <w:p>
            <w:pPr>
              <w:pStyle w:val="13"/>
              <w:rPr>
                <w:rFonts w:ascii="仿宋_GB2312" w:eastAsia="仿宋_GB2312"/>
              </w:rPr>
            </w:pPr>
            <w:r>
              <w:rPr>
                <w:rFonts w:hint="eastAsia" w:ascii="仿宋_GB2312" w:eastAsia="仿宋_GB2312"/>
              </w:rPr>
              <w:t>目标值完成比例*指标权重（目标值比例超过100%按满分计算）</w:t>
            </w:r>
          </w:p>
        </w:tc>
        <w:tc>
          <w:tcPr>
            <w:tcW w:w="1155" w:type="dxa"/>
            <w:vAlign w:val="center"/>
          </w:tcPr>
          <w:p>
            <w:pPr>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48" w:type="dxa"/>
            <w:vMerge w:val="continue"/>
            <w:vAlign w:val="center"/>
          </w:tcPr>
          <w:p>
            <w:pPr>
              <w:jc w:val="center"/>
              <w:rPr>
                <w:rFonts w:ascii="仿宋_GB2312" w:eastAsia="仿宋_GB2312"/>
                <w:sz w:val="24"/>
                <w:szCs w:val="24"/>
              </w:rPr>
            </w:pPr>
          </w:p>
        </w:tc>
        <w:tc>
          <w:tcPr>
            <w:tcW w:w="1995" w:type="dxa"/>
            <w:vAlign w:val="center"/>
          </w:tcPr>
          <w:p>
            <w:pPr>
              <w:jc w:val="center"/>
              <w:rPr>
                <w:rFonts w:ascii="仿宋_GB2312" w:hAnsi="宋体" w:eastAsia="仿宋_GB2312" w:cs="宋体"/>
                <w:sz w:val="24"/>
                <w:szCs w:val="24"/>
              </w:rPr>
            </w:pPr>
            <w:r>
              <w:rPr>
                <w:rFonts w:hint="eastAsia" w:ascii="仿宋_GB2312" w:hAnsi="宋体" w:eastAsia="仿宋_GB2312" w:cs="宋体"/>
                <w:sz w:val="24"/>
                <w:szCs w:val="24"/>
              </w:rPr>
              <w:t>服务对象满意度</w:t>
            </w:r>
          </w:p>
          <w:p>
            <w:pPr>
              <w:jc w:val="center"/>
              <w:rPr>
                <w:rFonts w:ascii="仿宋_GB2312" w:hAnsi="宋体" w:eastAsia="仿宋_GB2312" w:cs="宋体"/>
                <w:sz w:val="24"/>
                <w:szCs w:val="24"/>
              </w:rPr>
            </w:pPr>
            <w:r>
              <w:rPr>
                <w:rFonts w:hint="eastAsia" w:ascii="仿宋_GB2312" w:hAnsi="宋体" w:eastAsia="仿宋_GB2312" w:cs="宋体"/>
                <w:sz w:val="24"/>
                <w:szCs w:val="24"/>
              </w:rPr>
              <w:t>（</w:t>
            </w:r>
            <w:r>
              <w:rPr>
                <w:rFonts w:hint="eastAsia" w:ascii="仿宋_GB2312" w:hAnsi="宋体" w:eastAsia="仿宋_GB2312" w:cs="宋体"/>
                <w:sz w:val="24"/>
                <w:szCs w:val="24"/>
                <w:lang w:val="en-US" w:eastAsia="zh-CN"/>
              </w:rPr>
              <w:t>10</w:t>
            </w:r>
            <w:r>
              <w:rPr>
                <w:rFonts w:hint="eastAsia" w:ascii="仿宋_GB2312" w:hAnsi="宋体" w:eastAsia="仿宋_GB2312" w:cs="宋体"/>
                <w:sz w:val="24"/>
                <w:szCs w:val="24"/>
              </w:rPr>
              <w:t>分）</w:t>
            </w:r>
          </w:p>
        </w:tc>
        <w:tc>
          <w:tcPr>
            <w:tcW w:w="2835" w:type="dxa"/>
            <w:vAlign w:val="center"/>
          </w:tcPr>
          <w:p>
            <w:pPr>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群众满意度</w:t>
            </w:r>
          </w:p>
        </w:tc>
        <w:tc>
          <w:tcPr>
            <w:tcW w:w="6195" w:type="dxa"/>
            <w:vAlign w:val="center"/>
          </w:tcPr>
          <w:p>
            <w:pPr>
              <w:pStyle w:val="13"/>
              <w:rPr>
                <w:rFonts w:ascii="仿宋_GB2312" w:eastAsia="仿宋_GB2312"/>
              </w:rPr>
            </w:pPr>
            <w:r>
              <w:rPr>
                <w:rFonts w:hint="eastAsia" w:ascii="仿宋_GB2312" w:eastAsia="仿宋_GB2312"/>
              </w:rPr>
              <w:t>满意度达95％及以上，得满分，少10百分点扣1分，扣完为止。</w:t>
            </w:r>
          </w:p>
          <w:p>
            <w:pPr>
              <w:jc w:val="left"/>
              <w:rPr>
                <w:rFonts w:ascii="仿宋_GB2312" w:hAnsi="宋体" w:eastAsia="仿宋_GB2312" w:cs="宋体"/>
                <w:color w:val="000000"/>
                <w:kern w:val="0"/>
                <w:sz w:val="24"/>
                <w:szCs w:val="24"/>
              </w:rPr>
            </w:pPr>
          </w:p>
        </w:tc>
        <w:tc>
          <w:tcPr>
            <w:tcW w:w="1155" w:type="dxa"/>
            <w:vAlign w:val="center"/>
          </w:tcPr>
          <w:p>
            <w:pPr>
              <w:widowControl/>
              <w:jc w:val="center"/>
              <w:rPr>
                <w:rFonts w:ascii="仿宋_GB2312" w:hAnsi="宋体" w:eastAsia="仿宋_GB2312"/>
                <w:b/>
                <w:bCs/>
                <w:kern w:val="0"/>
                <w:sz w:val="24"/>
                <w:szCs w:val="24"/>
              </w:rPr>
            </w:pPr>
            <w:r>
              <w:rPr>
                <w:rFonts w:hint="eastAsia" w:ascii="仿宋_GB2312" w:hAnsi="宋体" w:eastAsia="仿宋_GB2312"/>
                <w:b/>
                <w:bCs/>
                <w:kern w:val="0"/>
                <w:sz w:val="24"/>
                <w:szCs w:val="24"/>
              </w:rPr>
              <w:t>10</w:t>
            </w:r>
          </w:p>
        </w:tc>
        <w:tc>
          <w:tcPr>
            <w:tcW w:w="1090" w:type="dxa"/>
            <w:vAlign w:val="center"/>
          </w:tcPr>
          <w:p>
            <w:pPr>
              <w:widowControl/>
              <w:jc w:val="center"/>
              <w:rPr>
                <w:rFonts w:hint="eastAsia" w:ascii="仿宋_GB2312" w:hAnsi="宋体" w:eastAsia="仿宋_GB2312"/>
                <w:b/>
                <w:bCs/>
                <w:kern w:val="0"/>
                <w:sz w:val="24"/>
                <w:szCs w:val="24"/>
                <w:lang w:eastAsia="zh-CN"/>
              </w:rPr>
            </w:pPr>
            <w:r>
              <w:rPr>
                <w:rFonts w:hint="eastAsia" w:ascii="仿宋_GB2312" w:hAnsi="宋体" w:eastAsia="仿宋_GB2312"/>
                <w:b/>
                <w:bCs/>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8" w:hRule="atLeast"/>
        </w:trPr>
        <w:tc>
          <w:tcPr>
            <w:tcW w:w="13128" w:type="dxa"/>
            <w:gridSpan w:val="5"/>
            <w:vAlign w:val="center"/>
          </w:tcPr>
          <w:p>
            <w:pPr>
              <w:jc w:val="center"/>
              <w:rPr>
                <w:rFonts w:ascii="仿宋_GB2312" w:hAnsi="宋体" w:eastAsia="仿宋_GB2312"/>
                <w:b/>
                <w:bCs/>
                <w:kern w:val="0"/>
                <w:sz w:val="24"/>
                <w:szCs w:val="24"/>
              </w:rPr>
            </w:pPr>
            <w:r>
              <w:rPr>
                <w:rFonts w:hint="eastAsia" w:ascii="仿宋_GB2312" w:hAnsi="宋体" w:eastAsia="仿宋_GB2312"/>
                <w:b/>
                <w:sz w:val="24"/>
                <w:szCs w:val="24"/>
              </w:rPr>
              <w:t>总权重、评价总分（S）</w:t>
            </w:r>
          </w:p>
        </w:tc>
        <w:tc>
          <w:tcPr>
            <w:tcW w:w="1090" w:type="dxa"/>
            <w:vAlign w:val="center"/>
          </w:tcPr>
          <w:p>
            <w:pPr>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95</w:t>
            </w:r>
          </w:p>
        </w:tc>
      </w:tr>
    </w:tbl>
    <w:p>
      <w:pPr>
        <w:jc w:val="right"/>
        <w:rPr>
          <w:rFonts w:ascii="仿宋_GB2312" w:eastAsia="仿宋_GB2312"/>
          <w:b/>
          <w:sz w:val="24"/>
          <w:szCs w:val="24"/>
        </w:rPr>
      </w:pPr>
    </w:p>
    <w:p>
      <w:pPr>
        <w:jc w:val="right"/>
        <w:rPr>
          <w:rFonts w:ascii="仿宋_GB2312" w:eastAsia="仿宋_GB2312"/>
          <w:b/>
          <w:sz w:val="24"/>
          <w:szCs w:val="24"/>
        </w:rPr>
      </w:pPr>
    </w:p>
    <w:p>
      <w:pPr>
        <w:rPr>
          <w:rFonts w:ascii="仿宋_GB2312" w:eastAsia="仿宋_GB2312" w:cs="Times New Roman"/>
          <w:sz w:val="24"/>
          <w:szCs w:val="24"/>
        </w:rPr>
      </w:pPr>
    </w:p>
    <w:sectPr>
      <w:pgSz w:w="16838" w:h="11906" w:orient="landscape"/>
      <w:pgMar w:top="1135"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Cambria Math">
    <w:panose1 w:val="02040503050406030204"/>
    <w:charset w:val="00"/>
    <w:family w:val="auto"/>
    <w:pitch w:val="variable"/>
    <w:sig w:usb0="E00002FF" w:usb1="420024FF" w:usb2="00000000" w:usb3="00000000" w:csb0="2000019F" w:csb1="00000000"/>
  </w:font>
  <w:font w:name="@仿宋">
    <w:panose1 w:val="02010609060101010101"/>
    <w:charset w:val="86"/>
    <w:family w:val="auto"/>
    <w:pitch w:val="fixed"/>
    <w:sig w:usb0="800002BF" w:usb1="38CF7CFA" w:usb2="00000016" w:usb3="00000000" w:csb0="00040001" w:csb1="00000000"/>
  </w:font>
  <w:font w:name="@微软雅黑">
    <w:panose1 w:val="020B0503020204020204"/>
    <w:charset w:val="86"/>
    <w:family w:val="auto"/>
    <w:pitch w:val="variable"/>
    <w:sig w:usb0="80000287" w:usb1="280F3C52" w:usb2="00000016" w:usb3="00000000" w:csb0="0004001F" w:csb1="00000000"/>
  </w:font>
  <w:font w:name="@仿宋_GB2312">
    <w:panose1 w:val="02010609030101010101"/>
    <w:charset w:val="86"/>
    <w:family w:val="auto"/>
    <w:pitch w:val="fixed"/>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p>
  <w:p>
    <w:pP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inside;mso-position-horizontal-relative:margin;mso-wrap-style:none;z-index:251660288;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bGRr0QAAAAIBAAAPAAAAAAAAAAEAIAAAACIA&#10;AABkcnMvZG93bnJldi54bWxQSwECFAAUAAAACACHTuJAySdbDxACAAAEBAAADgAAAAAAAAABACAA&#10;AAAgAQAAZHJzL2Uyb0RvYy54bWxQSwUGAAAAAAYABgBZAQAAog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35A6"/>
    <w:multiLevelType w:val="multilevel"/>
    <w:tmpl w:val="297C35A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799"/>
    <w:rsid w:val="000060B6"/>
    <w:rsid w:val="000110F8"/>
    <w:rsid w:val="00011796"/>
    <w:rsid w:val="000235CE"/>
    <w:rsid w:val="00023A5A"/>
    <w:rsid w:val="00024D3F"/>
    <w:rsid w:val="00027753"/>
    <w:rsid w:val="0003720B"/>
    <w:rsid w:val="00040C55"/>
    <w:rsid w:val="0004166F"/>
    <w:rsid w:val="000421C8"/>
    <w:rsid w:val="00046511"/>
    <w:rsid w:val="0004782D"/>
    <w:rsid w:val="0005057F"/>
    <w:rsid w:val="00056BDD"/>
    <w:rsid w:val="00057CE5"/>
    <w:rsid w:val="000621FE"/>
    <w:rsid w:val="000632B7"/>
    <w:rsid w:val="000664E2"/>
    <w:rsid w:val="000729B2"/>
    <w:rsid w:val="000809BF"/>
    <w:rsid w:val="000817E5"/>
    <w:rsid w:val="00083935"/>
    <w:rsid w:val="000873E5"/>
    <w:rsid w:val="00090C6A"/>
    <w:rsid w:val="00091F10"/>
    <w:rsid w:val="00094DFD"/>
    <w:rsid w:val="000973A5"/>
    <w:rsid w:val="000977BF"/>
    <w:rsid w:val="000A07E5"/>
    <w:rsid w:val="000A1B4D"/>
    <w:rsid w:val="000A2445"/>
    <w:rsid w:val="000A43B8"/>
    <w:rsid w:val="000B15A7"/>
    <w:rsid w:val="000B56DA"/>
    <w:rsid w:val="000C1D72"/>
    <w:rsid w:val="000C4AFC"/>
    <w:rsid w:val="000C5377"/>
    <w:rsid w:val="000D73FB"/>
    <w:rsid w:val="000E05E5"/>
    <w:rsid w:val="000E0684"/>
    <w:rsid w:val="000E23D3"/>
    <w:rsid w:val="000E4387"/>
    <w:rsid w:val="000F3FC3"/>
    <w:rsid w:val="001166A7"/>
    <w:rsid w:val="00120746"/>
    <w:rsid w:val="001234EA"/>
    <w:rsid w:val="00126552"/>
    <w:rsid w:val="00131897"/>
    <w:rsid w:val="001330A6"/>
    <w:rsid w:val="0013366D"/>
    <w:rsid w:val="0014381E"/>
    <w:rsid w:val="00146FDC"/>
    <w:rsid w:val="00156513"/>
    <w:rsid w:val="00156B87"/>
    <w:rsid w:val="001643A4"/>
    <w:rsid w:val="00164D64"/>
    <w:rsid w:val="00166714"/>
    <w:rsid w:val="0016739D"/>
    <w:rsid w:val="00171EB0"/>
    <w:rsid w:val="00182208"/>
    <w:rsid w:val="00185190"/>
    <w:rsid w:val="0019051D"/>
    <w:rsid w:val="00192DCF"/>
    <w:rsid w:val="00197176"/>
    <w:rsid w:val="00197EC2"/>
    <w:rsid w:val="001A22D3"/>
    <w:rsid w:val="001A3799"/>
    <w:rsid w:val="001A39E2"/>
    <w:rsid w:val="001A5E2B"/>
    <w:rsid w:val="001B0B57"/>
    <w:rsid w:val="001C05FF"/>
    <w:rsid w:val="001C18CD"/>
    <w:rsid w:val="001C1E9F"/>
    <w:rsid w:val="001C2F37"/>
    <w:rsid w:val="001C35C2"/>
    <w:rsid w:val="001C545E"/>
    <w:rsid w:val="001D1F15"/>
    <w:rsid w:val="001D1FB9"/>
    <w:rsid w:val="001D40E3"/>
    <w:rsid w:val="001E112F"/>
    <w:rsid w:val="001E5858"/>
    <w:rsid w:val="001E73D1"/>
    <w:rsid w:val="001F16FE"/>
    <w:rsid w:val="001F7BF6"/>
    <w:rsid w:val="002078BE"/>
    <w:rsid w:val="00212BB9"/>
    <w:rsid w:val="00215E44"/>
    <w:rsid w:val="00216733"/>
    <w:rsid w:val="00220FCE"/>
    <w:rsid w:val="00221A3E"/>
    <w:rsid w:val="00222AF3"/>
    <w:rsid w:val="00227C81"/>
    <w:rsid w:val="00232CC6"/>
    <w:rsid w:val="0023430F"/>
    <w:rsid w:val="00234D82"/>
    <w:rsid w:val="002443FB"/>
    <w:rsid w:val="00251D9E"/>
    <w:rsid w:val="00263BC2"/>
    <w:rsid w:val="002710C3"/>
    <w:rsid w:val="002761A7"/>
    <w:rsid w:val="00280F0C"/>
    <w:rsid w:val="0028230E"/>
    <w:rsid w:val="00286BBC"/>
    <w:rsid w:val="00286D38"/>
    <w:rsid w:val="00287DB6"/>
    <w:rsid w:val="0029120D"/>
    <w:rsid w:val="00294B5F"/>
    <w:rsid w:val="002A2248"/>
    <w:rsid w:val="002A29F3"/>
    <w:rsid w:val="002A483C"/>
    <w:rsid w:val="002B2430"/>
    <w:rsid w:val="002B4F2F"/>
    <w:rsid w:val="002C7E82"/>
    <w:rsid w:val="002D1246"/>
    <w:rsid w:val="002D2634"/>
    <w:rsid w:val="002E0082"/>
    <w:rsid w:val="002E0646"/>
    <w:rsid w:val="002E170A"/>
    <w:rsid w:val="002E2AC6"/>
    <w:rsid w:val="002F4D90"/>
    <w:rsid w:val="002F6C1C"/>
    <w:rsid w:val="003025D5"/>
    <w:rsid w:val="003026A3"/>
    <w:rsid w:val="00306C27"/>
    <w:rsid w:val="00311E24"/>
    <w:rsid w:val="003144BD"/>
    <w:rsid w:val="003168EE"/>
    <w:rsid w:val="00344E7C"/>
    <w:rsid w:val="00352329"/>
    <w:rsid w:val="0036149A"/>
    <w:rsid w:val="003624E6"/>
    <w:rsid w:val="00364992"/>
    <w:rsid w:val="00365C6D"/>
    <w:rsid w:val="00366E38"/>
    <w:rsid w:val="00373D1F"/>
    <w:rsid w:val="00376155"/>
    <w:rsid w:val="00383A35"/>
    <w:rsid w:val="00391187"/>
    <w:rsid w:val="00391C91"/>
    <w:rsid w:val="003A448E"/>
    <w:rsid w:val="003A6E21"/>
    <w:rsid w:val="003A7C44"/>
    <w:rsid w:val="003B4ED6"/>
    <w:rsid w:val="003B68DF"/>
    <w:rsid w:val="003C4302"/>
    <w:rsid w:val="003C481B"/>
    <w:rsid w:val="003D019C"/>
    <w:rsid w:val="003D3D63"/>
    <w:rsid w:val="003E2753"/>
    <w:rsid w:val="003E5EA3"/>
    <w:rsid w:val="003E6FD2"/>
    <w:rsid w:val="003F4818"/>
    <w:rsid w:val="003F4EEF"/>
    <w:rsid w:val="003F727C"/>
    <w:rsid w:val="004047B2"/>
    <w:rsid w:val="004103FC"/>
    <w:rsid w:val="004127D6"/>
    <w:rsid w:val="00413998"/>
    <w:rsid w:val="00422456"/>
    <w:rsid w:val="004225FC"/>
    <w:rsid w:val="004270FB"/>
    <w:rsid w:val="00430AAA"/>
    <w:rsid w:val="00430B6E"/>
    <w:rsid w:val="00433956"/>
    <w:rsid w:val="004349D9"/>
    <w:rsid w:val="00435C94"/>
    <w:rsid w:val="0044766A"/>
    <w:rsid w:val="0045149C"/>
    <w:rsid w:val="004562AF"/>
    <w:rsid w:val="004577B5"/>
    <w:rsid w:val="004631DA"/>
    <w:rsid w:val="004713A2"/>
    <w:rsid w:val="0048598B"/>
    <w:rsid w:val="004A3FB1"/>
    <w:rsid w:val="004B068D"/>
    <w:rsid w:val="004B3A6F"/>
    <w:rsid w:val="004B43A5"/>
    <w:rsid w:val="004B5D21"/>
    <w:rsid w:val="004C6635"/>
    <w:rsid w:val="004D7368"/>
    <w:rsid w:val="004D7D2C"/>
    <w:rsid w:val="004E6273"/>
    <w:rsid w:val="004E7E16"/>
    <w:rsid w:val="004F4DA7"/>
    <w:rsid w:val="005018D5"/>
    <w:rsid w:val="005027EB"/>
    <w:rsid w:val="00506BED"/>
    <w:rsid w:val="00510292"/>
    <w:rsid w:val="0051589D"/>
    <w:rsid w:val="005220B6"/>
    <w:rsid w:val="00522406"/>
    <w:rsid w:val="005233C8"/>
    <w:rsid w:val="005266DE"/>
    <w:rsid w:val="0053139F"/>
    <w:rsid w:val="005315BD"/>
    <w:rsid w:val="00532AE1"/>
    <w:rsid w:val="00533B37"/>
    <w:rsid w:val="00534894"/>
    <w:rsid w:val="0053647F"/>
    <w:rsid w:val="00546671"/>
    <w:rsid w:val="00557637"/>
    <w:rsid w:val="00562D17"/>
    <w:rsid w:val="0056355D"/>
    <w:rsid w:val="005753AF"/>
    <w:rsid w:val="005761FB"/>
    <w:rsid w:val="00582FA9"/>
    <w:rsid w:val="00586BDF"/>
    <w:rsid w:val="00597C29"/>
    <w:rsid w:val="005A1EF2"/>
    <w:rsid w:val="005A42EE"/>
    <w:rsid w:val="005B3B21"/>
    <w:rsid w:val="005B63CC"/>
    <w:rsid w:val="005C2F40"/>
    <w:rsid w:val="005C3F4C"/>
    <w:rsid w:val="005C4782"/>
    <w:rsid w:val="005C518A"/>
    <w:rsid w:val="005C7677"/>
    <w:rsid w:val="005C79DC"/>
    <w:rsid w:val="005D3B52"/>
    <w:rsid w:val="005D583B"/>
    <w:rsid w:val="005E2DC5"/>
    <w:rsid w:val="005E635E"/>
    <w:rsid w:val="005F1640"/>
    <w:rsid w:val="005F198B"/>
    <w:rsid w:val="005F2A96"/>
    <w:rsid w:val="005F3AE3"/>
    <w:rsid w:val="005F593F"/>
    <w:rsid w:val="00605B88"/>
    <w:rsid w:val="0060665C"/>
    <w:rsid w:val="006205BF"/>
    <w:rsid w:val="00620C89"/>
    <w:rsid w:val="00622BB2"/>
    <w:rsid w:val="00631435"/>
    <w:rsid w:val="006402C2"/>
    <w:rsid w:val="006409B0"/>
    <w:rsid w:val="00641200"/>
    <w:rsid w:val="00663C00"/>
    <w:rsid w:val="00665686"/>
    <w:rsid w:val="00665FF8"/>
    <w:rsid w:val="006678FD"/>
    <w:rsid w:val="0067148A"/>
    <w:rsid w:val="00676E6E"/>
    <w:rsid w:val="00681526"/>
    <w:rsid w:val="00683613"/>
    <w:rsid w:val="00687A9A"/>
    <w:rsid w:val="00694A03"/>
    <w:rsid w:val="006A3E16"/>
    <w:rsid w:val="006B20F2"/>
    <w:rsid w:val="006B2771"/>
    <w:rsid w:val="006C4BE7"/>
    <w:rsid w:val="006C5819"/>
    <w:rsid w:val="006D01F1"/>
    <w:rsid w:val="006E0B2A"/>
    <w:rsid w:val="006E5822"/>
    <w:rsid w:val="006E6BF5"/>
    <w:rsid w:val="006F5503"/>
    <w:rsid w:val="006F75F0"/>
    <w:rsid w:val="007019BF"/>
    <w:rsid w:val="00703CC2"/>
    <w:rsid w:val="00706F98"/>
    <w:rsid w:val="00712DFB"/>
    <w:rsid w:val="00716F26"/>
    <w:rsid w:val="007223C4"/>
    <w:rsid w:val="00725176"/>
    <w:rsid w:val="00733998"/>
    <w:rsid w:val="00734774"/>
    <w:rsid w:val="00737DB8"/>
    <w:rsid w:val="00744732"/>
    <w:rsid w:val="0074545B"/>
    <w:rsid w:val="00746367"/>
    <w:rsid w:val="00750C04"/>
    <w:rsid w:val="00756629"/>
    <w:rsid w:val="00757E62"/>
    <w:rsid w:val="00762821"/>
    <w:rsid w:val="00767A53"/>
    <w:rsid w:val="00776D68"/>
    <w:rsid w:val="007775EF"/>
    <w:rsid w:val="00777DD5"/>
    <w:rsid w:val="00784A2F"/>
    <w:rsid w:val="007873B1"/>
    <w:rsid w:val="007971C8"/>
    <w:rsid w:val="007A3E22"/>
    <w:rsid w:val="007A56FF"/>
    <w:rsid w:val="007B002A"/>
    <w:rsid w:val="007B3087"/>
    <w:rsid w:val="007B37CD"/>
    <w:rsid w:val="007B3F82"/>
    <w:rsid w:val="007B7EA8"/>
    <w:rsid w:val="007C6709"/>
    <w:rsid w:val="007C717B"/>
    <w:rsid w:val="007D52DA"/>
    <w:rsid w:val="007D7AFC"/>
    <w:rsid w:val="007D7FCF"/>
    <w:rsid w:val="007E017F"/>
    <w:rsid w:val="007E37D1"/>
    <w:rsid w:val="007E7E49"/>
    <w:rsid w:val="007F105E"/>
    <w:rsid w:val="007F1246"/>
    <w:rsid w:val="007F3BCB"/>
    <w:rsid w:val="00802206"/>
    <w:rsid w:val="0081609A"/>
    <w:rsid w:val="00817BEE"/>
    <w:rsid w:val="00817C9F"/>
    <w:rsid w:val="00820241"/>
    <w:rsid w:val="00821102"/>
    <w:rsid w:val="008241E3"/>
    <w:rsid w:val="0083031C"/>
    <w:rsid w:val="00831D16"/>
    <w:rsid w:val="00835298"/>
    <w:rsid w:val="00837B39"/>
    <w:rsid w:val="0085244F"/>
    <w:rsid w:val="0085497D"/>
    <w:rsid w:val="00856B05"/>
    <w:rsid w:val="00860E2B"/>
    <w:rsid w:val="008853D2"/>
    <w:rsid w:val="00886E12"/>
    <w:rsid w:val="00893876"/>
    <w:rsid w:val="008A1605"/>
    <w:rsid w:val="008A18CC"/>
    <w:rsid w:val="008A2580"/>
    <w:rsid w:val="008A4B86"/>
    <w:rsid w:val="008C3862"/>
    <w:rsid w:val="008C624A"/>
    <w:rsid w:val="008D0383"/>
    <w:rsid w:val="008D6E7A"/>
    <w:rsid w:val="008D7DFB"/>
    <w:rsid w:val="008E2045"/>
    <w:rsid w:val="008E24D9"/>
    <w:rsid w:val="008E31EF"/>
    <w:rsid w:val="008F3E4C"/>
    <w:rsid w:val="008F54D8"/>
    <w:rsid w:val="009037B0"/>
    <w:rsid w:val="00910FC0"/>
    <w:rsid w:val="00916C91"/>
    <w:rsid w:val="00917E46"/>
    <w:rsid w:val="009229F9"/>
    <w:rsid w:val="00923323"/>
    <w:rsid w:val="00941952"/>
    <w:rsid w:val="00944D0C"/>
    <w:rsid w:val="00950A75"/>
    <w:rsid w:val="0096323F"/>
    <w:rsid w:val="00967747"/>
    <w:rsid w:val="00972012"/>
    <w:rsid w:val="00977089"/>
    <w:rsid w:val="00977113"/>
    <w:rsid w:val="00985388"/>
    <w:rsid w:val="009858AB"/>
    <w:rsid w:val="00985D76"/>
    <w:rsid w:val="00986168"/>
    <w:rsid w:val="00987763"/>
    <w:rsid w:val="009A104A"/>
    <w:rsid w:val="009A1308"/>
    <w:rsid w:val="009A14B8"/>
    <w:rsid w:val="009A1C43"/>
    <w:rsid w:val="009A499C"/>
    <w:rsid w:val="009B00B2"/>
    <w:rsid w:val="009B6B19"/>
    <w:rsid w:val="009D3659"/>
    <w:rsid w:val="009D5B35"/>
    <w:rsid w:val="009E0A7C"/>
    <w:rsid w:val="009F165E"/>
    <w:rsid w:val="009F28A1"/>
    <w:rsid w:val="00A0395F"/>
    <w:rsid w:val="00A11BB5"/>
    <w:rsid w:val="00A14607"/>
    <w:rsid w:val="00A14D82"/>
    <w:rsid w:val="00A17E93"/>
    <w:rsid w:val="00A27A95"/>
    <w:rsid w:val="00A35BB8"/>
    <w:rsid w:val="00A36BA2"/>
    <w:rsid w:val="00A65A26"/>
    <w:rsid w:val="00A70851"/>
    <w:rsid w:val="00A72FD3"/>
    <w:rsid w:val="00A75734"/>
    <w:rsid w:val="00A80381"/>
    <w:rsid w:val="00A80502"/>
    <w:rsid w:val="00A869FB"/>
    <w:rsid w:val="00A9072D"/>
    <w:rsid w:val="00AA0B06"/>
    <w:rsid w:val="00AA1E22"/>
    <w:rsid w:val="00AA3ABA"/>
    <w:rsid w:val="00AA53B7"/>
    <w:rsid w:val="00AB2EA2"/>
    <w:rsid w:val="00AB4F88"/>
    <w:rsid w:val="00AB4FB9"/>
    <w:rsid w:val="00AC21D2"/>
    <w:rsid w:val="00AC5265"/>
    <w:rsid w:val="00AC568D"/>
    <w:rsid w:val="00AC6605"/>
    <w:rsid w:val="00AD03C4"/>
    <w:rsid w:val="00AD116F"/>
    <w:rsid w:val="00AD4C87"/>
    <w:rsid w:val="00AE0DC6"/>
    <w:rsid w:val="00AE19E7"/>
    <w:rsid w:val="00AE7A13"/>
    <w:rsid w:val="00AF08C1"/>
    <w:rsid w:val="00AF5A2E"/>
    <w:rsid w:val="00B02044"/>
    <w:rsid w:val="00B05F90"/>
    <w:rsid w:val="00B13C36"/>
    <w:rsid w:val="00B14BF0"/>
    <w:rsid w:val="00B235D6"/>
    <w:rsid w:val="00B371D1"/>
    <w:rsid w:val="00B40F44"/>
    <w:rsid w:val="00B464F5"/>
    <w:rsid w:val="00B76CEE"/>
    <w:rsid w:val="00B80D18"/>
    <w:rsid w:val="00B85B50"/>
    <w:rsid w:val="00B85DCC"/>
    <w:rsid w:val="00B903D8"/>
    <w:rsid w:val="00B917D7"/>
    <w:rsid w:val="00B93D20"/>
    <w:rsid w:val="00B95429"/>
    <w:rsid w:val="00BA2F6A"/>
    <w:rsid w:val="00BA4151"/>
    <w:rsid w:val="00BB020B"/>
    <w:rsid w:val="00BB3A9B"/>
    <w:rsid w:val="00BC3C7B"/>
    <w:rsid w:val="00BC3C9A"/>
    <w:rsid w:val="00BC48D2"/>
    <w:rsid w:val="00BC798B"/>
    <w:rsid w:val="00BD1DD7"/>
    <w:rsid w:val="00BE0154"/>
    <w:rsid w:val="00BE4825"/>
    <w:rsid w:val="00BE4F2F"/>
    <w:rsid w:val="00BF3B05"/>
    <w:rsid w:val="00C00FE0"/>
    <w:rsid w:val="00C045D5"/>
    <w:rsid w:val="00C11EAA"/>
    <w:rsid w:val="00C12180"/>
    <w:rsid w:val="00C177CA"/>
    <w:rsid w:val="00C20E47"/>
    <w:rsid w:val="00C23BE1"/>
    <w:rsid w:val="00C247B0"/>
    <w:rsid w:val="00C27BA9"/>
    <w:rsid w:val="00C27C88"/>
    <w:rsid w:val="00C37EFC"/>
    <w:rsid w:val="00C429C3"/>
    <w:rsid w:val="00C455B7"/>
    <w:rsid w:val="00C51CDE"/>
    <w:rsid w:val="00C547E1"/>
    <w:rsid w:val="00C55945"/>
    <w:rsid w:val="00C612B0"/>
    <w:rsid w:val="00C6202F"/>
    <w:rsid w:val="00C65B63"/>
    <w:rsid w:val="00C66EF5"/>
    <w:rsid w:val="00C70E1E"/>
    <w:rsid w:val="00C71145"/>
    <w:rsid w:val="00C80F7D"/>
    <w:rsid w:val="00C82289"/>
    <w:rsid w:val="00CA472C"/>
    <w:rsid w:val="00CA6C8A"/>
    <w:rsid w:val="00CB0E0A"/>
    <w:rsid w:val="00CB4008"/>
    <w:rsid w:val="00CB7AC3"/>
    <w:rsid w:val="00CC16C4"/>
    <w:rsid w:val="00CD0124"/>
    <w:rsid w:val="00CD1C21"/>
    <w:rsid w:val="00CD2660"/>
    <w:rsid w:val="00CD3565"/>
    <w:rsid w:val="00CF2AB0"/>
    <w:rsid w:val="00CF5038"/>
    <w:rsid w:val="00CF7CC0"/>
    <w:rsid w:val="00D0119F"/>
    <w:rsid w:val="00D02D6C"/>
    <w:rsid w:val="00D04730"/>
    <w:rsid w:val="00D07848"/>
    <w:rsid w:val="00D15B6B"/>
    <w:rsid w:val="00D163D2"/>
    <w:rsid w:val="00D20171"/>
    <w:rsid w:val="00D206C5"/>
    <w:rsid w:val="00D21D46"/>
    <w:rsid w:val="00D267FA"/>
    <w:rsid w:val="00D31FD6"/>
    <w:rsid w:val="00D365B4"/>
    <w:rsid w:val="00D43782"/>
    <w:rsid w:val="00D54430"/>
    <w:rsid w:val="00D56F58"/>
    <w:rsid w:val="00D56F5A"/>
    <w:rsid w:val="00D71160"/>
    <w:rsid w:val="00D71AF9"/>
    <w:rsid w:val="00D7310C"/>
    <w:rsid w:val="00D7622B"/>
    <w:rsid w:val="00D77213"/>
    <w:rsid w:val="00D84292"/>
    <w:rsid w:val="00D8708B"/>
    <w:rsid w:val="00D9355B"/>
    <w:rsid w:val="00D97B04"/>
    <w:rsid w:val="00D97CCA"/>
    <w:rsid w:val="00DA6318"/>
    <w:rsid w:val="00DA768C"/>
    <w:rsid w:val="00DB3C5B"/>
    <w:rsid w:val="00DB3E44"/>
    <w:rsid w:val="00DC4134"/>
    <w:rsid w:val="00DC65B6"/>
    <w:rsid w:val="00DD1297"/>
    <w:rsid w:val="00DD52A9"/>
    <w:rsid w:val="00DF1207"/>
    <w:rsid w:val="00DF67BC"/>
    <w:rsid w:val="00DF7413"/>
    <w:rsid w:val="00DF7E10"/>
    <w:rsid w:val="00E00993"/>
    <w:rsid w:val="00E02580"/>
    <w:rsid w:val="00E05B39"/>
    <w:rsid w:val="00E06F30"/>
    <w:rsid w:val="00E1105B"/>
    <w:rsid w:val="00E16118"/>
    <w:rsid w:val="00E171F9"/>
    <w:rsid w:val="00E20F6B"/>
    <w:rsid w:val="00E2515F"/>
    <w:rsid w:val="00E26995"/>
    <w:rsid w:val="00E30684"/>
    <w:rsid w:val="00E41AAC"/>
    <w:rsid w:val="00E42AF1"/>
    <w:rsid w:val="00E43C57"/>
    <w:rsid w:val="00E477F6"/>
    <w:rsid w:val="00E51EFB"/>
    <w:rsid w:val="00E549A9"/>
    <w:rsid w:val="00E56A82"/>
    <w:rsid w:val="00E61558"/>
    <w:rsid w:val="00E63BE0"/>
    <w:rsid w:val="00E648B5"/>
    <w:rsid w:val="00E73223"/>
    <w:rsid w:val="00E73A73"/>
    <w:rsid w:val="00E821D3"/>
    <w:rsid w:val="00E82C6C"/>
    <w:rsid w:val="00E935C9"/>
    <w:rsid w:val="00E947A9"/>
    <w:rsid w:val="00EA1257"/>
    <w:rsid w:val="00EA55DF"/>
    <w:rsid w:val="00EB0827"/>
    <w:rsid w:val="00EB0FA8"/>
    <w:rsid w:val="00EC1F57"/>
    <w:rsid w:val="00EC388C"/>
    <w:rsid w:val="00ED2EFF"/>
    <w:rsid w:val="00ED3C30"/>
    <w:rsid w:val="00ED51BE"/>
    <w:rsid w:val="00EE3DDC"/>
    <w:rsid w:val="00EE4282"/>
    <w:rsid w:val="00EE7085"/>
    <w:rsid w:val="00EF4178"/>
    <w:rsid w:val="00EF4FD7"/>
    <w:rsid w:val="00F054F9"/>
    <w:rsid w:val="00F059F9"/>
    <w:rsid w:val="00F0625E"/>
    <w:rsid w:val="00F066A7"/>
    <w:rsid w:val="00F14A48"/>
    <w:rsid w:val="00F14F5F"/>
    <w:rsid w:val="00F42641"/>
    <w:rsid w:val="00F432E5"/>
    <w:rsid w:val="00F44521"/>
    <w:rsid w:val="00F45DD9"/>
    <w:rsid w:val="00F566A9"/>
    <w:rsid w:val="00F61F31"/>
    <w:rsid w:val="00F7152A"/>
    <w:rsid w:val="00F71746"/>
    <w:rsid w:val="00F81E8B"/>
    <w:rsid w:val="00F90F30"/>
    <w:rsid w:val="00F91D4F"/>
    <w:rsid w:val="00F9356E"/>
    <w:rsid w:val="00F95283"/>
    <w:rsid w:val="00FA0859"/>
    <w:rsid w:val="00FA49E7"/>
    <w:rsid w:val="00FA5ED6"/>
    <w:rsid w:val="00FA637A"/>
    <w:rsid w:val="00FB7F13"/>
    <w:rsid w:val="00FC34B8"/>
    <w:rsid w:val="00FC555B"/>
    <w:rsid w:val="00FD13AA"/>
    <w:rsid w:val="00FD52FA"/>
    <w:rsid w:val="00FE1A2A"/>
    <w:rsid w:val="00FF0C0C"/>
    <w:rsid w:val="00FF0E49"/>
    <w:rsid w:val="05E03B29"/>
    <w:rsid w:val="068A7DD8"/>
    <w:rsid w:val="08612430"/>
    <w:rsid w:val="0A8F1E15"/>
    <w:rsid w:val="0BCC37ED"/>
    <w:rsid w:val="0BEF2FF5"/>
    <w:rsid w:val="0D8629C5"/>
    <w:rsid w:val="0E3E1FEC"/>
    <w:rsid w:val="0F1F4302"/>
    <w:rsid w:val="0FC51E1E"/>
    <w:rsid w:val="149E2FBD"/>
    <w:rsid w:val="152F6795"/>
    <w:rsid w:val="1A4B63D6"/>
    <w:rsid w:val="1B0F078A"/>
    <w:rsid w:val="1C9B4312"/>
    <w:rsid w:val="1EB65F7E"/>
    <w:rsid w:val="22AE3235"/>
    <w:rsid w:val="23C467E0"/>
    <w:rsid w:val="23D7319D"/>
    <w:rsid w:val="24C56527"/>
    <w:rsid w:val="2F622F2B"/>
    <w:rsid w:val="31D84AB0"/>
    <w:rsid w:val="342D630A"/>
    <w:rsid w:val="361E77A1"/>
    <w:rsid w:val="3DD96725"/>
    <w:rsid w:val="4330025C"/>
    <w:rsid w:val="4B8E7A1D"/>
    <w:rsid w:val="4DB567ED"/>
    <w:rsid w:val="4EEB49FB"/>
    <w:rsid w:val="58166813"/>
    <w:rsid w:val="616C25FF"/>
    <w:rsid w:val="61B94062"/>
    <w:rsid w:val="66C106AE"/>
    <w:rsid w:val="675D681C"/>
    <w:rsid w:val="701C279F"/>
    <w:rsid w:val="719C141B"/>
    <w:rsid w:val="757B03A1"/>
    <w:rsid w:val="75B06657"/>
    <w:rsid w:val="771912A8"/>
    <w:rsid w:val="7BB95CAA"/>
    <w:rsid w:val="7E1D04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0"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mbria" w:hAnsi="Cambria" w:cs="Cambria"/>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5">
    <w:name w:val="Document Map"/>
    <w:basedOn w:val="1"/>
    <w:link w:val="21"/>
    <w:semiHidden/>
    <w:qFormat/>
    <w:uiPriority w:val="99"/>
    <w:rPr>
      <w:rFonts w:ascii="宋体" w:cs="宋体"/>
      <w:sz w:val="18"/>
      <w:szCs w:val="18"/>
    </w:rPr>
  </w:style>
  <w:style w:type="paragraph" w:styleId="6">
    <w:name w:val="Plain Text"/>
    <w:basedOn w:val="1"/>
    <w:link w:val="22"/>
    <w:qFormat/>
    <w:uiPriority w:val="0"/>
    <w:rPr>
      <w:rFonts w:ascii="宋体" w:hAnsi="Courier New" w:cs="宋体"/>
    </w:rPr>
  </w:style>
  <w:style w:type="paragraph" w:styleId="7">
    <w:name w:val="Balloon Text"/>
    <w:basedOn w:val="1"/>
    <w:link w:val="23"/>
    <w:semiHidden/>
    <w:qFormat/>
    <w:uiPriority w:val="99"/>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99"/>
    <w:pPr>
      <w:tabs>
        <w:tab w:val="right" w:leader="dot" w:pos="8296"/>
      </w:tabs>
    </w:pPr>
    <w:rPr>
      <w:rFonts w:ascii="黑体" w:hAnsi="黑体" w:eastAsia="黑体" w:cs="黑体"/>
      <w:sz w:val="30"/>
      <w:szCs w:val="30"/>
    </w:rPr>
  </w:style>
  <w:style w:type="paragraph" w:styleId="11">
    <w:name w:val="Subtitle"/>
    <w:basedOn w:val="1"/>
    <w:next w:val="1"/>
    <w:link w:val="34"/>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12">
    <w:name w:val="toc 2"/>
    <w:basedOn w:val="1"/>
    <w:next w:val="1"/>
    <w:semiHidden/>
    <w:qFormat/>
    <w:uiPriority w:val="99"/>
    <w:pPr>
      <w:ind w:left="420" w:leftChars="200"/>
    </w:pPr>
  </w:style>
  <w:style w:type="paragraph" w:styleId="1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7">
    <w:name w:val="Hyperlink"/>
    <w:basedOn w:val="16"/>
    <w:qFormat/>
    <w:uiPriority w:val="99"/>
    <w:rPr>
      <w:color w:val="0000FF"/>
      <w:u w:val="single"/>
    </w:rPr>
  </w:style>
  <w:style w:type="character" w:customStyle="1" w:styleId="18">
    <w:name w:val="标题 1 Char"/>
    <w:basedOn w:val="16"/>
    <w:link w:val="2"/>
    <w:qFormat/>
    <w:locked/>
    <w:uiPriority w:val="99"/>
    <w:rPr>
      <w:b/>
      <w:bCs/>
      <w:kern w:val="44"/>
      <w:sz w:val="44"/>
      <w:szCs w:val="44"/>
    </w:rPr>
  </w:style>
  <w:style w:type="character" w:customStyle="1" w:styleId="19">
    <w:name w:val="标题 2 Char"/>
    <w:basedOn w:val="16"/>
    <w:link w:val="3"/>
    <w:qFormat/>
    <w:locked/>
    <w:uiPriority w:val="99"/>
    <w:rPr>
      <w:rFonts w:ascii="Cambria" w:hAnsi="Cambria" w:eastAsia="宋体" w:cs="Cambria"/>
      <w:b/>
      <w:bCs/>
      <w:sz w:val="32"/>
      <w:szCs w:val="32"/>
    </w:rPr>
  </w:style>
  <w:style w:type="character" w:customStyle="1" w:styleId="20">
    <w:name w:val="标题 3 Char"/>
    <w:basedOn w:val="16"/>
    <w:link w:val="4"/>
    <w:semiHidden/>
    <w:qFormat/>
    <w:locked/>
    <w:uiPriority w:val="99"/>
    <w:rPr>
      <w:b/>
      <w:bCs/>
      <w:sz w:val="32"/>
      <w:szCs w:val="32"/>
    </w:rPr>
  </w:style>
  <w:style w:type="character" w:customStyle="1" w:styleId="21">
    <w:name w:val="文档结构图 Char"/>
    <w:basedOn w:val="16"/>
    <w:link w:val="5"/>
    <w:semiHidden/>
    <w:qFormat/>
    <w:locked/>
    <w:uiPriority w:val="99"/>
    <w:rPr>
      <w:rFonts w:ascii="宋体" w:eastAsia="宋体" w:cs="宋体"/>
      <w:sz w:val="18"/>
      <w:szCs w:val="18"/>
    </w:rPr>
  </w:style>
  <w:style w:type="character" w:customStyle="1" w:styleId="22">
    <w:name w:val="纯文本 Char"/>
    <w:basedOn w:val="16"/>
    <w:link w:val="6"/>
    <w:qFormat/>
    <w:locked/>
    <w:uiPriority w:val="99"/>
    <w:rPr>
      <w:rFonts w:ascii="宋体" w:hAnsi="Courier New" w:eastAsia="宋体" w:cs="宋体"/>
      <w:sz w:val="21"/>
      <w:szCs w:val="21"/>
    </w:rPr>
  </w:style>
  <w:style w:type="character" w:customStyle="1" w:styleId="23">
    <w:name w:val="批注框文本 Char"/>
    <w:basedOn w:val="16"/>
    <w:link w:val="7"/>
    <w:semiHidden/>
    <w:qFormat/>
    <w:locked/>
    <w:uiPriority w:val="99"/>
    <w:rPr>
      <w:sz w:val="18"/>
      <w:szCs w:val="18"/>
    </w:rPr>
  </w:style>
  <w:style w:type="character" w:customStyle="1" w:styleId="24">
    <w:name w:val="页脚 Char"/>
    <w:basedOn w:val="16"/>
    <w:link w:val="8"/>
    <w:qFormat/>
    <w:locked/>
    <w:uiPriority w:val="99"/>
    <w:rPr>
      <w:sz w:val="18"/>
      <w:szCs w:val="18"/>
    </w:rPr>
  </w:style>
  <w:style w:type="character" w:customStyle="1" w:styleId="25">
    <w:name w:val="页眉 Char"/>
    <w:basedOn w:val="16"/>
    <w:link w:val="9"/>
    <w:semiHidden/>
    <w:qFormat/>
    <w:locked/>
    <w:uiPriority w:val="99"/>
    <w:rPr>
      <w:sz w:val="18"/>
      <w:szCs w:val="18"/>
    </w:rPr>
  </w:style>
  <w:style w:type="paragraph" w:customStyle="1" w:styleId="26">
    <w:name w:val="列出段落1"/>
    <w:basedOn w:val="1"/>
    <w:qFormat/>
    <w:uiPriority w:val="99"/>
    <w:pPr>
      <w:ind w:firstLine="420" w:firstLineChars="200"/>
    </w:pPr>
    <w:rPr>
      <w:rFonts w:ascii="Times New Roman" w:hAnsi="Times New Roman" w:cs="Times New Roman"/>
    </w:rPr>
  </w:style>
  <w:style w:type="paragraph" w:customStyle="1" w:styleId="27">
    <w:name w:val="Char Char"/>
    <w:basedOn w:val="1"/>
    <w:qFormat/>
    <w:uiPriority w:val="99"/>
    <w:pPr>
      <w:tabs>
        <w:tab w:val="left" w:pos="980"/>
      </w:tabs>
      <w:ind w:left="980" w:hanging="420"/>
    </w:pPr>
    <w:rPr>
      <w:rFonts w:ascii="Times New Roman" w:hAnsi="Times New Roman" w:cs="Times New Roman"/>
      <w:sz w:val="24"/>
      <w:szCs w:val="24"/>
    </w:rPr>
  </w:style>
  <w:style w:type="paragraph" w:customStyle="1" w:styleId="28">
    <w:name w:val="列出段落2"/>
    <w:basedOn w:val="1"/>
    <w:qFormat/>
    <w:uiPriority w:val="99"/>
    <w:pPr>
      <w:ind w:firstLine="420" w:firstLineChars="200"/>
    </w:pPr>
    <w:rPr>
      <w:rFonts w:ascii="Times New Roman" w:hAnsi="Times New Roman" w:cs="Times New Roman"/>
    </w:rPr>
  </w:style>
  <w:style w:type="paragraph" w:customStyle="1" w:styleId="29">
    <w:name w:val="Char Char Char Char Char Char"/>
    <w:basedOn w:val="1"/>
    <w:qFormat/>
    <w:uiPriority w:val="99"/>
    <w:rPr>
      <w:rFonts w:ascii="Times New Roman" w:hAnsi="Times New Roman" w:eastAsia="仿宋_GB2312" w:cs="Times New Roman"/>
      <w:sz w:val="32"/>
      <w:szCs w:val="32"/>
    </w:rPr>
  </w:style>
  <w:style w:type="paragraph" w:customStyle="1" w:styleId="30">
    <w:name w:val="列出段落3"/>
    <w:basedOn w:val="1"/>
    <w:qFormat/>
    <w:uiPriority w:val="99"/>
    <w:pPr>
      <w:ind w:firstLine="420" w:firstLineChars="200"/>
    </w:pPr>
    <w:rPr>
      <w:rFonts w:ascii="Times New Roman" w:hAnsi="Times New Roman" w:cs="Times New Roman"/>
    </w:rPr>
  </w:style>
  <w:style w:type="paragraph" w:customStyle="1" w:styleId="31">
    <w:name w:val="列出段落4"/>
    <w:basedOn w:val="1"/>
    <w:qFormat/>
    <w:uiPriority w:val="99"/>
    <w:pPr>
      <w:ind w:firstLine="420" w:firstLineChars="200"/>
    </w:pPr>
    <w:rPr>
      <w:rFonts w:ascii="Times New Roman" w:hAnsi="Times New Roman" w:cs="Times New Roman"/>
    </w:rPr>
  </w:style>
  <w:style w:type="paragraph" w:styleId="32">
    <w:name w:val="List Paragraph"/>
    <w:basedOn w:val="1"/>
    <w:qFormat/>
    <w:uiPriority w:val="99"/>
    <w:pPr>
      <w:ind w:firstLine="420" w:firstLineChars="200"/>
    </w:pPr>
    <w:rPr>
      <w:rFonts w:ascii="Times New Roman" w:hAnsi="Times New Roman" w:cs="Times New Roman"/>
    </w:rPr>
  </w:style>
  <w:style w:type="paragraph" w:customStyle="1" w:styleId="33">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34">
    <w:name w:val="副标题 Char"/>
    <w:basedOn w:val="16"/>
    <w:link w:val="11"/>
    <w:qFormat/>
    <w:uiPriority w:val="0"/>
    <w:rPr>
      <w:rFonts w:ascii="Cambria" w:hAnsi="Cambria" w:eastAsiaTheme="minorEastAsia"/>
      <w:b/>
      <w:bCs/>
      <w:kern w:val="28"/>
      <w:sz w:val="32"/>
      <w:szCs w:val="32"/>
    </w:rPr>
  </w:style>
  <w:style w:type="paragraph" w:customStyle="1" w:styleId="3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2391</Words>
  <Characters>2726</Characters>
  <Lines>272</Lines>
  <Paragraphs>134</Paragraphs>
  <TotalTime>0</TotalTime>
  <ScaleCrop>false</ScaleCrop>
  <LinksUpToDate>false</LinksUpToDate>
  <CharactersWithSpaces>4983</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2019-01-08T08:47:00Z</dcterms:created>
  <dc:creator>blic</dc:creator>
  <cp:lastModifiedBy>何颖</cp:lastModifiedBy>
  <dcterms:modified xsi:type="dcterms:W3CDTF">2021-12-29T08:57:01Z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