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b/>
          <w:bCs/>
          <w:sz w:val="44"/>
          <w:szCs w:val="44"/>
        </w:rPr>
      </w:pPr>
    </w:p>
    <w:p>
      <w:pPr>
        <w:jc w:val="center"/>
        <w:rPr>
          <w:rFonts w:ascii="Times New Roman" w:hAnsi="Times New Roman" w:eastAsia="黑体" w:cs="Times New Roman"/>
          <w:b/>
          <w:bCs/>
          <w:sz w:val="44"/>
          <w:szCs w:val="44"/>
        </w:rPr>
      </w:pPr>
    </w:p>
    <w:p>
      <w:pPr>
        <w:jc w:val="center"/>
        <w:rPr>
          <w:rFonts w:ascii="Times New Roman" w:hAnsi="Times New Roman" w:eastAsia="黑体" w:cs="Times New Roman"/>
          <w:b/>
          <w:bCs/>
          <w:sz w:val="44"/>
          <w:szCs w:val="44"/>
        </w:rPr>
      </w:pPr>
    </w:p>
    <w:p>
      <w:pPr>
        <w:spacing w:line="800" w:lineRule="exact"/>
        <w:jc w:val="center"/>
        <w:rPr>
          <w:rFonts w:ascii="黑体" w:eastAsia="黑体" w:cs="黑体"/>
          <w:b/>
          <w:bCs/>
          <w:sz w:val="48"/>
          <w:szCs w:val="48"/>
        </w:rPr>
      </w:pPr>
      <w:r>
        <w:rPr>
          <w:rFonts w:hint="eastAsia" w:ascii="黑体" w:eastAsia="黑体" w:cs="黑体"/>
          <w:b/>
          <w:bCs/>
          <w:sz w:val="48"/>
          <w:szCs w:val="48"/>
        </w:rPr>
        <w:t>2020年度建宁县教育局教育补短板专项资金绩效评价报告</w:t>
      </w:r>
    </w:p>
    <w:p>
      <w:pPr>
        <w:spacing w:line="360" w:lineRule="auto"/>
        <w:jc w:val="center"/>
        <w:rPr>
          <w:rFonts w:ascii="黑体" w:eastAsia="黑体" w:cs="Times New Roman"/>
          <w:b/>
          <w:bCs/>
          <w:sz w:val="48"/>
          <w:szCs w:val="48"/>
        </w:rPr>
      </w:pPr>
    </w:p>
    <w:p>
      <w:pPr>
        <w:jc w:val="center"/>
        <w:rPr>
          <w:rFonts w:ascii="黑体" w:hAnsi="黑体" w:eastAsia="黑体" w:cs="Times New Roman"/>
          <w:b/>
          <w:bCs/>
          <w:sz w:val="48"/>
          <w:szCs w:val="48"/>
        </w:rPr>
      </w:pPr>
    </w:p>
    <w:p>
      <w:pPr>
        <w:jc w:val="center"/>
        <w:rPr>
          <w:rFonts w:ascii="黑体" w:eastAsia="黑体" w:cs="Times New Roman"/>
          <w:b/>
          <w:bCs/>
          <w:sz w:val="48"/>
          <w:szCs w:val="48"/>
        </w:rPr>
      </w:pPr>
    </w:p>
    <w:p>
      <w:pPr>
        <w:jc w:val="center"/>
        <w:rPr>
          <w:rFonts w:ascii="黑体" w:eastAsia="黑体" w:cs="Times New Roman"/>
          <w:b/>
          <w:bCs/>
          <w:sz w:val="48"/>
          <w:szCs w:val="48"/>
        </w:rPr>
      </w:pPr>
    </w:p>
    <w:p>
      <w:pPr>
        <w:jc w:val="center"/>
        <w:rPr>
          <w:rFonts w:ascii="黑体" w:eastAsia="黑体" w:cs="Times New Roman"/>
          <w:b/>
          <w:bCs/>
          <w:sz w:val="48"/>
          <w:szCs w:val="48"/>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项目承担单位：</w:t>
      </w:r>
      <w:r>
        <w:rPr>
          <w:rFonts w:ascii="黑体" w:eastAsia="黑体" w:cs="黑体"/>
          <w:sz w:val="32"/>
          <w:szCs w:val="32"/>
          <w:u w:val="single"/>
        </w:rPr>
        <w:t xml:space="preserve">    </w:t>
      </w:r>
      <w:r>
        <w:rPr>
          <w:rFonts w:hint="eastAsia" w:ascii="黑体" w:eastAsia="黑体" w:cs="黑体"/>
          <w:sz w:val="32"/>
          <w:szCs w:val="32"/>
          <w:u w:val="single"/>
        </w:rPr>
        <w:t>建宁县</w:t>
      </w:r>
      <w:r>
        <w:rPr>
          <w:rFonts w:hint="eastAsia" w:ascii="黑体" w:eastAsia="黑体" w:cs="黑体"/>
          <w:sz w:val="32"/>
          <w:szCs w:val="32"/>
          <w:u w:val="single"/>
          <w:lang w:eastAsia="zh-CN"/>
        </w:rPr>
        <w:t>教育</w:t>
      </w:r>
      <w:r>
        <w:rPr>
          <w:rFonts w:hint="eastAsia" w:ascii="黑体" w:eastAsia="黑体" w:cs="黑体"/>
          <w:sz w:val="32"/>
          <w:szCs w:val="32"/>
          <w:u w:val="single"/>
        </w:rPr>
        <w:t>局</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项</w:t>
      </w:r>
      <w:r>
        <w:rPr>
          <w:rFonts w:ascii="黑体" w:eastAsia="黑体" w:cs="黑体"/>
          <w:sz w:val="13"/>
          <w:szCs w:val="13"/>
        </w:rPr>
        <w:t xml:space="preserve"> </w:t>
      </w:r>
      <w:r>
        <w:rPr>
          <w:rFonts w:hint="eastAsia" w:ascii="黑体" w:eastAsia="黑体" w:cs="黑体"/>
          <w:sz w:val="32"/>
          <w:szCs w:val="32"/>
        </w:rPr>
        <w:t>目</w:t>
      </w:r>
      <w:r>
        <w:rPr>
          <w:rFonts w:ascii="黑体" w:eastAsia="黑体" w:cs="黑体"/>
          <w:sz w:val="13"/>
          <w:szCs w:val="13"/>
        </w:rPr>
        <w:t xml:space="preserve"> </w:t>
      </w:r>
      <w:r>
        <w:rPr>
          <w:rFonts w:hint="eastAsia" w:ascii="黑体" w:eastAsia="黑体" w:cs="黑体"/>
          <w:sz w:val="32"/>
          <w:szCs w:val="32"/>
        </w:rPr>
        <w:t>负</w:t>
      </w:r>
      <w:r>
        <w:rPr>
          <w:rFonts w:ascii="黑体" w:eastAsia="黑体" w:cs="黑体"/>
          <w:sz w:val="13"/>
          <w:szCs w:val="13"/>
        </w:rPr>
        <w:t xml:space="preserve"> </w:t>
      </w:r>
      <w:r>
        <w:rPr>
          <w:rFonts w:hint="eastAsia" w:ascii="黑体" w:eastAsia="黑体" w:cs="黑体"/>
          <w:sz w:val="32"/>
          <w:szCs w:val="32"/>
        </w:rPr>
        <w:t>责</w:t>
      </w:r>
      <w:r>
        <w:rPr>
          <w:rFonts w:ascii="黑体" w:eastAsia="黑体" w:cs="黑体"/>
          <w:sz w:val="13"/>
          <w:szCs w:val="13"/>
        </w:rPr>
        <w:t xml:space="preserve"> </w:t>
      </w:r>
      <w:r>
        <w:rPr>
          <w:rFonts w:hint="eastAsia" w:ascii="黑体" w:eastAsia="黑体" w:cs="黑体"/>
          <w:sz w:val="32"/>
          <w:szCs w:val="32"/>
        </w:rPr>
        <w:t>人：</w:t>
      </w:r>
      <w:r>
        <w:rPr>
          <w:rFonts w:ascii="黑体" w:eastAsia="黑体" w:cs="黑体"/>
          <w:sz w:val="32"/>
          <w:szCs w:val="32"/>
          <w:u w:val="single"/>
        </w:rPr>
        <w:t xml:space="preserve">    </w:t>
      </w:r>
      <w:r>
        <w:rPr>
          <w:rFonts w:hint="eastAsia" w:ascii="黑体" w:eastAsia="黑体" w:cs="黑体"/>
          <w:sz w:val="32"/>
          <w:szCs w:val="32"/>
          <w:u w:val="single"/>
        </w:rPr>
        <w:t xml:space="preserve">徐铨  </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联</w:t>
      </w:r>
      <w:r>
        <w:rPr>
          <w:rFonts w:ascii="黑体" w:eastAsia="黑体" w:cs="黑体"/>
          <w:sz w:val="18"/>
          <w:szCs w:val="18"/>
        </w:rPr>
        <w:t xml:space="preserve">  </w:t>
      </w:r>
      <w:r>
        <w:rPr>
          <w:rFonts w:hint="eastAsia" w:ascii="黑体" w:eastAsia="黑体" w:cs="黑体"/>
          <w:sz w:val="32"/>
          <w:szCs w:val="32"/>
        </w:rPr>
        <w:t>系</w:t>
      </w:r>
      <w:r>
        <w:rPr>
          <w:rFonts w:ascii="黑体" w:eastAsia="黑体" w:cs="黑体"/>
          <w:sz w:val="18"/>
          <w:szCs w:val="18"/>
        </w:rPr>
        <w:t xml:space="preserve">  </w:t>
      </w:r>
      <w:r>
        <w:rPr>
          <w:rFonts w:hint="eastAsia" w:ascii="黑体" w:eastAsia="黑体" w:cs="黑体"/>
          <w:sz w:val="32"/>
          <w:szCs w:val="32"/>
        </w:rPr>
        <w:t>电</w:t>
      </w:r>
      <w:r>
        <w:rPr>
          <w:rFonts w:ascii="黑体" w:eastAsia="黑体" w:cs="黑体"/>
          <w:sz w:val="18"/>
          <w:szCs w:val="18"/>
        </w:rPr>
        <w:t xml:space="preserve">  </w:t>
      </w:r>
      <w:r>
        <w:rPr>
          <w:rFonts w:hint="eastAsia" w:ascii="黑体" w:eastAsia="黑体" w:cs="黑体"/>
          <w:sz w:val="32"/>
          <w:szCs w:val="32"/>
        </w:rPr>
        <w:t>话：</w:t>
      </w:r>
      <w:r>
        <w:rPr>
          <w:rFonts w:ascii="黑体" w:eastAsia="黑体" w:cs="黑体"/>
          <w:sz w:val="32"/>
          <w:szCs w:val="32"/>
          <w:u w:val="single"/>
        </w:rPr>
        <w:t xml:space="preserve">   </w:t>
      </w:r>
      <w:r>
        <w:rPr>
          <w:rFonts w:hint="eastAsia" w:ascii="黑体" w:eastAsia="黑体" w:cs="黑体"/>
          <w:sz w:val="32"/>
          <w:szCs w:val="32"/>
          <w:u w:val="single"/>
        </w:rPr>
        <w:t xml:space="preserve">  13859157886</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ind w:firstLine="1120" w:firstLineChars="350"/>
        <w:rPr>
          <w:rFonts w:ascii="黑体" w:eastAsia="黑体" w:cs="Times New Roman"/>
          <w:sz w:val="32"/>
          <w:szCs w:val="32"/>
          <w:u w:val="single"/>
        </w:rPr>
      </w:pPr>
      <w:r>
        <w:rPr>
          <w:rFonts w:hint="eastAsia" w:ascii="黑体" w:eastAsia="黑体" w:cs="黑体"/>
          <w:sz w:val="32"/>
          <w:szCs w:val="32"/>
        </w:rPr>
        <w:t>项目起止时间：</w:t>
      </w:r>
      <w:r>
        <w:rPr>
          <w:rFonts w:hint="eastAsia" w:ascii="黑体" w:eastAsia="黑体" w:cs="黑体"/>
          <w:sz w:val="32"/>
          <w:szCs w:val="32"/>
          <w:u w:val="single"/>
        </w:rPr>
        <w:t>20</w:t>
      </w:r>
      <w:r>
        <w:rPr>
          <w:rFonts w:hint="eastAsia" w:ascii="黑体" w:eastAsia="黑体" w:cs="黑体"/>
          <w:sz w:val="32"/>
          <w:szCs w:val="32"/>
          <w:u w:val="single"/>
          <w:lang w:val="en-US" w:eastAsia="zh-CN"/>
        </w:rPr>
        <w:t>20</w:t>
      </w:r>
      <w:r>
        <w:rPr>
          <w:rFonts w:hint="eastAsia" w:ascii="黑体" w:eastAsia="黑体" w:cs="黑体"/>
          <w:sz w:val="32"/>
          <w:szCs w:val="32"/>
          <w:u w:val="single"/>
        </w:rPr>
        <w:t>年1月1日--12月31日</w:t>
      </w: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eastAsia="黑体" w:cs="Times New Roman"/>
          <w:b/>
          <w:bCs/>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ascii="黑体" w:eastAsia="黑体" w:cs="黑体"/>
          <w:b/>
          <w:bCs/>
          <w:sz w:val="32"/>
          <w:szCs w:val="32"/>
        </w:rPr>
        <w:t>20</w:t>
      </w:r>
      <w:r>
        <w:rPr>
          <w:rFonts w:hint="eastAsia" w:ascii="黑体" w:eastAsia="黑体" w:cs="黑体"/>
          <w:b/>
          <w:bCs/>
          <w:sz w:val="32"/>
          <w:szCs w:val="32"/>
          <w:lang w:val="en-US" w:eastAsia="zh-CN"/>
        </w:rPr>
        <w:t>21</w:t>
      </w:r>
      <w:r>
        <w:rPr>
          <w:rFonts w:hint="eastAsia" w:ascii="黑体" w:eastAsia="黑体" w:cs="黑体"/>
          <w:b/>
          <w:bCs/>
          <w:sz w:val="32"/>
          <w:szCs w:val="32"/>
        </w:rPr>
        <w:t>年</w:t>
      </w:r>
      <w:r>
        <w:rPr>
          <w:rFonts w:hint="eastAsia" w:ascii="黑体" w:eastAsia="黑体" w:cs="黑体"/>
          <w:b/>
          <w:bCs/>
          <w:sz w:val="32"/>
          <w:szCs w:val="32"/>
          <w:lang w:val="en-US" w:eastAsia="zh-CN"/>
        </w:rPr>
        <w:t>10</w:t>
      </w:r>
      <w:r>
        <w:rPr>
          <w:rFonts w:hint="eastAsia" w:ascii="黑体" w:eastAsia="黑体" w:cs="黑体"/>
          <w:b/>
          <w:bCs/>
          <w:sz w:val="32"/>
          <w:szCs w:val="32"/>
        </w:rPr>
        <w:t>月</w:t>
      </w:r>
      <w:r>
        <w:rPr>
          <w:rFonts w:hint="eastAsia" w:ascii="黑体" w:eastAsia="黑体" w:cs="黑体"/>
          <w:b/>
          <w:bCs/>
          <w:sz w:val="32"/>
          <w:szCs w:val="32"/>
          <w:lang w:val="en-US" w:eastAsia="zh-CN"/>
        </w:rPr>
        <w:t>2</w:t>
      </w:r>
      <w:r>
        <w:rPr>
          <w:rFonts w:hint="eastAsia" w:ascii="黑体" w:eastAsia="黑体" w:cs="黑体"/>
          <w:b/>
          <w:bCs/>
          <w:sz w:val="32"/>
          <w:szCs w:val="32"/>
        </w:rPr>
        <w:t>3日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cs="宋体"/>
          <w:b/>
          <w:bCs/>
          <w:sz w:val="32"/>
          <w:szCs w:val="32"/>
        </w:rPr>
      </w:pPr>
      <w:bookmarkStart w:id="0" w:name="_Toc495352545"/>
      <w:r>
        <w:rPr>
          <w:rFonts w:hint="eastAsia" w:ascii="宋体" w:hAnsi="宋体" w:cs="宋体"/>
          <w:b/>
          <w:bCs/>
          <w:sz w:val="32"/>
          <w:szCs w:val="32"/>
        </w:rPr>
        <w:t>引</w:t>
      </w:r>
      <w:r>
        <w:rPr>
          <w:rFonts w:ascii="宋体" w:hAnsi="宋体" w:cs="宋体"/>
          <w:b/>
          <w:bCs/>
          <w:sz w:val="32"/>
          <w:szCs w:val="32"/>
        </w:rPr>
        <w:t xml:space="preserve">   </w:t>
      </w:r>
      <w:r>
        <w:rPr>
          <w:rFonts w:hint="eastAsia" w:ascii="宋体" w:hAnsi="宋体" w:cs="宋体"/>
          <w:b/>
          <w:bCs/>
          <w:sz w:val="32"/>
          <w:szCs w:val="32"/>
        </w:rPr>
        <w:t>言</w:t>
      </w:r>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为提高</w:t>
      </w:r>
      <w:r>
        <w:rPr>
          <w:rFonts w:hint="eastAsia" w:ascii="仿宋_GB2312" w:eastAsia="仿宋_GB2312"/>
          <w:sz w:val="32"/>
          <w:szCs w:val="32"/>
          <w:lang w:eastAsia="zh-CN"/>
        </w:rPr>
        <w:t>教育补短板专项</w:t>
      </w:r>
      <w:r>
        <w:rPr>
          <w:rFonts w:hint="eastAsia" w:ascii="仿宋_GB2312" w:hAnsi="仿宋" w:eastAsia="仿宋_GB2312"/>
          <w:sz w:val="32"/>
          <w:szCs w:val="32"/>
        </w:rPr>
        <w:t>资金使用绩效，近期财政局组织对20</w:t>
      </w:r>
      <w:r>
        <w:rPr>
          <w:rFonts w:hint="eastAsia" w:ascii="仿宋_GB2312" w:hAnsi="仿宋" w:eastAsia="仿宋_GB2312"/>
          <w:sz w:val="32"/>
          <w:szCs w:val="32"/>
          <w:lang w:val="en-US" w:eastAsia="zh-CN"/>
        </w:rPr>
        <w:t>20</w:t>
      </w:r>
      <w:r>
        <w:rPr>
          <w:rFonts w:hint="eastAsia" w:ascii="仿宋_GB2312" w:hAnsi="仿宋" w:eastAsia="仿宋_GB2312"/>
          <w:sz w:val="32"/>
          <w:szCs w:val="32"/>
        </w:rPr>
        <w:t>年度</w:t>
      </w:r>
      <w:r>
        <w:rPr>
          <w:rFonts w:hint="eastAsia" w:ascii="仿宋_GB2312" w:eastAsia="仿宋_GB2312"/>
          <w:sz w:val="32"/>
          <w:szCs w:val="32"/>
          <w:lang w:eastAsia="zh-CN"/>
        </w:rPr>
        <w:t>教育补短板专项</w:t>
      </w:r>
      <w:r>
        <w:rPr>
          <w:rFonts w:hint="eastAsia" w:ascii="仿宋_GB2312" w:hAnsi="仿宋" w:eastAsia="仿宋_GB2312"/>
          <w:sz w:val="32"/>
          <w:szCs w:val="32"/>
        </w:rPr>
        <w:t>开展绩效评价。评价围绕投入、过程、产出和效益等环节关键绩效指标，采取收集数据、实地调研、座谈了解等形式，对专项资金管理、使用、效益等情况进行分析，并借鉴好的做法和经验，提出改进绩效的有关建议。</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黑体" w:hAnsi="黑体" w:eastAsia="黑体" w:cs="黑体"/>
          <w:b w:val="0"/>
        </w:rPr>
      </w:pPr>
      <w:r>
        <w:rPr>
          <w:rFonts w:hint="eastAsia" w:ascii="黑体" w:hAnsi="黑体" w:eastAsia="黑体" w:cs="黑体"/>
          <w:b w:val="0"/>
        </w:rPr>
        <w:t>一、基本情况</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bCs w:val="0"/>
        </w:rPr>
      </w:pPr>
      <w:r>
        <w:rPr>
          <w:rFonts w:hint="eastAsia" w:ascii="楷体" w:hAnsi="楷体" w:eastAsia="楷体" w:cs="楷体"/>
          <w:b w:val="0"/>
          <w:bCs w:val="0"/>
        </w:rPr>
        <w:t>（一）资金分配和使用情况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sz w:val="32"/>
          <w:szCs w:val="32"/>
          <w:lang w:val="en-US"/>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20</w:t>
      </w:r>
      <w:r>
        <w:rPr>
          <w:rFonts w:hint="eastAsia" w:ascii="仿宋_GB2312" w:hAnsi="仿宋" w:eastAsia="仿宋_GB2312"/>
          <w:sz w:val="32"/>
          <w:szCs w:val="32"/>
        </w:rPr>
        <w:t>年度</w:t>
      </w:r>
      <w:r>
        <w:rPr>
          <w:rFonts w:hint="eastAsia" w:ascii="仿宋_GB2312" w:eastAsia="仿宋_GB2312"/>
          <w:sz w:val="32"/>
          <w:szCs w:val="32"/>
          <w:lang w:eastAsia="zh-CN"/>
        </w:rPr>
        <w:t>教育补短板专项</w:t>
      </w:r>
      <w:r>
        <w:rPr>
          <w:rFonts w:hint="eastAsia" w:ascii="仿宋_GB2312" w:hAnsi="仿宋" w:eastAsia="仿宋_GB2312"/>
          <w:sz w:val="32"/>
          <w:szCs w:val="32"/>
        </w:rPr>
        <w:t>共安排资金</w:t>
      </w:r>
      <w:r>
        <w:rPr>
          <w:rFonts w:hint="eastAsia" w:ascii="仿宋_GB2312" w:hAnsi="仿宋" w:eastAsia="仿宋_GB2312"/>
          <w:sz w:val="32"/>
          <w:szCs w:val="32"/>
          <w:lang w:val="en-US" w:eastAsia="zh-CN"/>
        </w:rPr>
        <w:t>1216</w:t>
      </w:r>
      <w:r>
        <w:rPr>
          <w:rFonts w:hint="eastAsia" w:ascii="仿宋_GB2312" w:hAnsi="仿宋" w:eastAsia="仿宋_GB2312"/>
          <w:sz w:val="32"/>
          <w:szCs w:val="32"/>
        </w:rPr>
        <w:t xml:space="preserve">万元，下达资金    </w:t>
      </w:r>
      <w:r>
        <w:rPr>
          <w:rFonts w:hint="eastAsia" w:ascii="仿宋_GB2312" w:hAnsi="仿宋" w:eastAsia="仿宋_GB2312"/>
          <w:sz w:val="32"/>
          <w:szCs w:val="32"/>
          <w:lang w:val="en-US" w:eastAsia="zh-CN"/>
        </w:rPr>
        <w:t>1216</w:t>
      </w:r>
      <w:r>
        <w:rPr>
          <w:rFonts w:hint="eastAsia" w:ascii="仿宋_GB2312" w:hAnsi="仿宋" w:eastAsia="仿宋_GB2312"/>
          <w:sz w:val="32"/>
          <w:szCs w:val="32"/>
        </w:rPr>
        <w:t>万元。从资金使用率看，投资促进专项资金使用效率较高，达到100%</w:t>
      </w:r>
      <w:r>
        <w:rPr>
          <w:rFonts w:hint="eastAsia" w:ascii="仿宋_GB2312" w:hAnsi="仿宋" w:eastAsia="仿宋_GB2312"/>
          <w:sz w:val="32"/>
          <w:szCs w:val="32"/>
          <w:lang w:eastAsia="zh-CN"/>
        </w:rPr>
        <w:t>。主要用于班主任工作、培优补差、教学质量考评、名师名校长奖金、教师继续教育经费、乡村教师生活补助、退休教师一次性退休补贴。其中：班主任工作、培优补差、教学质量考评、名师名校长奖金安排支出</w:t>
      </w:r>
      <w:r>
        <w:rPr>
          <w:rFonts w:hint="eastAsia" w:ascii="仿宋_GB2312" w:hAnsi="仿宋" w:eastAsia="仿宋_GB2312"/>
          <w:sz w:val="32"/>
          <w:szCs w:val="32"/>
          <w:lang w:val="en-US" w:eastAsia="zh-CN"/>
        </w:rPr>
        <w:t>700万元，所占支出比例57.57%，</w:t>
      </w:r>
      <w:r>
        <w:rPr>
          <w:rFonts w:hint="eastAsia" w:ascii="仿宋_GB2312" w:hAnsi="仿宋" w:eastAsia="仿宋_GB2312"/>
          <w:sz w:val="32"/>
          <w:szCs w:val="32"/>
          <w:lang w:eastAsia="zh-CN"/>
        </w:rPr>
        <w:t>教师继续教育经费安排支出</w:t>
      </w:r>
      <w:r>
        <w:rPr>
          <w:rFonts w:hint="eastAsia" w:ascii="仿宋_GB2312" w:hAnsi="仿宋" w:eastAsia="仿宋_GB2312"/>
          <w:sz w:val="32"/>
          <w:szCs w:val="32"/>
          <w:lang w:val="en-US" w:eastAsia="zh-CN"/>
        </w:rPr>
        <w:t>280万元，所占支出比例23.03%；乡村教师生活补助</w:t>
      </w:r>
      <w:r>
        <w:rPr>
          <w:rFonts w:hint="eastAsia" w:ascii="仿宋_GB2312" w:hAnsi="仿宋" w:eastAsia="仿宋_GB2312"/>
          <w:sz w:val="32"/>
          <w:szCs w:val="32"/>
          <w:lang w:eastAsia="zh-CN"/>
        </w:rPr>
        <w:t>安排支出</w:t>
      </w:r>
      <w:r>
        <w:rPr>
          <w:rFonts w:hint="eastAsia" w:ascii="仿宋_GB2312" w:hAnsi="仿宋" w:eastAsia="仿宋_GB2312"/>
          <w:sz w:val="32"/>
          <w:szCs w:val="32"/>
          <w:lang w:val="en-US" w:eastAsia="zh-CN"/>
        </w:rPr>
        <w:t>56万元，所占支出比例4.6%；退休教师一次性退休补贴</w:t>
      </w:r>
      <w:r>
        <w:rPr>
          <w:rFonts w:hint="eastAsia" w:ascii="仿宋_GB2312" w:hAnsi="仿宋" w:eastAsia="仿宋_GB2312"/>
          <w:sz w:val="32"/>
          <w:szCs w:val="32"/>
          <w:lang w:eastAsia="zh-CN"/>
        </w:rPr>
        <w:t>安排支出</w:t>
      </w:r>
      <w:r>
        <w:rPr>
          <w:rFonts w:hint="eastAsia" w:ascii="仿宋_GB2312" w:hAnsi="仿宋" w:eastAsia="仿宋_GB2312"/>
          <w:sz w:val="32"/>
          <w:szCs w:val="32"/>
          <w:lang w:val="en-US" w:eastAsia="zh-CN"/>
        </w:rPr>
        <w:t>180万元，所占支出比例14.8%。</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bCs w:val="0"/>
        </w:rPr>
      </w:pPr>
      <w:r>
        <w:rPr>
          <w:rFonts w:hint="eastAsia" w:ascii="楷体" w:hAnsi="楷体" w:eastAsia="楷体" w:cs="楷体"/>
          <w:b w:val="0"/>
          <w:bCs w:val="0"/>
        </w:rPr>
        <w:t>（二）绩效评价情况</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hAnsi="宋体" w:eastAsia="仿宋_GB2312"/>
          <w:b w:val="0"/>
        </w:rPr>
      </w:pPr>
      <w:r>
        <w:rPr>
          <w:rFonts w:hint="eastAsia" w:ascii="仿宋_GB2312" w:hAnsi="宋体" w:eastAsia="仿宋_GB2312"/>
          <w:b w:val="0"/>
        </w:rPr>
        <w:t>项目绩效评价工作组根据财政部、福建省和财政支出绩效评价管理办法的要求，依据相关性、重要性、可比性、系统性及经济性原则，围绕投入、过程、项目产出与效益三个方面设计绩效评价指标以及评分标准和分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指标体系设定满分100分，其中：“投入”,30分，主要体现项目立项和资金落实情况；“过程”30分，主要体现项目的业务管理、资金使用管理等方面的情况；“产出与效益”40分，主要体现项目产出数量、产出质量、经济与社会效益、可持续效益和服务对象满意度等（具体评分见附表）。基于外部独立评价的特点和要求，指标设置和评分标准力求可行性、客观性、科学性与简明性。指标体系和评分标准如表1所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sz w:val="32"/>
          <w:szCs w:val="32"/>
        </w:rPr>
      </w:pPr>
      <w:r>
        <w:rPr>
          <w:rFonts w:hint="eastAsia" w:ascii="仿宋_GB2312" w:hAnsi="宋体" w:eastAsia="仿宋_GB2312"/>
          <w:sz w:val="32"/>
          <w:szCs w:val="32"/>
        </w:rPr>
        <w:t>绩效评价方法是指在绩效评价实施过程中为了取得被评价的预算支出项目、单位基础数据和资金使用绩效情况，完成绩效评价任务而采取的各种手段。根据省财政厅有关财政支出绩效评价的有关规定，参照预算绩效评价共性指标体系，结合该项资金的实际情况，绩效评价方法采用因素分析法、目标预定与实施效果比较法等。</w:t>
      </w:r>
      <w:r>
        <w:rPr>
          <w:rFonts w:hint="eastAsia" w:ascii="仿宋_GB2312" w:hAnsi="仿宋" w:eastAsia="仿宋_GB2312"/>
          <w:sz w:val="32"/>
          <w:szCs w:val="32"/>
        </w:rPr>
        <w:t>在评价中，对</w:t>
      </w:r>
      <w:r>
        <w:rPr>
          <w:rFonts w:hint="eastAsia" w:ascii="仿宋_GB2312" w:hAnsi="仿宋" w:eastAsia="仿宋_GB2312"/>
          <w:sz w:val="32"/>
          <w:szCs w:val="32"/>
          <w:lang w:val="en-US" w:eastAsia="zh-CN"/>
        </w:rPr>
        <w:t>教育补短板</w:t>
      </w:r>
      <w:r>
        <w:rPr>
          <w:rFonts w:hint="eastAsia" w:ascii="仿宋_GB2312" w:hAnsi="仿宋" w:eastAsia="仿宋_GB2312"/>
          <w:sz w:val="32"/>
          <w:szCs w:val="32"/>
        </w:rPr>
        <w:t>开展现场核查，完成任务</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%。经综合评价，20</w:t>
      </w:r>
      <w:r>
        <w:rPr>
          <w:rFonts w:hint="eastAsia" w:ascii="仿宋_GB2312" w:hAnsi="仿宋" w:eastAsia="仿宋_GB2312"/>
          <w:sz w:val="32"/>
          <w:szCs w:val="32"/>
          <w:lang w:val="en-US" w:eastAsia="zh-CN"/>
        </w:rPr>
        <w:t>20</w:t>
      </w:r>
      <w:r>
        <w:rPr>
          <w:rFonts w:hint="eastAsia" w:ascii="仿宋_GB2312" w:hAnsi="仿宋" w:eastAsia="仿宋_GB2312"/>
          <w:sz w:val="32"/>
          <w:szCs w:val="32"/>
        </w:rPr>
        <w:t>年度</w:t>
      </w:r>
      <w:r>
        <w:rPr>
          <w:rFonts w:hint="eastAsia" w:ascii="仿宋_GB2312" w:eastAsia="仿宋_GB2312"/>
          <w:sz w:val="32"/>
          <w:szCs w:val="32"/>
          <w:lang w:eastAsia="zh-CN"/>
        </w:rPr>
        <w:t>教育补短板专项</w:t>
      </w:r>
      <w:r>
        <w:rPr>
          <w:rFonts w:hint="eastAsia" w:ascii="仿宋_GB2312" w:hAnsi="仿宋" w:eastAsia="仿宋_GB2312"/>
          <w:sz w:val="32"/>
          <w:szCs w:val="32"/>
        </w:rPr>
        <w:t>资金得分</w:t>
      </w:r>
      <w:r>
        <w:rPr>
          <w:rFonts w:hint="eastAsia" w:ascii="仿宋_GB2312" w:hAnsi="仿宋" w:eastAsia="仿宋_GB2312"/>
          <w:sz w:val="32"/>
          <w:szCs w:val="32"/>
          <w:lang w:val="en-US" w:eastAsia="zh-CN"/>
        </w:rPr>
        <w:t>94</w:t>
      </w:r>
      <w:r>
        <w:rPr>
          <w:rFonts w:hint="eastAsia" w:ascii="仿宋_GB2312" w:hAnsi="仿宋"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从评价指标分析来看，分数较高的指标主要为</w:t>
      </w:r>
      <w:r>
        <w:rPr>
          <w:rFonts w:hint="eastAsia" w:ascii="仿宋_GB2312" w:hAnsi="仿宋" w:eastAsia="仿宋_GB2312"/>
          <w:sz w:val="32"/>
          <w:szCs w:val="32"/>
          <w:lang w:val="en-US" w:eastAsia="zh-CN"/>
        </w:rPr>
        <w:t>项目立项和资金落实</w:t>
      </w:r>
      <w:r>
        <w:rPr>
          <w:rFonts w:hint="eastAsia" w:ascii="仿宋_GB2312" w:hAnsi="仿宋" w:eastAsia="仿宋_GB2312"/>
          <w:sz w:val="32"/>
          <w:szCs w:val="32"/>
        </w:rPr>
        <w:t>指标，扣分较多的指标是</w:t>
      </w:r>
      <w:r>
        <w:rPr>
          <w:rFonts w:hint="eastAsia" w:ascii="仿宋_GB2312" w:hAnsi="仿宋" w:eastAsia="仿宋_GB2312"/>
          <w:sz w:val="32"/>
          <w:szCs w:val="32"/>
          <w:lang w:val="en-US" w:eastAsia="zh-CN"/>
        </w:rPr>
        <w:t>业务管理指标</w:t>
      </w:r>
      <w:r>
        <w:rPr>
          <w:rFonts w:hint="eastAsia" w:ascii="仿宋_GB2312" w:hAnsi="仿宋" w:eastAsia="仿宋_GB2312"/>
          <w:sz w:val="32"/>
          <w:szCs w:val="32"/>
        </w:rPr>
        <w:t>，主要原因是</w:t>
      </w:r>
      <w:r>
        <w:rPr>
          <w:rFonts w:hint="eastAsia" w:ascii="仿宋_GB2312" w:hAnsi="仿宋" w:eastAsia="仿宋_GB2312"/>
          <w:sz w:val="32"/>
          <w:szCs w:val="32"/>
          <w:lang w:eastAsia="zh-CN"/>
        </w:rPr>
        <w:t>相关</w:t>
      </w:r>
      <w:r>
        <w:rPr>
          <w:rFonts w:hint="eastAsia" w:ascii="仿宋_GB2312" w:hAnsi="仿宋" w:eastAsia="仿宋_GB2312"/>
          <w:sz w:val="32"/>
          <w:szCs w:val="32"/>
        </w:rPr>
        <w:t>制度不够完善。</w:t>
      </w:r>
      <w:bookmarkStart w:id="5" w:name="_GoBack"/>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sz w:val="32"/>
          <w:szCs w:val="32"/>
        </w:rPr>
      </w:pPr>
      <w:r>
        <w:rPr>
          <w:rFonts w:hint="eastAsia" w:ascii="仿宋_GB2312" w:hAnsi="宋体" w:eastAsia="仿宋_GB2312"/>
          <w:sz w:val="32"/>
          <w:szCs w:val="32"/>
        </w:rPr>
        <w:t>经核验，补助资金发放及时率、教师培训的合格率100%，达到预期目标，目标完成100%。2020年度发放班主任工作、培优补差、教学质量考评、名师名校长奖金700万元、教师继续教育经费280万元、乡村教师生活补助56万元、退休教师一次性退休补贴180万元，均已达到年初绩效目标任务值</w:t>
      </w:r>
      <w:r>
        <w:rPr>
          <w:rFonts w:hint="eastAsia" w:ascii="仿宋_GB2312" w:hAnsi="宋体" w:eastAsia="仿宋_GB2312"/>
          <w:sz w:val="32"/>
          <w:szCs w:val="32"/>
          <w:lang w:eastAsia="zh-CN"/>
        </w:rPr>
        <w:t>，</w:t>
      </w:r>
      <w:r>
        <w:rPr>
          <w:rFonts w:hint="eastAsia" w:ascii="仿宋_GB2312" w:hAnsi="宋体" w:eastAsia="仿宋_GB2312"/>
          <w:sz w:val="32"/>
          <w:szCs w:val="32"/>
        </w:rPr>
        <w:t>目标完成100%</w:t>
      </w:r>
      <w:bookmarkStart w:id="1" w:name="fo_mb_bl_产出_数量目标"/>
      <w:bookmarkEnd w:id="1"/>
      <w:r>
        <w:rPr>
          <w:rFonts w:hint="eastAsia" w:ascii="仿宋_GB2312" w:hAnsi="宋体" w:eastAsia="仿宋_GB2312"/>
          <w:sz w:val="32"/>
          <w:szCs w:val="32"/>
        </w:rPr>
        <w:t>。补助学校个数15个，教师培训1100人次，发放班主任工作津</w:t>
      </w:r>
      <w:r>
        <w:rPr>
          <w:rFonts w:hint="eastAsia" w:ascii="仿宋_GB2312" w:hAnsi="宋体" w:eastAsia="仿宋_GB2312"/>
          <w:sz w:val="32"/>
          <w:szCs w:val="32"/>
          <w:lang w:eastAsia="zh-CN"/>
        </w:rPr>
        <w:t>贴</w:t>
      </w:r>
      <w:r>
        <w:rPr>
          <w:rFonts w:hint="eastAsia" w:ascii="仿宋_GB2312" w:hAnsi="宋体" w:eastAsia="仿宋_GB2312"/>
          <w:sz w:val="32"/>
          <w:szCs w:val="32"/>
        </w:rPr>
        <w:t>350万元，所有项目均在</w:t>
      </w:r>
      <w:bookmarkStart w:id="2" w:name="fi_xm_eyear_3"/>
      <w:bookmarkEnd w:id="2"/>
      <w:r>
        <w:rPr>
          <w:rFonts w:hint="eastAsia" w:ascii="仿宋_GB2312" w:hAnsi="宋体" w:eastAsia="仿宋_GB2312"/>
          <w:sz w:val="32"/>
          <w:szCs w:val="32"/>
        </w:rPr>
        <w:t>2020年年底前完成，达到预期目标</w:t>
      </w:r>
      <w:r>
        <w:rPr>
          <w:rFonts w:hint="eastAsia" w:ascii="仿宋_GB2312" w:hAnsi="宋体" w:eastAsia="仿宋_GB2312"/>
          <w:sz w:val="32"/>
          <w:szCs w:val="32"/>
          <w:lang w:eastAsia="zh-CN"/>
        </w:rPr>
        <w:t>，</w:t>
      </w:r>
      <w:r>
        <w:rPr>
          <w:rFonts w:hint="eastAsia" w:ascii="仿宋_GB2312" w:hAnsi="宋体" w:eastAsia="仿宋_GB2312"/>
          <w:sz w:val="32"/>
          <w:szCs w:val="32"/>
        </w:rPr>
        <w:t>目标完成100%</w:t>
      </w:r>
      <w:bookmarkStart w:id="3" w:name="fo_mb_bl_投入_时效目标"/>
      <w:bookmarkEnd w:id="3"/>
      <w:r>
        <w:rPr>
          <w:rFonts w:hint="eastAsia" w:ascii="仿宋_GB2312" w:hAnsi="宋体" w:eastAsia="仿宋_GB2312"/>
          <w:sz w:val="32"/>
          <w:szCs w:val="32"/>
        </w:rPr>
        <w:t>。</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7" w:firstLineChars="196"/>
        <w:jc w:val="left"/>
        <w:textAlignment w:val="auto"/>
        <w:rPr>
          <w:rFonts w:hint="eastAsia" w:ascii="黑体" w:hAnsi="黑体" w:eastAsia="黑体" w:cs="黑体"/>
          <w:b w:val="0"/>
        </w:rPr>
      </w:pPr>
      <w:r>
        <w:rPr>
          <w:rFonts w:hint="eastAsia" w:ascii="黑体" w:hAnsi="黑体" w:eastAsia="黑体" w:cs="黑体"/>
          <w:b w:val="0"/>
        </w:rPr>
        <w:t>二、 问题分析</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rPr>
      </w:pPr>
      <w:r>
        <w:rPr>
          <w:rFonts w:hint="eastAsia" w:ascii="楷体" w:hAnsi="楷体" w:eastAsia="楷体" w:cs="楷体"/>
          <w:b w:val="0"/>
        </w:rPr>
        <w:t>（一）资金管理有待加强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sz w:val="32"/>
          <w:szCs w:val="32"/>
          <w:lang w:eastAsia="zh-CN"/>
        </w:rPr>
      </w:pPr>
      <w:r>
        <w:rPr>
          <w:rFonts w:hint="eastAsia" w:ascii="仿宋_GB2312" w:hAnsi="仿宋" w:eastAsia="仿宋_GB2312"/>
          <w:b/>
          <w:sz w:val="32"/>
          <w:szCs w:val="32"/>
        </w:rPr>
        <w:t>1.财务管理制度健全性。</w:t>
      </w:r>
      <w:r>
        <w:rPr>
          <w:rFonts w:hint="eastAsia" w:ascii="仿宋_GB2312" w:hAnsi="微软雅黑" w:eastAsia="仿宋_GB2312"/>
          <w:sz w:val="32"/>
          <w:szCs w:val="32"/>
          <w:shd w:val="clear" w:color="auto" w:fill="FFFFFF"/>
        </w:rPr>
        <w:t>财务制度不够重视，内部财务制度残缺不全财务管理制度内部控制不完善</w:t>
      </w:r>
      <w:r>
        <w:rPr>
          <w:rFonts w:hint="eastAsia" w:ascii="仿宋_GB2312" w:hAnsi="微软雅黑" w:eastAsia="仿宋_GB2312"/>
          <w:sz w:val="32"/>
          <w:szCs w:val="32"/>
          <w:shd w:val="clear" w:color="auto" w:fill="FFFFFF"/>
          <w:lang w:eastAsia="zh-CN"/>
        </w:rPr>
        <w:t>，</w:t>
      </w:r>
      <w:r>
        <w:rPr>
          <w:rFonts w:hint="eastAsia" w:ascii="仿宋_GB2312" w:hAnsi="微软雅黑" w:eastAsia="仿宋_GB2312"/>
          <w:sz w:val="32"/>
          <w:szCs w:val="32"/>
          <w:shd w:val="clear" w:color="auto" w:fill="FFFFFF"/>
        </w:rPr>
        <w:t>没有渗透到各个业务领域和各个操作环节，没有做到账、钱分管原则，</w:t>
      </w:r>
      <w:r>
        <w:rPr>
          <w:rFonts w:hint="eastAsia" w:ascii="仿宋_GB2312" w:hAnsi="微软雅黑" w:eastAsia="仿宋_GB2312"/>
          <w:sz w:val="32"/>
          <w:szCs w:val="32"/>
          <w:shd w:val="clear" w:color="auto" w:fill="FFFFFF"/>
          <w:lang w:eastAsia="zh-CN"/>
        </w:rPr>
        <w:t>部分</w:t>
      </w:r>
      <w:r>
        <w:rPr>
          <w:rFonts w:hint="eastAsia" w:ascii="仿宋_GB2312" w:hAnsi="微软雅黑" w:eastAsia="仿宋_GB2312"/>
          <w:sz w:val="32"/>
          <w:szCs w:val="32"/>
          <w:shd w:val="clear" w:color="auto" w:fill="FFFFFF"/>
        </w:rPr>
        <w:t>资金和有关账簿的管理混乱。没有明确职责权限、实行职务分离，没有明确</w:t>
      </w:r>
      <w:r>
        <w:rPr>
          <w:rFonts w:hint="eastAsia" w:ascii="仿宋_GB2312" w:hAnsi="微软雅黑" w:eastAsia="仿宋_GB2312"/>
          <w:sz w:val="32"/>
          <w:szCs w:val="32"/>
          <w:shd w:val="clear" w:color="auto" w:fill="FFFFFF"/>
          <w:lang w:eastAsia="zh-CN"/>
        </w:rPr>
        <w:t>学校</w:t>
      </w:r>
      <w:r>
        <w:rPr>
          <w:rFonts w:hint="eastAsia" w:ascii="仿宋_GB2312" w:hAnsi="微软雅黑" w:eastAsia="仿宋_GB2312"/>
          <w:sz w:val="32"/>
          <w:szCs w:val="32"/>
          <w:shd w:val="clear" w:color="auto" w:fill="FFFFFF"/>
        </w:rPr>
        <w:t>各级管理部门和人员各自的职能和责任。加强内部控制，为了保证业务活动的有效进行，保护资产的安全和完整，防止、发现、纠正错误与舞弊，保证财务资料的真实、合法、完整</w:t>
      </w:r>
      <w:r>
        <w:rPr>
          <w:rFonts w:hint="eastAsia" w:ascii="仿宋_GB2312" w:hAnsi="仿宋" w:eastAsia="仿宋_GB2312"/>
          <w:sz w:val="32"/>
          <w:szCs w:val="32"/>
        </w:rPr>
        <w:t xml:space="preserve">。   </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rPr>
      </w:pPr>
      <w:r>
        <w:rPr>
          <w:rFonts w:hint="eastAsia" w:ascii="楷体" w:hAnsi="楷体" w:eastAsia="楷体" w:cs="楷体"/>
          <w:b w:val="0"/>
        </w:rPr>
        <w:t>（二）项目管理需要改进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b w:val="0"/>
          <w:bCs/>
          <w:sz w:val="32"/>
          <w:szCs w:val="32"/>
          <w:lang w:eastAsia="zh-CN"/>
        </w:rPr>
      </w:pPr>
      <w:r>
        <w:rPr>
          <w:rFonts w:hint="eastAsia" w:ascii="仿宋_GB2312" w:hAnsi="仿宋" w:eastAsia="仿宋_GB2312"/>
          <w:b/>
          <w:bCs w:val="0"/>
          <w:sz w:val="32"/>
          <w:szCs w:val="32"/>
          <w:lang w:eastAsia="zh-CN"/>
        </w:rPr>
        <w:t>效应管理方面。</w:t>
      </w:r>
      <w:r>
        <w:rPr>
          <w:rFonts w:hint="eastAsia" w:ascii="仿宋_GB2312" w:hAnsi="仿宋" w:eastAsia="仿宋_GB2312"/>
          <w:b w:val="0"/>
          <w:bCs/>
          <w:sz w:val="32"/>
          <w:szCs w:val="32"/>
        </w:rPr>
        <w:t>项目的实施未产生示范和扩散效应。20</w:t>
      </w:r>
      <w:r>
        <w:rPr>
          <w:rFonts w:hint="eastAsia" w:ascii="仿宋_GB2312" w:hAnsi="仿宋" w:eastAsia="仿宋_GB2312"/>
          <w:b w:val="0"/>
          <w:bCs/>
          <w:sz w:val="32"/>
          <w:szCs w:val="32"/>
          <w:lang w:val="en-US" w:eastAsia="zh-CN"/>
        </w:rPr>
        <w:t>20</w:t>
      </w:r>
      <w:r>
        <w:rPr>
          <w:rFonts w:hint="eastAsia" w:ascii="仿宋_GB2312" w:hAnsi="仿宋" w:eastAsia="仿宋_GB2312"/>
          <w:b w:val="0"/>
          <w:bCs/>
          <w:sz w:val="32"/>
          <w:szCs w:val="32"/>
        </w:rPr>
        <w:t>年度教育</w:t>
      </w:r>
      <w:r>
        <w:rPr>
          <w:rFonts w:hint="eastAsia" w:ascii="仿宋_GB2312" w:hAnsi="仿宋" w:eastAsia="仿宋_GB2312"/>
          <w:b w:val="0"/>
          <w:bCs/>
          <w:sz w:val="32"/>
          <w:szCs w:val="32"/>
          <w:lang w:eastAsia="zh-CN"/>
        </w:rPr>
        <w:t>补短板</w:t>
      </w:r>
      <w:r>
        <w:rPr>
          <w:rFonts w:hint="eastAsia" w:ascii="仿宋_GB2312" w:hAnsi="仿宋" w:eastAsia="仿宋_GB2312"/>
          <w:b w:val="0"/>
          <w:bCs/>
          <w:sz w:val="32"/>
          <w:szCs w:val="32"/>
        </w:rPr>
        <w:t>专项资金在用于项目实施过程中，没有成功经验的扩散效应。同时，也未产生示范作用。</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rPr>
      </w:pPr>
      <w:r>
        <w:rPr>
          <w:rFonts w:hint="eastAsia" w:ascii="楷体" w:hAnsi="楷体" w:eastAsia="楷体" w:cs="楷体"/>
          <w:b w:val="0"/>
        </w:rPr>
        <w:t>（三）使用效益还有潜力</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left"/>
        <w:textAlignment w:val="auto"/>
        <w:rPr>
          <w:rFonts w:hint="default" w:ascii="仿宋_GB2312" w:hAnsi="仿宋" w:eastAsia="仿宋_GB2312" w:cstheme="minorBidi"/>
          <w:b w:val="0"/>
          <w:bCs w:val="0"/>
          <w:kern w:val="2"/>
          <w:lang w:val="en-US" w:eastAsia="zh-CN"/>
        </w:rPr>
      </w:pPr>
      <w:r>
        <w:rPr>
          <w:rFonts w:hint="eastAsia" w:ascii="仿宋_GB2312" w:hAnsi="仿宋" w:eastAsia="仿宋_GB2312"/>
          <w:b/>
          <w:sz w:val="32"/>
          <w:szCs w:val="32"/>
          <w:lang w:eastAsia="zh-CN"/>
        </w:rPr>
        <w:t>运用成果数量和质量有待提升。</w:t>
      </w:r>
      <w:r>
        <w:rPr>
          <w:rFonts w:hint="eastAsia" w:ascii="仿宋_GB2312" w:hAnsi="仿宋" w:eastAsia="仿宋_GB2312"/>
          <w:b w:val="0"/>
          <w:bCs w:val="0"/>
          <w:sz w:val="32"/>
          <w:szCs w:val="32"/>
          <w:lang w:eastAsia="zh-CN"/>
        </w:rPr>
        <w:t>近年来，教育局在培优补差、教师补助等</w:t>
      </w:r>
      <w:r>
        <w:rPr>
          <w:rFonts w:hint="eastAsia" w:ascii="仿宋_GB2312" w:hAnsi="仿宋" w:eastAsia="仿宋_GB2312"/>
          <w:b w:val="0"/>
          <w:bCs w:val="0"/>
          <w:sz w:val="32"/>
          <w:szCs w:val="32"/>
          <w:lang w:val="en-US" w:eastAsia="zh-CN"/>
        </w:rPr>
        <w:t>过程的研究中，需开展多次的论证和修改，经过部门负责人、分管领导、主要领导把关，项目申报程序繁琐。</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黑体" w:hAnsi="黑体" w:eastAsia="黑体" w:cs="黑体"/>
          <w:b w:val="0"/>
        </w:rPr>
      </w:pPr>
      <w:r>
        <w:rPr>
          <w:rFonts w:hint="eastAsia" w:ascii="黑体" w:hAnsi="黑体" w:eastAsia="黑体" w:cs="黑体"/>
          <w:b w:val="0"/>
        </w:rPr>
        <w:t>三、有关建议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Times New Roman"/>
          <w:b w:val="0"/>
          <w:bCs w:val="0"/>
          <w:kern w:val="28"/>
          <w:sz w:val="32"/>
          <w:szCs w:val="32"/>
          <w:lang w:val="en-US" w:eastAsia="zh-CN" w:bidi="ar-SA"/>
        </w:rPr>
      </w:pPr>
      <w:r>
        <w:rPr>
          <w:rFonts w:hint="eastAsia" w:ascii="仿宋_GB2312" w:hAnsi="仿宋" w:eastAsia="仿宋_GB2312" w:cs="Times New Roman"/>
          <w:b/>
          <w:bCs/>
          <w:kern w:val="28"/>
          <w:sz w:val="32"/>
          <w:szCs w:val="32"/>
          <w:lang w:val="en-US" w:eastAsia="zh-CN" w:bidi="ar-SA"/>
        </w:rPr>
        <w:t>一是规范资金管理。</w:t>
      </w:r>
      <w:r>
        <w:rPr>
          <w:rFonts w:hint="eastAsia" w:ascii="仿宋_GB2312" w:hAnsi="仿宋" w:eastAsia="仿宋_GB2312" w:cs="Times New Roman"/>
          <w:b w:val="0"/>
          <w:bCs w:val="0"/>
          <w:kern w:val="28"/>
          <w:sz w:val="32"/>
          <w:szCs w:val="32"/>
          <w:lang w:val="en-US" w:eastAsia="zh-CN" w:bidi="ar-SA"/>
        </w:rPr>
        <w:t>首先，要加强预算管理。教育主管部门要将教育补短板资金纳入年初预算，科学合理的编制预算，细化项目支出结构，严格预算执行进度考核制度，切实提高</w:t>
      </w:r>
      <w:r>
        <w:rPr>
          <w:rFonts w:hint="eastAsia" w:ascii="仿宋_GB2312" w:eastAsia="仿宋_GB2312"/>
          <w:sz w:val="32"/>
          <w:szCs w:val="32"/>
          <w:lang w:eastAsia="zh-CN"/>
        </w:rPr>
        <w:t>教育补短板</w:t>
      </w:r>
      <w:r>
        <w:rPr>
          <w:rFonts w:hint="eastAsia" w:ascii="仿宋_GB2312" w:hAnsi="仿宋" w:eastAsia="仿宋_GB2312" w:cs="Times New Roman"/>
          <w:b w:val="0"/>
          <w:bCs w:val="0"/>
          <w:kern w:val="28"/>
          <w:sz w:val="32"/>
          <w:szCs w:val="32"/>
          <w:lang w:val="en-US" w:eastAsia="zh-CN" w:bidi="ar-SA"/>
        </w:rPr>
        <w:t>执行效率；其次，要完善分配机制。教育主管部门要充分考虑</w:t>
      </w:r>
      <w:r>
        <w:rPr>
          <w:rFonts w:hint="eastAsia" w:ascii="仿宋_GB2312" w:eastAsia="仿宋_GB2312"/>
          <w:sz w:val="32"/>
          <w:szCs w:val="32"/>
          <w:lang w:eastAsia="zh-CN"/>
        </w:rPr>
        <w:t>教育补短板专项</w:t>
      </w:r>
      <w:r>
        <w:rPr>
          <w:rFonts w:hint="eastAsia" w:ascii="仿宋_GB2312" w:hAnsi="仿宋" w:eastAsia="仿宋_GB2312" w:cs="Times New Roman"/>
          <w:b w:val="0"/>
          <w:bCs w:val="0"/>
          <w:kern w:val="28"/>
          <w:sz w:val="32"/>
          <w:szCs w:val="32"/>
          <w:lang w:val="en-US" w:eastAsia="zh-CN" w:bidi="ar-SA"/>
        </w:rPr>
        <w:t>投入的重点和方向，实行与项目学校教育目标任务完成情况相结合的考核分配机制，确保专项资金分配公平、公正、合理；再次，要优化投入结构。同时，要适当提高培优补差、师资培训、教师补助等方面的投入，全面提升教育质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s="Times New Roman"/>
          <w:b w:val="0"/>
          <w:bCs w:val="0"/>
          <w:kern w:val="28"/>
          <w:sz w:val="32"/>
          <w:szCs w:val="32"/>
          <w:lang w:val="en-US" w:eastAsia="zh-CN" w:bidi="ar-SA"/>
        </w:rPr>
      </w:pPr>
      <w:r>
        <w:rPr>
          <w:rFonts w:hint="eastAsia" w:ascii="仿宋_GB2312" w:hAnsi="仿宋" w:eastAsia="仿宋_GB2312" w:cs="Times New Roman"/>
          <w:b w:val="0"/>
          <w:bCs w:val="0"/>
          <w:kern w:val="28"/>
          <w:sz w:val="32"/>
          <w:szCs w:val="32"/>
          <w:lang w:val="en-US" w:eastAsia="zh-CN" w:bidi="ar-SA"/>
        </w:rPr>
        <w:t xml:space="preserve">   </w:t>
      </w:r>
      <w:r>
        <w:rPr>
          <w:rFonts w:hint="eastAsia" w:ascii="仿宋_GB2312" w:hAnsi="仿宋" w:eastAsia="仿宋_GB2312" w:cs="Times New Roman"/>
          <w:b/>
          <w:bCs/>
          <w:kern w:val="28"/>
          <w:sz w:val="32"/>
          <w:szCs w:val="32"/>
          <w:lang w:val="en-US" w:eastAsia="zh-CN" w:bidi="ar-SA"/>
        </w:rPr>
        <w:t xml:space="preserve"> 二是完善教育补短板管理评估和监督机制。</w:t>
      </w:r>
      <w:r>
        <w:rPr>
          <w:rFonts w:hint="eastAsia" w:ascii="仿宋_GB2312" w:hAnsi="仿宋" w:eastAsia="仿宋_GB2312" w:cs="Times New Roman"/>
          <w:b w:val="0"/>
          <w:bCs w:val="0"/>
          <w:kern w:val="28"/>
          <w:sz w:val="32"/>
          <w:szCs w:val="32"/>
          <w:lang w:val="en-US" w:eastAsia="zh-CN" w:bidi="ar-SA"/>
        </w:rPr>
        <w:t>在实际工作中，教育补短板管理使用效益对当地教育事业的健康发展会产生直接影响，政府有关职能部门要给予高度重视，对资金投入数额较大的项目要建立绩效评估和监管机制，加大监督检查力度。财政和审计部门以及教育主管部门内审机构要将教育补短板项目纳入年度检查项目计划，定期或不定期开展专项监督检查，发现问题督促有关单位和学校及时整改，并对相关人员进行追责问责，决不姑息，确保教育费补短板经费专款专用，发挥应有的社会效益和资金效益。</w:t>
      </w:r>
    </w:p>
    <w:p>
      <w:pPr>
        <w:rPr>
          <w:rFonts w:hint="eastAsia" w:ascii="仿宋_GB2312" w:hAnsi="仿宋" w:eastAsia="仿宋_GB2312" w:cs="Times New Roman"/>
          <w:b w:val="0"/>
          <w:bCs w:val="0"/>
          <w:kern w:val="28"/>
          <w:sz w:val="32"/>
          <w:szCs w:val="32"/>
          <w:lang w:val="en-US" w:eastAsia="zh-CN" w:bidi="ar-SA"/>
        </w:rPr>
      </w:pPr>
    </w:p>
    <w:p>
      <w:pPr>
        <w:rPr>
          <w:rFonts w:hint="eastAsia" w:ascii="仿宋_GB2312" w:hAnsi="仿宋" w:eastAsia="仿宋_GB2312" w:cs="Times New Roman"/>
          <w:b w:val="0"/>
          <w:bCs w:val="0"/>
          <w:kern w:val="28"/>
          <w:sz w:val="32"/>
          <w:szCs w:val="32"/>
          <w:lang w:val="en-US" w:eastAsia="zh-CN" w:bidi="ar-SA"/>
        </w:rPr>
        <w:sectPr>
          <w:footerReference r:id="rId4" w:type="default"/>
          <w:pgSz w:w="11906" w:h="16838"/>
          <w:pgMar w:top="1440" w:right="1274" w:bottom="1440" w:left="1418" w:header="851" w:footer="992" w:gutter="0"/>
          <w:cols w:space="425" w:num="1"/>
          <w:docGrid w:type="lines" w:linePitch="312" w:charSpace="0"/>
        </w:sectPr>
      </w:pPr>
    </w:p>
    <w:p>
      <w:pPr>
        <w:pStyle w:val="2"/>
        <w:spacing w:before="0" w:after="0" w:line="360" w:lineRule="auto"/>
        <w:ind w:firstLine="643" w:firstLineChars="200"/>
        <w:jc w:val="center"/>
        <w:rPr>
          <w:rFonts w:ascii="仿宋_GB2312" w:eastAsia="仿宋_GB2312"/>
          <w:kern w:val="0"/>
          <w:sz w:val="32"/>
          <w:szCs w:val="32"/>
        </w:rPr>
      </w:pPr>
      <w:bookmarkStart w:id="4" w:name="_Toc14348"/>
      <w:r>
        <w:rPr>
          <w:rFonts w:hint="eastAsia" w:ascii="仿宋_GB2312" w:eastAsia="仿宋_GB2312"/>
          <w:kern w:val="0"/>
          <w:sz w:val="32"/>
          <w:szCs w:val="32"/>
        </w:rPr>
        <w:t>附表  20</w:t>
      </w:r>
      <w:r>
        <w:rPr>
          <w:rFonts w:hint="eastAsia" w:ascii="仿宋_GB2312" w:eastAsia="仿宋_GB2312"/>
          <w:kern w:val="0"/>
          <w:sz w:val="32"/>
          <w:szCs w:val="32"/>
          <w:lang w:val="en-US" w:eastAsia="zh-CN"/>
        </w:rPr>
        <w:t>20</w:t>
      </w:r>
      <w:r>
        <w:rPr>
          <w:rFonts w:hint="eastAsia" w:ascii="仿宋_GB2312" w:eastAsia="仿宋_GB2312"/>
          <w:kern w:val="0"/>
          <w:sz w:val="32"/>
          <w:szCs w:val="32"/>
        </w:rPr>
        <w:t>年度</w:t>
      </w:r>
      <w:r>
        <w:rPr>
          <w:rFonts w:hint="eastAsia" w:ascii="仿宋_GB2312" w:eastAsia="仿宋_GB2312"/>
          <w:kern w:val="0"/>
          <w:sz w:val="32"/>
          <w:szCs w:val="32"/>
          <w:lang w:eastAsia="zh-CN"/>
        </w:rPr>
        <w:t>教育</w:t>
      </w:r>
      <w:r>
        <w:rPr>
          <w:rFonts w:hint="eastAsia" w:ascii="仿宋_GB2312" w:hAnsi="仿宋" w:eastAsia="仿宋_GB2312" w:cs="Times New Roman"/>
          <w:b/>
          <w:bCs/>
          <w:kern w:val="28"/>
          <w:sz w:val="32"/>
          <w:szCs w:val="32"/>
          <w:lang w:val="en-US" w:eastAsia="zh-CN" w:bidi="ar-SA"/>
        </w:rPr>
        <w:t>教育补短板</w:t>
      </w:r>
      <w:r>
        <w:rPr>
          <w:rFonts w:hint="eastAsia" w:ascii="仿宋_GB2312" w:eastAsia="仿宋_GB2312"/>
          <w:kern w:val="0"/>
          <w:sz w:val="32"/>
          <w:szCs w:val="32"/>
        </w:rPr>
        <w:t>绩效评价评分表</w:t>
      </w:r>
      <w:bookmarkEnd w:id="4"/>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995"/>
        <w:gridCol w:w="2835"/>
        <w:gridCol w:w="6195"/>
        <w:gridCol w:w="1155"/>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一级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19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二级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283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三级指标</w:t>
            </w:r>
          </w:p>
        </w:tc>
        <w:tc>
          <w:tcPr>
            <w:tcW w:w="61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评分标准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分值</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9" w:hRule="atLeast"/>
        </w:trPr>
        <w:tc>
          <w:tcPr>
            <w:tcW w:w="948" w:type="dxa"/>
            <w:vMerge w:val="restart"/>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投入</w:t>
            </w:r>
          </w:p>
          <w:p>
            <w:pPr>
              <w:jc w:val="center"/>
              <w:rPr>
                <w:rFonts w:ascii="仿宋_GB2312" w:eastAsia="仿宋_GB2312"/>
                <w:sz w:val="24"/>
                <w:szCs w:val="24"/>
              </w:rPr>
            </w:pPr>
            <w:r>
              <w:rPr>
                <w:rFonts w:hint="eastAsia" w:ascii="仿宋_GB2312" w:hAnsi="宋体" w:eastAsia="仿宋_GB2312"/>
                <w:b/>
                <w:bCs/>
                <w:kern w:val="0"/>
                <w:sz w:val="24"/>
                <w:szCs w:val="24"/>
              </w:rPr>
              <w:t>（30分）</w:t>
            </w:r>
          </w:p>
        </w:tc>
        <w:tc>
          <w:tcPr>
            <w:tcW w:w="1995" w:type="dxa"/>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项目立项情况</w:t>
            </w:r>
          </w:p>
          <w:p>
            <w:pPr>
              <w:jc w:val="center"/>
              <w:rPr>
                <w:rFonts w:ascii="仿宋_GB2312" w:hAnsi="宋体" w:eastAsia="仿宋_GB2312"/>
                <w:sz w:val="24"/>
                <w:szCs w:val="24"/>
              </w:rPr>
            </w:pPr>
            <w:r>
              <w:rPr>
                <w:rFonts w:hint="eastAsia" w:ascii="仿宋_GB2312" w:hAnsi="宋体" w:eastAsia="仿宋_GB2312"/>
                <w:sz w:val="24"/>
                <w:szCs w:val="24"/>
              </w:rPr>
              <w:t>（15分）</w:t>
            </w:r>
          </w:p>
        </w:tc>
        <w:tc>
          <w:tcPr>
            <w:tcW w:w="2835" w:type="dxa"/>
            <w:vAlign w:val="center"/>
          </w:tcPr>
          <w:p>
            <w:pPr>
              <w:pStyle w:val="13"/>
              <w:jc w:val="center"/>
              <w:rPr>
                <w:rFonts w:ascii="仿宋_GB2312" w:eastAsia="仿宋_GB2312"/>
              </w:rPr>
            </w:pPr>
            <w:r>
              <w:rPr>
                <w:rFonts w:hint="eastAsia" w:ascii="仿宋_GB2312" w:eastAsia="仿宋_GB2312"/>
              </w:rPr>
              <w:t>绩效目标合理性</w:t>
            </w:r>
          </w:p>
          <w:p>
            <w:pPr>
              <w:widowControl/>
              <w:jc w:val="center"/>
              <w:rPr>
                <w:rFonts w:ascii="仿宋_GB2312" w:hAnsi="宋体" w:eastAsia="仿宋_GB2312" w:cs="宋体"/>
                <w:color w:val="000000"/>
                <w:kern w:val="0"/>
                <w:sz w:val="24"/>
                <w:szCs w:val="24"/>
              </w:rPr>
            </w:pPr>
          </w:p>
        </w:tc>
        <w:tc>
          <w:tcPr>
            <w:tcW w:w="6195" w:type="dxa"/>
            <w:vAlign w:val="center"/>
          </w:tcPr>
          <w:p>
            <w:pPr>
              <w:pStyle w:val="13"/>
              <w:numPr>
                <w:ilvl w:val="0"/>
                <w:numId w:val="1"/>
              </w:numPr>
              <w:rPr>
                <w:rFonts w:ascii="仿宋_GB2312" w:eastAsia="仿宋_GB2312"/>
              </w:rPr>
            </w:pPr>
            <w:r>
              <w:rPr>
                <w:rFonts w:hint="eastAsia" w:ascii="仿宋_GB2312" w:eastAsia="仿宋_GB2312"/>
              </w:rPr>
              <w:t>是否与项目年度任务数或计划数相对应；②是否与预算确定的项目投资额或资金量相匹配。一项不符合扣一分，严重的此项完全不得分。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trPr>
        <w:tc>
          <w:tcPr>
            <w:tcW w:w="948" w:type="dxa"/>
            <w:vMerge w:val="continue"/>
            <w:vAlign w:val="center"/>
          </w:tcPr>
          <w:p>
            <w:pPr>
              <w:jc w:val="center"/>
              <w:rPr>
                <w:rFonts w:ascii="仿宋_GB2312" w:eastAsia="仿宋_GB2312"/>
                <w:sz w:val="24"/>
                <w:szCs w:val="24"/>
              </w:rPr>
            </w:pPr>
          </w:p>
        </w:tc>
        <w:tc>
          <w:tcPr>
            <w:tcW w:w="1995" w:type="dxa"/>
            <w:vMerge w:val="continue"/>
          </w:tcPr>
          <w:p>
            <w:pPr>
              <w:jc w:val="center"/>
              <w:rPr>
                <w:rFonts w:ascii="仿宋_GB2312" w:eastAsia="仿宋_GB2312"/>
                <w:sz w:val="24"/>
                <w:szCs w:val="24"/>
              </w:rPr>
            </w:pP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kern w:val="0"/>
                <w:sz w:val="24"/>
                <w:szCs w:val="24"/>
              </w:rPr>
              <w:t>绩效指标明确性</w:t>
            </w:r>
          </w:p>
        </w:tc>
        <w:tc>
          <w:tcPr>
            <w:tcW w:w="6195" w:type="dxa"/>
            <w:vAlign w:val="center"/>
          </w:tcPr>
          <w:p>
            <w:pPr>
              <w:pStyle w:val="13"/>
              <w:rPr>
                <w:rFonts w:ascii="仿宋_GB2312" w:eastAsia="仿宋_GB2312"/>
              </w:rPr>
            </w:pPr>
            <w:r>
              <w:rPr>
                <w:rFonts w:hint="eastAsia" w:ascii="仿宋_GB2312" w:eastAsia="仿宋_GB2312"/>
              </w:rPr>
              <w:t>①是否将项目绩效目标细化分解为具体的绩效指标；②是否通过清晰、可衡量的指标值予以体现。一项不符合扣2分，扣完为止。</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6" w:hRule="atLeast"/>
        </w:trPr>
        <w:tc>
          <w:tcPr>
            <w:tcW w:w="948" w:type="dxa"/>
            <w:vMerge w:val="continue"/>
            <w:vAlign w:val="center"/>
          </w:tcPr>
          <w:p>
            <w:pPr>
              <w:jc w:val="center"/>
              <w:rPr>
                <w:rFonts w:ascii="仿宋_GB2312" w:eastAsia="仿宋_GB2312"/>
                <w:sz w:val="24"/>
                <w:szCs w:val="24"/>
              </w:rPr>
            </w:pPr>
          </w:p>
        </w:tc>
        <w:tc>
          <w:tcPr>
            <w:tcW w:w="1995" w:type="dxa"/>
            <w:vMerge w:val="continue"/>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绩效指标完成率</w:t>
            </w:r>
          </w:p>
          <w:p>
            <w:pPr>
              <w:pStyle w:val="13"/>
              <w:jc w:val="center"/>
              <w:rPr>
                <w:rFonts w:ascii="仿宋_GB2312" w:eastAsia="仿宋_GB2312"/>
              </w:rPr>
            </w:pPr>
          </w:p>
        </w:tc>
        <w:tc>
          <w:tcPr>
            <w:tcW w:w="6195" w:type="dxa"/>
            <w:vAlign w:val="center"/>
          </w:tcPr>
          <w:p>
            <w:pPr>
              <w:pStyle w:val="13"/>
              <w:rPr>
                <w:rFonts w:ascii="仿宋_GB2312" w:eastAsia="仿宋_GB2312"/>
              </w:rPr>
            </w:pPr>
            <w:r>
              <w:rPr>
                <w:rFonts w:hint="eastAsia" w:ascii="仿宋_GB2312" w:eastAsia="仿宋_GB2312"/>
              </w:rPr>
              <w:t>①目标完成率E=目标实际完成数/期初目标编制数，本指标得分为指标权重×E。</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0" w:hRule="atLeast"/>
        </w:trPr>
        <w:tc>
          <w:tcPr>
            <w:tcW w:w="948" w:type="dxa"/>
            <w:vMerge w:val="continue"/>
            <w:vAlign w:val="center"/>
          </w:tcPr>
          <w:p>
            <w:pPr>
              <w:jc w:val="center"/>
              <w:rPr>
                <w:rFonts w:ascii="仿宋_GB2312" w:eastAsia="仿宋_GB2312"/>
                <w:sz w:val="24"/>
                <w:szCs w:val="24"/>
              </w:rPr>
            </w:pPr>
          </w:p>
        </w:tc>
        <w:tc>
          <w:tcPr>
            <w:tcW w:w="1995" w:type="dxa"/>
            <w:vMerge w:val="restart"/>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4"/>
                <w:szCs w:val="24"/>
              </w:rPr>
              <w:t>资金落实</w:t>
            </w:r>
          </w:p>
          <w:p>
            <w:pPr>
              <w:widowControl/>
              <w:jc w:val="center"/>
              <w:rPr>
                <w:rFonts w:ascii="仿宋_GB2312" w:hAnsi="宋体" w:eastAsia="仿宋_GB2312"/>
                <w:kern w:val="0"/>
                <w:sz w:val="24"/>
                <w:szCs w:val="24"/>
              </w:rPr>
            </w:pPr>
            <w:r>
              <w:rPr>
                <w:rFonts w:hint="eastAsia" w:ascii="仿宋_GB2312" w:hAnsi="宋体" w:eastAsia="仿宋_GB2312"/>
                <w:kern w:val="0"/>
                <w:sz w:val="24"/>
                <w:szCs w:val="24"/>
              </w:rPr>
              <w:t>（15分）</w:t>
            </w: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成本控制率</w:t>
            </w:r>
          </w:p>
        </w:tc>
        <w:tc>
          <w:tcPr>
            <w:tcW w:w="6195" w:type="dxa"/>
            <w:vAlign w:val="center"/>
          </w:tcPr>
          <w:p>
            <w:pPr>
              <w:pStyle w:val="13"/>
              <w:rPr>
                <w:rFonts w:ascii="仿宋_GB2312" w:eastAsia="仿宋_GB2312"/>
              </w:rPr>
            </w:pPr>
            <w:r>
              <w:rPr>
                <w:rFonts w:hint="eastAsia" w:ascii="仿宋_GB2312" w:eastAsia="仿宋_GB2312"/>
              </w:rPr>
              <w:t>成本控制率A=截至年末累计支出数/项目概算或当年预算数。A</w:t>
            </w:r>
            <w:r>
              <w:rPr>
                <w:rFonts w:hint="eastAsia" w:eastAsia="仿宋_GB2312"/>
              </w:rPr>
              <w:t>≦</w:t>
            </w:r>
            <w:r>
              <w:rPr>
                <w:rFonts w:hint="eastAsia" w:ascii="仿宋_GB2312" w:eastAsia="仿宋_GB2312"/>
              </w:rPr>
              <w:t>100%得满分；100%</w:t>
            </w:r>
            <w:r>
              <w:rPr>
                <w:rFonts w:hint="eastAsia" w:ascii="仿宋_GB2312"/>
              </w:rPr>
              <w:t>﹤</w:t>
            </w:r>
            <w:r>
              <w:rPr>
                <w:rFonts w:hint="eastAsia" w:ascii="仿宋_GB2312" w:eastAsia="仿宋_GB2312"/>
              </w:rPr>
              <w:t>A</w:t>
            </w:r>
            <w:r>
              <w:rPr>
                <w:rFonts w:hint="eastAsia" w:eastAsia="仿宋_GB2312"/>
              </w:rPr>
              <w:t>≦</w:t>
            </w:r>
            <w:r>
              <w:rPr>
                <w:rFonts w:hint="eastAsia" w:ascii="仿宋_GB2312" w:eastAsia="仿宋_GB2312"/>
              </w:rPr>
              <w:t>105%时，得分为此项指标满分值-100×（A-100%）（如：A=102.8%，此项指标权重4分，则得分为4-2.8=1.2分），A＞105%时不得分。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4"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资金到位率</w:t>
            </w:r>
          </w:p>
        </w:tc>
        <w:tc>
          <w:tcPr>
            <w:tcW w:w="6195" w:type="dxa"/>
            <w:vAlign w:val="center"/>
          </w:tcPr>
          <w:p>
            <w:pPr>
              <w:pStyle w:val="13"/>
              <w:rPr>
                <w:rFonts w:ascii="仿宋_GB2312" w:eastAsia="仿宋_GB2312"/>
              </w:rPr>
            </w:pPr>
            <w:r>
              <w:rPr>
                <w:rFonts w:hint="eastAsia" w:ascii="仿宋_GB2312" w:eastAsia="仿宋_GB2312"/>
              </w:rPr>
              <w:t>①资金到位率=（实际到位资金/计划投入资金）×100%。资金到位率大于90%的得满分，每少5个百分点扣1分，扣完为止。实际到位资金：一定时期（本年度或项目期）内实际落实到项目实施单位的资金总额。计划投入资金：一定时期（本年度或项目期）内计划投入到项目实施单位的资金总额。</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4"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widowControl/>
              <w:jc w:val="center"/>
              <w:rPr>
                <w:rFonts w:ascii="仿宋_GB2312" w:hAnsi="宋体" w:eastAsia="仿宋_GB2312"/>
                <w:kern w:val="0"/>
                <w:sz w:val="24"/>
                <w:szCs w:val="24"/>
              </w:rPr>
            </w:pP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资金使用率</w:t>
            </w:r>
          </w:p>
        </w:tc>
        <w:tc>
          <w:tcPr>
            <w:tcW w:w="6195" w:type="dxa"/>
            <w:vAlign w:val="center"/>
          </w:tcPr>
          <w:p>
            <w:pPr>
              <w:pStyle w:val="13"/>
              <w:rPr>
                <w:rFonts w:ascii="仿宋_GB2312" w:eastAsia="仿宋_GB2312"/>
              </w:rPr>
            </w:pPr>
            <w:r>
              <w:rPr>
                <w:rFonts w:hint="eastAsia" w:ascii="仿宋_GB2312" w:eastAsia="仿宋_GB2312"/>
              </w:rPr>
              <w:t>①资金使用率=（实际使用资金/实际到位资金）×100%。资金使用率大于95%的得满分，每少5个百分点扣1分，扣完为止。实际使用资金：一定时期（本年度或项目期）内项目实施单位实际使用的资金总额。</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bl>
    <w:p>
      <w:pPr>
        <w:ind w:right="105"/>
        <w:jc w:val="right"/>
        <w:rPr>
          <w:rFonts w:ascii="仿宋_GB2312" w:eastAsia="仿宋_GB2312"/>
          <w:b/>
        </w:rPr>
      </w:pPr>
    </w:p>
    <w:p>
      <w:pPr>
        <w:ind w:right="105"/>
        <w:jc w:val="right"/>
        <w:rPr>
          <w:rFonts w:ascii="仿宋_GB2312" w:eastAsia="仿宋_GB2312"/>
          <w:b/>
        </w:rPr>
      </w:pPr>
    </w:p>
    <w:p>
      <w:pPr>
        <w:ind w:right="105"/>
        <w:jc w:val="right"/>
        <w:rPr>
          <w:rFonts w:ascii="仿宋_GB2312" w:eastAsia="仿宋_GB2312"/>
          <w:b/>
        </w:rPr>
      </w:pPr>
      <w:r>
        <w:rPr>
          <w:rFonts w:hint="eastAsia" w:ascii="仿宋_GB2312" w:eastAsia="仿宋_GB2312"/>
          <w:b/>
        </w:rPr>
        <w:t>续上表</w:t>
      </w:r>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995"/>
        <w:gridCol w:w="2835"/>
        <w:gridCol w:w="6195"/>
        <w:gridCol w:w="1155"/>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一级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19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二级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283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三级指标</w:t>
            </w:r>
          </w:p>
        </w:tc>
        <w:tc>
          <w:tcPr>
            <w:tcW w:w="61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评分标准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分值</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4" w:hRule="atLeast"/>
        </w:trPr>
        <w:tc>
          <w:tcPr>
            <w:tcW w:w="948" w:type="dxa"/>
            <w:vMerge w:val="restart"/>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过程</w:t>
            </w:r>
          </w:p>
          <w:p>
            <w:pPr>
              <w:jc w:val="center"/>
              <w:rPr>
                <w:rFonts w:ascii="仿宋_GB2312" w:eastAsia="仿宋_GB2312"/>
                <w:sz w:val="24"/>
                <w:szCs w:val="24"/>
              </w:rPr>
            </w:pPr>
            <w:r>
              <w:rPr>
                <w:rFonts w:hint="eastAsia" w:ascii="仿宋_GB2312" w:hAnsi="宋体" w:eastAsia="仿宋_GB2312"/>
                <w:b/>
                <w:bCs/>
                <w:kern w:val="0"/>
                <w:sz w:val="24"/>
                <w:szCs w:val="24"/>
              </w:rPr>
              <w:t>（30分）</w:t>
            </w:r>
          </w:p>
        </w:tc>
        <w:tc>
          <w:tcPr>
            <w:tcW w:w="1995" w:type="dxa"/>
            <w:vMerge w:val="restart"/>
            <w:vAlign w:val="center"/>
          </w:tcPr>
          <w:p>
            <w:pPr>
              <w:jc w:val="center"/>
              <w:rPr>
                <w:rFonts w:ascii="仿宋_GB2312" w:hAnsi="宋体" w:eastAsia="仿宋_GB2312"/>
                <w:kern w:val="0"/>
                <w:sz w:val="24"/>
                <w:szCs w:val="24"/>
              </w:rPr>
            </w:pPr>
            <w:r>
              <w:rPr>
                <w:rFonts w:hint="eastAsia" w:ascii="仿宋_GB2312" w:hAnsi="宋体" w:eastAsia="仿宋_GB2312"/>
                <w:kern w:val="0"/>
                <w:sz w:val="24"/>
                <w:szCs w:val="24"/>
              </w:rPr>
              <w:t>业务管理</w:t>
            </w:r>
          </w:p>
          <w:p>
            <w:pPr>
              <w:jc w:val="center"/>
              <w:rPr>
                <w:rFonts w:ascii="仿宋_GB2312" w:hAnsi="宋体" w:eastAsia="仿宋_GB2312"/>
                <w:kern w:val="0"/>
                <w:sz w:val="24"/>
                <w:szCs w:val="24"/>
              </w:rPr>
            </w:pPr>
            <w:r>
              <w:rPr>
                <w:rFonts w:hint="eastAsia" w:ascii="仿宋_GB2312" w:hAnsi="宋体" w:eastAsia="仿宋_GB2312"/>
                <w:kern w:val="0"/>
                <w:sz w:val="24"/>
                <w:szCs w:val="24"/>
              </w:rPr>
              <w:t>（15分）</w:t>
            </w:r>
          </w:p>
        </w:tc>
        <w:tc>
          <w:tcPr>
            <w:tcW w:w="2835" w:type="dxa"/>
            <w:vAlign w:val="center"/>
          </w:tcPr>
          <w:p>
            <w:pPr>
              <w:pStyle w:val="13"/>
              <w:jc w:val="center"/>
              <w:rPr>
                <w:rFonts w:ascii="仿宋_GB2312" w:eastAsia="仿宋_GB2312"/>
              </w:rPr>
            </w:pPr>
            <w:r>
              <w:rPr>
                <w:rFonts w:hint="eastAsia" w:ascii="仿宋_GB2312" w:eastAsia="仿宋_GB2312"/>
              </w:rPr>
              <w:t>管理制度健全性</w:t>
            </w:r>
          </w:p>
          <w:p>
            <w:pPr>
              <w:widowControl/>
              <w:jc w:val="center"/>
              <w:rPr>
                <w:rFonts w:ascii="仿宋_GB2312" w:hAnsi="宋体" w:eastAsia="仿宋_GB2312" w:cs="宋体"/>
                <w:color w:val="000000"/>
                <w:kern w:val="0"/>
                <w:sz w:val="24"/>
                <w:szCs w:val="24"/>
              </w:rPr>
            </w:pP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eastAsia="仿宋_GB2312"/>
                <w:sz w:val="24"/>
                <w:szCs w:val="24"/>
              </w:rPr>
              <w:t>是否已制定或具有相应的业务管理制度；</w:t>
            </w:r>
            <w:r>
              <w:rPr>
                <w:rFonts w:hint="eastAsia" w:ascii="仿宋_GB2312" w:hAnsi="宋体" w:eastAsia="仿宋_GB2312" w:cs="宋体"/>
                <w:sz w:val="24"/>
                <w:szCs w:val="24"/>
              </w:rPr>
              <w:t>②</w:t>
            </w:r>
            <w:r>
              <w:rPr>
                <w:rFonts w:hint="eastAsia" w:ascii="仿宋_GB2312" w:eastAsia="仿宋_GB2312"/>
                <w:sz w:val="24"/>
                <w:szCs w:val="24"/>
              </w:rPr>
              <w:t>业务管理制度是否合法、合规、完整。一项不符合扣一分，严重的此项完全不得分。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hint="eastAsia" w:ascii="仿宋_GB2312" w:hAnsi="宋体" w:eastAsia="仿宋_GB2312"/>
                <w:b/>
                <w:bCs/>
                <w:kern w:val="0"/>
                <w:sz w:val="24"/>
                <w:szCs w:val="24"/>
                <w:lang w:eastAsia="zh-CN"/>
              </w:rPr>
            </w:pPr>
            <w:r>
              <w:rPr>
                <w:rFonts w:hint="eastAsia" w:ascii="仿宋_GB2312" w:hAnsi="宋体" w:eastAsia="仿宋_GB2312"/>
                <w:b/>
                <w:bCs/>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管理制度执行情况</w:t>
            </w:r>
          </w:p>
          <w:p>
            <w:pPr>
              <w:widowControl/>
              <w:jc w:val="center"/>
              <w:rPr>
                <w:rFonts w:ascii="仿宋_GB2312" w:hAnsi="宋体" w:eastAsia="仿宋_GB2312" w:cs="宋体"/>
                <w:color w:val="000000"/>
                <w:kern w:val="0"/>
                <w:sz w:val="24"/>
                <w:szCs w:val="24"/>
              </w:rPr>
            </w:pP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eastAsia="仿宋_GB2312"/>
                <w:sz w:val="24"/>
                <w:szCs w:val="24"/>
              </w:rPr>
              <w:t>是否已制定或具有相应的业务管理制度；</w:t>
            </w:r>
            <w:r>
              <w:rPr>
                <w:rFonts w:hint="eastAsia" w:ascii="仿宋_GB2312" w:hAnsi="宋体" w:eastAsia="仿宋_GB2312" w:cs="宋体"/>
                <w:sz w:val="24"/>
                <w:szCs w:val="24"/>
              </w:rPr>
              <w:t>②</w:t>
            </w:r>
            <w:r>
              <w:rPr>
                <w:rFonts w:hint="eastAsia" w:ascii="仿宋_GB2312" w:eastAsia="仿宋_GB2312"/>
                <w:sz w:val="24"/>
                <w:szCs w:val="24"/>
              </w:rPr>
              <w:t>业务管理制度是否合法、合规、完整。一项不符合扣一分，严重的此项完全不得分。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hint="eastAsia" w:ascii="仿宋_GB2312" w:hAnsi="宋体" w:eastAsia="仿宋_GB2312"/>
                <w:b/>
                <w:bCs/>
                <w:kern w:val="0"/>
                <w:sz w:val="24"/>
                <w:szCs w:val="24"/>
                <w:lang w:eastAsia="zh-CN"/>
              </w:rPr>
            </w:pPr>
            <w:r>
              <w:rPr>
                <w:rFonts w:hint="eastAsia" w:ascii="仿宋_GB2312" w:hAnsi="宋体" w:eastAsia="仿宋_GB2312"/>
                <w:b/>
                <w:bCs/>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项目质量可控性</w:t>
            </w:r>
          </w:p>
          <w:p>
            <w:pPr>
              <w:pStyle w:val="6"/>
              <w:jc w:val="center"/>
              <w:rPr>
                <w:rFonts w:ascii="仿宋_GB2312" w:hAnsi="宋体" w:eastAsia="仿宋_GB2312"/>
                <w:sz w:val="24"/>
                <w:szCs w:val="24"/>
              </w:rPr>
            </w:pPr>
          </w:p>
        </w:tc>
        <w:tc>
          <w:tcPr>
            <w:tcW w:w="6195" w:type="dxa"/>
            <w:vAlign w:val="center"/>
          </w:tcPr>
          <w:p>
            <w:pPr>
              <w:pStyle w:val="13"/>
              <w:rPr>
                <w:rFonts w:ascii="仿宋_GB2312" w:eastAsia="仿宋_GB2312"/>
              </w:rPr>
            </w:pPr>
            <w:r>
              <w:rPr>
                <w:rFonts w:hint="eastAsia" w:ascii="仿宋_GB2312" w:eastAsia="仿宋_GB2312"/>
              </w:rPr>
              <w:t>①是否具有或制定了相应的项目质量要求或标准；②是否采取了必需的控制措施或手段。一项不符合扣2.5分，严重的此项完全不得分。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hint="eastAsia" w:ascii="仿宋_GB2312" w:hAnsi="宋体" w:eastAsia="仿宋_GB2312"/>
                <w:b/>
                <w:bCs/>
                <w:kern w:val="0"/>
                <w:sz w:val="24"/>
                <w:szCs w:val="24"/>
                <w:lang w:eastAsia="zh-CN"/>
              </w:rPr>
            </w:pPr>
            <w:r>
              <w:rPr>
                <w:rFonts w:hint="eastAsia" w:ascii="仿宋_GB2312" w:hAnsi="宋体" w:eastAsia="仿宋_GB2312"/>
                <w:b/>
                <w:bCs/>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2" w:hRule="atLeast"/>
        </w:trPr>
        <w:tc>
          <w:tcPr>
            <w:tcW w:w="948" w:type="dxa"/>
            <w:vMerge w:val="continue"/>
            <w:vAlign w:val="center"/>
          </w:tcPr>
          <w:p>
            <w:pPr>
              <w:jc w:val="center"/>
              <w:rPr>
                <w:rFonts w:ascii="仿宋_GB2312" w:eastAsia="仿宋_GB2312"/>
                <w:sz w:val="24"/>
                <w:szCs w:val="24"/>
              </w:rPr>
            </w:pPr>
          </w:p>
        </w:tc>
        <w:tc>
          <w:tcPr>
            <w:tcW w:w="1995" w:type="dxa"/>
            <w:vMerge w:val="restart"/>
            <w:vAlign w:val="center"/>
          </w:tcPr>
          <w:p>
            <w:pPr>
              <w:jc w:val="center"/>
              <w:rPr>
                <w:rFonts w:ascii="仿宋_GB2312" w:hAnsi="宋体" w:eastAsia="仿宋_GB2312"/>
                <w:kern w:val="0"/>
                <w:sz w:val="24"/>
                <w:szCs w:val="24"/>
              </w:rPr>
            </w:pPr>
            <w:r>
              <w:rPr>
                <w:rFonts w:hint="eastAsia" w:ascii="仿宋_GB2312" w:hAnsi="宋体" w:eastAsia="仿宋_GB2312"/>
                <w:kern w:val="0"/>
                <w:sz w:val="24"/>
                <w:szCs w:val="24"/>
              </w:rPr>
              <w:t>资金使用管理</w:t>
            </w:r>
          </w:p>
          <w:p>
            <w:pPr>
              <w:jc w:val="center"/>
              <w:rPr>
                <w:rFonts w:ascii="仿宋_GB2312" w:hAnsi="宋体" w:eastAsia="仿宋_GB2312"/>
                <w:kern w:val="0"/>
                <w:sz w:val="24"/>
                <w:szCs w:val="24"/>
              </w:rPr>
            </w:pPr>
            <w:r>
              <w:rPr>
                <w:rFonts w:hint="eastAsia" w:ascii="仿宋_GB2312" w:hAnsi="宋体" w:eastAsia="仿宋_GB2312"/>
                <w:kern w:val="0"/>
                <w:sz w:val="24"/>
                <w:szCs w:val="24"/>
              </w:rPr>
              <w:t>（15分）</w:t>
            </w:r>
          </w:p>
        </w:tc>
        <w:tc>
          <w:tcPr>
            <w:tcW w:w="2835" w:type="dxa"/>
            <w:vAlign w:val="center"/>
          </w:tcPr>
          <w:p>
            <w:pPr>
              <w:pStyle w:val="13"/>
              <w:jc w:val="center"/>
              <w:rPr>
                <w:rFonts w:ascii="仿宋_GB2312" w:eastAsia="仿宋_GB2312"/>
              </w:rPr>
            </w:pPr>
            <w:r>
              <w:rPr>
                <w:rFonts w:hint="eastAsia" w:ascii="仿宋_GB2312" w:eastAsia="仿宋_GB2312"/>
              </w:rPr>
              <w:t>资金使用合规性</w:t>
            </w:r>
          </w:p>
          <w:p>
            <w:pPr>
              <w:widowControl/>
              <w:jc w:val="center"/>
              <w:rPr>
                <w:rFonts w:ascii="仿宋_GB2312" w:hAnsi="宋体" w:eastAsia="仿宋_GB2312" w:cs="宋体"/>
                <w:color w:val="000000"/>
                <w:kern w:val="0"/>
                <w:sz w:val="24"/>
                <w:szCs w:val="24"/>
              </w:rPr>
            </w:pP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sz w:val="24"/>
                <w:szCs w:val="24"/>
              </w:rPr>
              <w:t>①</w:t>
            </w:r>
            <w:r>
              <w:rPr>
                <w:rFonts w:hint="eastAsia" w:ascii="仿宋_GB2312" w:eastAsia="仿宋_GB2312"/>
                <w:sz w:val="24"/>
                <w:szCs w:val="24"/>
              </w:rPr>
              <w:t>是否符合国家财经法规和财务管理制度以及有关专项资金管理办法的规定；</w:t>
            </w:r>
            <w:r>
              <w:rPr>
                <w:rFonts w:hint="eastAsia" w:ascii="仿宋_GB2312" w:hAnsi="宋体" w:eastAsia="仿宋_GB2312" w:cs="宋体"/>
                <w:sz w:val="24"/>
                <w:szCs w:val="24"/>
              </w:rPr>
              <w:t>②</w:t>
            </w:r>
            <w:r>
              <w:rPr>
                <w:rFonts w:hint="eastAsia" w:ascii="仿宋_GB2312" w:eastAsia="仿宋_GB2312"/>
                <w:sz w:val="24"/>
                <w:szCs w:val="24"/>
              </w:rPr>
              <w:t>资金的拨付是否有完整的审批程序和手续；</w:t>
            </w:r>
            <w:r>
              <w:rPr>
                <w:rFonts w:hint="eastAsia" w:ascii="仿宋_GB2312" w:hAnsi="宋体" w:eastAsia="仿宋_GB2312" w:cs="宋体"/>
                <w:sz w:val="24"/>
                <w:szCs w:val="24"/>
              </w:rPr>
              <w:t>③</w:t>
            </w:r>
            <w:r>
              <w:rPr>
                <w:rFonts w:hint="eastAsia" w:ascii="仿宋_GB2312" w:eastAsia="仿宋_GB2312"/>
                <w:sz w:val="24"/>
                <w:szCs w:val="24"/>
              </w:rPr>
              <w:t>项目的重大开支是否经过评估认证。一项不符合扣2分，严重的此项完全不得分。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9"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财务管理制度健全性</w:t>
            </w:r>
          </w:p>
          <w:p>
            <w:pPr>
              <w:widowControl/>
              <w:jc w:val="center"/>
              <w:rPr>
                <w:rFonts w:ascii="仿宋_GB2312" w:hAnsi="宋体" w:eastAsia="仿宋_GB2312" w:cs="宋体"/>
                <w:color w:val="000000"/>
                <w:kern w:val="0"/>
                <w:sz w:val="24"/>
                <w:szCs w:val="24"/>
              </w:rPr>
            </w:pPr>
          </w:p>
        </w:tc>
        <w:tc>
          <w:tcPr>
            <w:tcW w:w="6195" w:type="dxa"/>
            <w:vAlign w:val="center"/>
          </w:tcPr>
          <w:p>
            <w:pPr>
              <w:pStyle w:val="13"/>
              <w:rPr>
                <w:rFonts w:ascii="仿宋_GB2312" w:eastAsia="仿宋_GB2312"/>
              </w:rPr>
            </w:pPr>
            <w:r>
              <w:rPr>
                <w:rFonts w:hint="eastAsia" w:ascii="仿宋_GB2312" w:eastAsia="仿宋_GB2312"/>
              </w:rPr>
              <w:t>①是否有专门的项目资金管理办法；②项目资金管理办法是否符合相关财务会计制度的规定。无项目资金管理办法此项不得分。有项目资金管理办法但有1处不符合要求的扣1分，扣完为止。</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hint="eastAsia" w:ascii="仿宋_GB2312" w:hAnsi="宋体" w:eastAsia="仿宋_GB2312"/>
                <w:b/>
                <w:bCs/>
                <w:kern w:val="0"/>
                <w:sz w:val="24"/>
                <w:szCs w:val="24"/>
                <w:lang w:eastAsia="zh-CN"/>
              </w:rPr>
            </w:pPr>
            <w:r>
              <w:rPr>
                <w:rFonts w:hint="eastAsia" w:ascii="仿宋_GB2312" w:hAnsi="宋体" w:eastAsia="仿宋_GB2312"/>
                <w:b/>
                <w:bCs/>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项目资金安全性</w:t>
            </w:r>
          </w:p>
          <w:p>
            <w:pPr>
              <w:widowControl/>
              <w:jc w:val="center"/>
              <w:rPr>
                <w:rFonts w:ascii="仿宋_GB2312" w:hAnsi="宋体" w:eastAsia="仿宋_GB2312" w:cs="宋体"/>
                <w:color w:val="000000"/>
                <w:kern w:val="0"/>
                <w:sz w:val="24"/>
                <w:szCs w:val="24"/>
              </w:rPr>
            </w:pPr>
          </w:p>
        </w:tc>
        <w:tc>
          <w:tcPr>
            <w:tcW w:w="6195" w:type="dxa"/>
            <w:vAlign w:val="center"/>
          </w:tcPr>
          <w:p>
            <w:pPr>
              <w:pStyle w:val="13"/>
              <w:rPr>
                <w:rFonts w:ascii="仿宋_GB2312" w:eastAsia="仿宋_GB2312"/>
              </w:rPr>
            </w:pPr>
            <w:r>
              <w:rPr>
                <w:rFonts w:hint="eastAsia" w:ascii="仿宋_GB2312" w:eastAsia="仿宋_GB2312"/>
              </w:rPr>
              <w:t>①是否符合项目预算批复或合同规定的用途；②是否存在截留、挤占、挪用等情况。第一项不符合扣2分，第二项存在截留、挤占、挪用扣3分。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948"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产出与效益</w:t>
            </w:r>
          </w:p>
          <w:p>
            <w:pPr>
              <w:jc w:val="center"/>
              <w:rPr>
                <w:rFonts w:ascii="仿宋_GB2312" w:eastAsia="仿宋_GB2312"/>
                <w:sz w:val="24"/>
                <w:szCs w:val="24"/>
              </w:rPr>
            </w:pPr>
            <w:r>
              <w:rPr>
                <w:rFonts w:hint="eastAsia" w:ascii="仿宋_GB2312" w:hAnsi="宋体" w:eastAsia="仿宋_GB2312"/>
                <w:b/>
                <w:bCs/>
                <w:kern w:val="0"/>
                <w:sz w:val="24"/>
                <w:szCs w:val="24"/>
              </w:rPr>
              <w:t>（</w:t>
            </w:r>
            <w:r>
              <w:rPr>
                <w:rFonts w:hint="eastAsia" w:ascii="仿宋_GB2312" w:hAnsi="宋体" w:eastAsia="仿宋_GB2312"/>
                <w:b/>
                <w:bCs/>
                <w:kern w:val="0"/>
                <w:sz w:val="24"/>
                <w:szCs w:val="24"/>
                <w:lang w:val="en-US" w:eastAsia="zh-CN"/>
              </w:rPr>
              <w:t>4</w:t>
            </w:r>
            <w:r>
              <w:rPr>
                <w:rFonts w:hint="eastAsia" w:ascii="仿宋_GB2312" w:hAnsi="宋体" w:eastAsia="仿宋_GB2312"/>
                <w:b/>
                <w:bCs/>
                <w:kern w:val="0"/>
                <w:sz w:val="24"/>
                <w:szCs w:val="24"/>
              </w:rPr>
              <w:t>0分）</w:t>
            </w:r>
          </w:p>
        </w:tc>
        <w:tc>
          <w:tcPr>
            <w:tcW w:w="1995"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产出数量</w:t>
            </w:r>
          </w:p>
          <w:p>
            <w:pPr>
              <w:jc w:val="center"/>
              <w:rPr>
                <w:rFonts w:ascii="仿宋_GB2312" w:hAnsi="宋体" w:eastAsia="仿宋_GB2312"/>
                <w:sz w:val="24"/>
                <w:szCs w:val="24"/>
              </w:rPr>
            </w:pPr>
            <w:r>
              <w:rPr>
                <w:rFonts w:hint="eastAsia" w:ascii="仿宋_GB2312" w:hAnsi="宋体" w:eastAsia="仿宋_GB2312"/>
                <w:sz w:val="24"/>
                <w:szCs w:val="24"/>
              </w:rPr>
              <w:t>（10分）</w:t>
            </w: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eastAsia="仿宋_GB2312"/>
              </w:rPr>
              <w:t>补助学校个数</w:t>
            </w:r>
          </w:p>
        </w:tc>
        <w:tc>
          <w:tcPr>
            <w:tcW w:w="6195" w:type="dxa"/>
            <w:vAlign w:val="center"/>
          </w:tcPr>
          <w:p>
            <w:pPr>
              <w:pStyle w:val="13"/>
              <w:rPr>
                <w:rFonts w:ascii="仿宋_GB2312" w:eastAsia="仿宋_GB2312"/>
              </w:rPr>
            </w:pPr>
            <w:r>
              <w:rPr>
                <w:rFonts w:hint="eastAsia" w:ascii="仿宋_GB2312" w:eastAsia="仿宋_GB2312"/>
              </w:rPr>
              <w:t>目标值完成比例*指标权重（目标值比例超过100%按满分计算）</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r>
    </w:tbl>
    <w:p>
      <w:pPr>
        <w:ind w:right="480"/>
        <w:rPr>
          <w:rFonts w:ascii="仿宋_GB2312" w:eastAsia="仿宋_GB2312"/>
          <w:b/>
          <w:sz w:val="24"/>
          <w:szCs w:val="24"/>
        </w:rPr>
      </w:pPr>
    </w:p>
    <w:p>
      <w:pPr>
        <w:ind w:right="480" w:firstLine="1063" w:firstLineChars="441"/>
        <w:rPr>
          <w:rFonts w:ascii="仿宋_GB2312" w:eastAsia="仿宋_GB2312"/>
          <w:b/>
          <w:sz w:val="24"/>
          <w:szCs w:val="24"/>
        </w:rPr>
      </w:pPr>
    </w:p>
    <w:p>
      <w:pPr>
        <w:ind w:right="480" w:firstLine="12647" w:firstLineChars="5249"/>
        <w:rPr>
          <w:rFonts w:ascii="仿宋_GB2312" w:eastAsia="仿宋_GB2312"/>
          <w:sz w:val="24"/>
          <w:szCs w:val="24"/>
        </w:rPr>
      </w:pPr>
      <w:r>
        <w:rPr>
          <w:rFonts w:hint="eastAsia" w:ascii="仿宋_GB2312" w:eastAsia="仿宋_GB2312"/>
          <w:b/>
          <w:sz w:val="24"/>
          <w:szCs w:val="24"/>
        </w:rPr>
        <w:t>续上表</w:t>
      </w:r>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995"/>
        <w:gridCol w:w="2835"/>
        <w:gridCol w:w="6195"/>
        <w:gridCol w:w="1155"/>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一级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19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二级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283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三级指标</w:t>
            </w:r>
          </w:p>
        </w:tc>
        <w:tc>
          <w:tcPr>
            <w:tcW w:w="61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评分标准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分值</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48" w:type="dxa"/>
            <w:vMerge w:val="restart"/>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产出与效益</w:t>
            </w:r>
          </w:p>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（50分）</w:t>
            </w:r>
          </w:p>
        </w:tc>
        <w:tc>
          <w:tcPr>
            <w:tcW w:w="1995"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产出质量</w:t>
            </w:r>
          </w:p>
          <w:p>
            <w:pPr>
              <w:jc w:val="center"/>
              <w:rPr>
                <w:rFonts w:ascii="仿宋_GB2312" w:hAnsi="宋体" w:eastAsia="仿宋_GB2312"/>
                <w:sz w:val="24"/>
                <w:szCs w:val="24"/>
              </w:rPr>
            </w:pPr>
            <w:r>
              <w:rPr>
                <w:rFonts w:hint="eastAsia" w:ascii="仿宋_GB2312" w:hAnsi="宋体" w:eastAsia="仿宋_GB2312"/>
                <w:sz w:val="24"/>
                <w:szCs w:val="24"/>
              </w:rPr>
              <w:t>（10分）</w:t>
            </w: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教育项目验收合格率</w:t>
            </w: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目标值完成比例*指标权重（目标值比例超过100%按满分计算）</w:t>
            </w:r>
          </w:p>
        </w:tc>
        <w:tc>
          <w:tcPr>
            <w:tcW w:w="1155"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48" w:type="dxa"/>
            <w:vMerge w:val="continue"/>
            <w:vAlign w:val="center"/>
          </w:tcPr>
          <w:p>
            <w:pPr>
              <w:jc w:val="center"/>
              <w:rPr>
                <w:rFonts w:ascii="仿宋_GB2312" w:hAnsi="宋体" w:eastAsia="仿宋_GB2312"/>
                <w:b/>
                <w:bCs/>
                <w:kern w:val="0"/>
                <w:sz w:val="24"/>
                <w:szCs w:val="24"/>
              </w:rPr>
            </w:pPr>
          </w:p>
        </w:tc>
        <w:tc>
          <w:tcPr>
            <w:tcW w:w="1995" w:type="dxa"/>
            <w:vAlign w:val="center"/>
          </w:tcPr>
          <w:p>
            <w:pPr>
              <w:jc w:val="center"/>
              <w:rPr>
                <w:rFonts w:ascii="仿宋_GB2312" w:hAnsi="宋体" w:eastAsia="仿宋_GB2312"/>
                <w:sz w:val="24"/>
                <w:szCs w:val="24"/>
              </w:rPr>
            </w:pPr>
            <w:r>
              <w:rPr>
                <w:rFonts w:hint="eastAsia" w:ascii="仿宋_GB2312" w:hAnsi="宋体" w:eastAsia="仿宋_GB2312"/>
                <w:sz w:val="24"/>
                <w:szCs w:val="24"/>
              </w:rPr>
              <w:t>社会效益</w:t>
            </w:r>
          </w:p>
          <w:p>
            <w:pPr>
              <w:jc w:val="center"/>
              <w:rPr>
                <w:rFonts w:ascii="仿宋_GB2312" w:hAnsi="宋体" w:eastAsia="仿宋_GB2312"/>
                <w:sz w:val="24"/>
                <w:szCs w:val="24"/>
              </w:rPr>
            </w:pPr>
            <w:r>
              <w:rPr>
                <w:rFonts w:hint="eastAsia" w:ascii="仿宋_GB2312" w:hAnsi="宋体" w:eastAsia="仿宋_GB2312"/>
                <w:sz w:val="24"/>
                <w:szCs w:val="24"/>
              </w:rPr>
              <w:t>（10分）</w:t>
            </w:r>
          </w:p>
        </w:tc>
        <w:tc>
          <w:tcPr>
            <w:tcW w:w="2835" w:type="dxa"/>
            <w:vAlign w:val="center"/>
          </w:tcPr>
          <w:p>
            <w:pPr>
              <w:pStyle w:val="13"/>
              <w:rPr>
                <w:rFonts w:ascii="仿宋_GB2312" w:eastAsia="仿宋_GB2312"/>
              </w:rPr>
            </w:pPr>
            <w:r>
              <w:rPr>
                <w:rFonts w:hint="eastAsia" w:ascii="仿宋_GB2312" w:eastAsia="仿宋_GB2312"/>
              </w:rPr>
              <w:t>改善办学条件，提高广大学生教育质量</w:t>
            </w:r>
          </w:p>
        </w:tc>
        <w:tc>
          <w:tcPr>
            <w:tcW w:w="6195" w:type="dxa"/>
            <w:vAlign w:val="center"/>
          </w:tcPr>
          <w:p>
            <w:pPr>
              <w:pStyle w:val="13"/>
              <w:rPr>
                <w:rFonts w:ascii="仿宋_GB2312" w:eastAsia="仿宋_GB2312"/>
              </w:rPr>
            </w:pPr>
            <w:r>
              <w:rPr>
                <w:rFonts w:hint="eastAsia" w:ascii="仿宋_GB2312" w:eastAsia="仿宋_GB2312"/>
              </w:rPr>
              <w:t>目标值完成比例*指标权重（目标值比例超过100%按满分计算）</w:t>
            </w:r>
          </w:p>
        </w:tc>
        <w:tc>
          <w:tcPr>
            <w:tcW w:w="1155"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48" w:type="dxa"/>
            <w:vMerge w:val="continue"/>
            <w:vAlign w:val="center"/>
          </w:tcPr>
          <w:p>
            <w:pPr>
              <w:jc w:val="center"/>
              <w:rPr>
                <w:rFonts w:ascii="仿宋_GB2312" w:eastAsia="仿宋_GB2312"/>
                <w:sz w:val="24"/>
                <w:szCs w:val="24"/>
              </w:rPr>
            </w:pPr>
          </w:p>
        </w:tc>
        <w:tc>
          <w:tcPr>
            <w:tcW w:w="1995" w:type="dxa"/>
            <w:vAlign w:val="center"/>
          </w:tcPr>
          <w:p>
            <w:pPr>
              <w:jc w:val="center"/>
              <w:rPr>
                <w:rFonts w:ascii="仿宋_GB2312" w:hAnsi="宋体" w:eastAsia="仿宋_GB2312" w:cs="宋体"/>
                <w:sz w:val="24"/>
                <w:szCs w:val="24"/>
              </w:rPr>
            </w:pPr>
            <w:r>
              <w:rPr>
                <w:rFonts w:hint="eastAsia" w:ascii="仿宋_GB2312" w:hAnsi="宋体" w:eastAsia="仿宋_GB2312" w:cs="宋体"/>
                <w:sz w:val="24"/>
                <w:szCs w:val="24"/>
              </w:rPr>
              <w:t>服务对象满意度</w:t>
            </w:r>
          </w:p>
          <w:p>
            <w:pPr>
              <w:jc w:val="center"/>
              <w:rPr>
                <w:rFonts w:ascii="仿宋_GB2312" w:hAnsi="宋体" w:eastAsia="仿宋_GB2312" w:cs="宋体"/>
                <w:sz w:val="24"/>
                <w:szCs w:val="24"/>
              </w:rPr>
            </w:pPr>
            <w:r>
              <w:rPr>
                <w:rFonts w:hint="eastAsia" w:ascii="仿宋_GB2312" w:hAnsi="宋体" w:eastAsia="仿宋_GB2312" w:cs="宋体"/>
                <w:sz w:val="24"/>
                <w:szCs w:val="24"/>
              </w:rPr>
              <w:t>（</w:t>
            </w:r>
            <w:r>
              <w:rPr>
                <w:rFonts w:hint="eastAsia" w:ascii="仿宋_GB2312" w:hAnsi="宋体" w:eastAsia="仿宋_GB2312" w:cs="宋体"/>
                <w:sz w:val="24"/>
                <w:szCs w:val="24"/>
                <w:lang w:val="en-US" w:eastAsia="zh-CN"/>
              </w:rPr>
              <w:t>10</w:t>
            </w:r>
            <w:r>
              <w:rPr>
                <w:rFonts w:hint="eastAsia" w:ascii="仿宋_GB2312" w:hAnsi="宋体" w:eastAsia="仿宋_GB2312" w:cs="宋体"/>
                <w:sz w:val="24"/>
                <w:szCs w:val="24"/>
              </w:rPr>
              <w:t>分）</w:t>
            </w:r>
          </w:p>
        </w:tc>
        <w:tc>
          <w:tcPr>
            <w:tcW w:w="2835" w:type="dxa"/>
            <w:vAlign w:val="center"/>
          </w:tcPr>
          <w:p>
            <w:pPr>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群众满意度</w:t>
            </w:r>
          </w:p>
        </w:tc>
        <w:tc>
          <w:tcPr>
            <w:tcW w:w="6195" w:type="dxa"/>
            <w:vAlign w:val="center"/>
          </w:tcPr>
          <w:p>
            <w:pPr>
              <w:pStyle w:val="13"/>
              <w:rPr>
                <w:rFonts w:ascii="仿宋_GB2312" w:eastAsia="仿宋_GB2312"/>
              </w:rPr>
            </w:pPr>
            <w:r>
              <w:rPr>
                <w:rFonts w:hint="eastAsia" w:ascii="仿宋_GB2312" w:eastAsia="仿宋_GB2312"/>
              </w:rPr>
              <w:t>满意度达95％及以上，得满分，少10百分点扣1分，扣完为止。</w:t>
            </w:r>
          </w:p>
          <w:p>
            <w:pPr>
              <w:jc w:val="left"/>
              <w:rPr>
                <w:rFonts w:ascii="仿宋_GB2312" w:hAnsi="宋体" w:eastAsia="仿宋_GB2312" w:cs="宋体"/>
                <w:color w:val="000000"/>
                <w:kern w:val="0"/>
                <w:sz w:val="24"/>
                <w:szCs w:val="24"/>
              </w:rPr>
            </w:pP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widowControl/>
              <w:jc w:val="center"/>
              <w:rPr>
                <w:rFonts w:hint="eastAsia" w:ascii="仿宋_GB2312" w:hAnsi="宋体" w:eastAsia="仿宋_GB2312"/>
                <w:b/>
                <w:bCs/>
                <w:kern w:val="0"/>
                <w:sz w:val="24"/>
                <w:szCs w:val="24"/>
                <w:lang w:eastAsia="zh-CN"/>
              </w:rPr>
            </w:pPr>
            <w:r>
              <w:rPr>
                <w:rFonts w:hint="eastAsia" w:ascii="仿宋_GB2312" w:hAnsi="宋体" w:eastAsia="仿宋_GB2312"/>
                <w:b/>
                <w:bCs/>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8" w:hRule="atLeast"/>
        </w:trPr>
        <w:tc>
          <w:tcPr>
            <w:tcW w:w="13128" w:type="dxa"/>
            <w:gridSpan w:val="5"/>
            <w:vAlign w:val="center"/>
          </w:tcPr>
          <w:p>
            <w:pPr>
              <w:jc w:val="center"/>
              <w:rPr>
                <w:rFonts w:ascii="仿宋_GB2312" w:hAnsi="宋体" w:eastAsia="仿宋_GB2312"/>
                <w:b/>
                <w:bCs/>
                <w:kern w:val="0"/>
                <w:sz w:val="24"/>
                <w:szCs w:val="24"/>
              </w:rPr>
            </w:pPr>
            <w:r>
              <w:rPr>
                <w:rFonts w:hint="eastAsia" w:ascii="仿宋_GB2312" w:hAnsi="宋体" w:eastAsia="仿宋_GB2312"/>
                <w:b/>
                <w:sz w:val="24"/>
                <w:szCs w:val="24"/>
              </w:rPr>
              <w:t>总权重、评价总分（S）</w:t>
            </w:r>
          </w:p>
        </w:tc>
        <w:tc>
          <w:tcPr>
            <w:tcW w:w="1090" w:type="dxa"/>
            <w:vAlign w:val="center"/>
          </w:tcPr>
          <w:p>
            <w:pPr>
              <w:jc w:val="center"/>
              <w:rPr>
                <w:rFonts w:hint="eastAsia" w:ascii="仿宋_GB2312" w:hAnsi="宋体" w:eastAsia="仿宋_GB2312"/>
                <w:b/>
                <w:bCs/>
                <w:kern w:val="0"/>
                <w:sz w:val="24"/>
                <w:szCs w:val="24"/>
                <w:lang w:val="en-US" w:eastAsia="zh-CN"/>
              </w:rPr>
            </w:pPr>
            <w:r>
              <w:rPr>
                <w:rFonts w:hint="eastAsia" w:ascii="仿宋_GB2312" w:hAnsi="宋体" w:eastAsia="仿宋_GB2312"/>
                <w:b/>
                <w:bCs/>
                <w:kern w:val="0"/>
                <w:sz w:val="24"/>
                <w:szCs w:val="24"/>
              </w:rPr>
              <w:t>9</w:t>
            </w:r>
            <w:r>
              <w:rPr>
                <w:rFonts w:hint="eastAsia" w:ascii="仿宋_GB2312" w:hAnsi="宋体" w:eastAsia="仿宋_GB2312"/>
                <w:b/>
                <w:bCs/>
                <w:kern w:val="0"/>
                <w:sz w:val="24"/>
                <w:szCs w:val="24"/>
                <w:lang w:val="en-US" w:eastAsia="zh-CN"/>
              </w:rPr>
              <w:t>4</w:t>
            </w:r>
          </w:p>
        </w:tc>
      </w:tr>
    </w:tbl>
    <w:p>
      <w:pPr>
        <w:jc w:val="right"/>
        <w:rPr>
          <w:rFonts w:ascii="仿宋_GB2312" w:eastAsia="仿宋_GB2312"/>
          <w:b/>
          <w:sz w:val="24"/>
          <w:szCs w:val="24"/>
        </w:rPr>
      </w:pPr>
    </w:p>
    <w:p>
      <w:pPr>
        <w:jc w:val="right"/>
        <w:rPr>
          <w:rFonts w:ascii="仿宋_GB2312" w:eastAsia="仿宋_GB2312"/>
          <w:b/>
          <w:sz w:val="24"/>
          <w:szCs w:val="24"/>
        </w:rPr>
      </w:pPr>
    </w:p>
    <w:p>
      <w:pPr>
        <w:rPr>
          <w:rFonts w:ascii="仿宋_GB2312" w:eastAsia="仿宋_GB2312" w:cs="Times New Roman"/>
          <w:sz w:val="24"/>
          <w:szCs w:val="24"/>
        </w:rPr>
      </w:pPr>
    </w:p>
    <w:sectPr>
      <w:pgSz w:w="16838" w:h="11906" w:orient="landscape"/>
      <w:pgMar w:top="1135"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cs="Times New Roman"/>
      </w:rPr>
    </w:pPr>
  </w:p>
  <w:p>
    <w:pPr>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58420" cy="139700"/>
              <wp:effectExtent l="0" t="0" r="11430" b="635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inside;mso-position-horizontal-relative:margin;mso-wrap-style:none;z-index:251660288;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vbGRr0QAAAAIBAAAPAAAAAAAAAAEAIAAAACIA&#10;AABkcnMvZG93bnJldi54bWxQSwECFAAUAAAACACHTuJAySdbDxACAAAEBAAADgAAAAAAAAABACAA&#10;AAAgAQAAZHJzL2Uyb0RvYy54bWxQSwUGAAAAAAYABgBZAQAAogU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C35A6"/>
    <w:multiLevelType w:val="multilevel"/>
    <w:tmpl w:val="297C35A6"/>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799"/>
    <w:rsid w:val="000060B6"/>
    <w:rsid w:val="000110F8"/>
    <w:rsid w:val="00011796"/>
    <w:rsid w:val="000235CE"/>
    <w:rsid w:val="00023A5A"/>
    <w:rsid w:val="00024D3F"/>
    <w:rsid w:val="00027753"/>
    <w:rsid w:val="0003720B"/>
    <w:rsid w:val="00040C55"/>
    <w:rsid w:val="0004166F"/>
    <w:rsid w:val="000421C8"/>
    <w:rsid w:val="00046511"/>
    <w:rsid w:val="0004782D"/>
    <w:rsid w:val="0005057F"/>
    <w:rsid w:val="00056BDD"/>
    <w:rsid w:val="00057CE5"/>
    <w:rsid w:val="000621FE"/>
    <w:rsid w:val="000632B7"/>
    <w:rsid w:val="000664E2"/>
    <w:rsid w:val="000729B2"/>
    <w:rsid w:val="000809BF"/>
    <w:rsid w:val="000817E5"/>
    <w:rsid w:val="00083935"/>
    <w:rsid w:val="000873E5"/>
    <w:rsid w:val="00090C6A"/>
    <w:rsid w:val="00091F10"/>
    <w:rsid w:val="00094DFD"/>
    <w:rsid w:val="000973A5"/>
    <w:rsid w:val="000977BF"/>
    <w:rsid w:val="000A07E5"/>
    <w:rsid w:val="000A1B4D"/>
    <w:rsid w:val="000A2445"/>
    <w:rsid w:val="000A43B8"/>
    <w:rsid w:val="000B15A7"/>
    <w:rsid w:val="000B56DA"/>
    <w:rsid w:val="000C1D72"/>
    <w:rsid w:val="000C4AFC"/>
    <w:rsid w:val="000C5377"/>
    <w:rsid w:val="000D73FB"/>
    <w:rsid w:val="000E05E5"/>
    <w:rsid w:val="000E0684"/>
    <w:rsid w:val="000E23D3"/>
    <w:rsid w:val="000E4387"/>
    <w:rsid w:val="000F3FC3"/>
    <w:rsid w:val="001166A7"/>
    <w:rsid w:val="00120746"/>
    <w:rsid w:val="001234EA"/>
    <w:rsid w:val="00126552"/>
    <w:rsid w:val="00131897"/>
    <w:rsid w:val="001330A6"/>
    <w:rsid w:val="0013366D"/>
    <w:rsid w:val="0014381E"/>
    <w:rsid w:val="00146FDC"/>
    <w:rsid w:val="00156513"/>
    <w:rsid w:val="00156B87"/>
    <w:rsid w:val="001643A4"/>
    <w:rsid w:val="00164D64"/>
    <w:rsid w:val="00166714"/>
    <w:rsid w:val="0016739D"/>
    <w:rsid w:val="00171EB0"/>
    <w:rsid w:val="00182208"/>
    <w:rsid w:val="00185190"/>
    <w:rsid w:val="0019051D"/>
    <w:rsid w:val="00192DCF"/>
    <w:rsid w:val="00197176"/>
    <w:rsid w:val="00197EC2"/>
    <w:rsid w:val="001A22D3"/>
    <w:rsid w:val="001A3799"/>
    <w:rsid w:val="001A39E2"/>
    <w:rsid w:val="001A5E2B"/>
    <w:rsid w:val="001B0B57"/>
    <w:rsid w:val="001C05FF"/>
    <w:rsid w:val="001C18CD"/>
    <w:rsid w:val="001C1E9F"/>
    <w:rsid w:val="001C2F37"/>
    <w:rsid w:val="001C35C2"/>
    <w:rsid w:val="001C545E"/>
    <w:rsid w:val="001D1F15"/>
    <w:rsid w:val="001D1FB9"/>
    <w:rsid w:val="001D40E3"/>
    <w:rsid w:val="001E112F"/>
    <w:rsid w:val="001E5858"/>
    <w:rsid w:val="001E73D1"/>
    <w:rsid w:val="001F16FE"/>
    <w:rsid w:val="001F7BF6"/>
    <w:rsid w:val="002078BE"/>
    <w:rsid w:val="00212BB9"/>
    <w:rsid w:val="00215E44"/>
    <w:rsid w:val="00216733"/>
    <w:rsid w:val="00220FCE"/>
    <w:rsid w:val="00221A3E"/>
    <w:rsid w:val="00222AF3"/>
    <w:rsid w:val="00227C81"/>
    <w:rsid w:val="00232CC6"/>
    <w:rsid w:val="0023430F"/>
    <w:rsid w:val="00234D82"/>
    <w:rsid w:val="002443FB"/>
    <w:rsid w:val="00251D9E"/>
    <w:rsid w:val="00263BC2"/>
    <w:rsid w:val="002710C3"/>
    <w:rsid w:val="002761A7"/>
    <w:rsid w:val="00280F0C"/>
    <w:rsid w:val="0028230E"/>
    <w:rsid w:val="00286BBC"/>
    <w:rsid w:val="00286D38"/>
    <w:rsid w:val="00287DB6"/>
    <w:rsid w:val="0029120D"/>
    <w:rsid w:val="00294B5F"/>
    <w:rsid w:val="002A2248"/>
    <w:rsid w:val="002A29F3"/>
    <w:rsid w:val="002A483C"/>
    <w:rsid w:val="002B2430"/>
    <w:rsid w:val="002B4F2F"/>
    <w:rsid w:val="002C7E82"/>
    <w:rsid w:val="002D1246"/>
    <w:rsid w:val="002D2634"/>
    <w:rsid w:val="002E0082"/>
    <w:rsid w:val="002E0646"/>
    <w:rsid w:val="002E170A"/>
    <w:rsid w:val="002E2AC6"/>
    <w:rsid w:val="002F4D90"/>
    <w:rsid w:val="002F6C1C"/>
    <w:rsid w:val="003025D5"/>
    <w:rsid w:val="003026A3"/>
    <w:rsid w:val="00306C27"/>
    <w:rsid w:val="00311E24"/>
    <w:rsid w:val="003144BD"/>
    <w:rsid w:val="003168EE"/>
    <w:rsid w:val="00344E7C"/>
    <w:rsid w:val="00352329"/>
    <w:rsid w:val="0036149A"/>
    <w:rsid w:val="003624E6"/>
    <w:rsid w:val="00364992"/>
    <w:rsid w:val="00365C6D"/>
    <w:rsid w:val="00366E38"/>
    <w:rsid w:val="00373D1F"/>
    <w:rsid w:val="00376155"/>
    <w:rsid w:val="00383A35"/>
    <w:rsid w:val="00391187"/>
    <w:rsid w:val="00391C91"/>
    <w:rsid w:val="003A448E"/>
    <w:rsid w:val="003A6E21"/>
    <w:rsid w:val="003A7C44"/>
    <w:rsid w:val="003B4ED6"/>
    <w:rsid w:val="003B68DF"/>
    <w:rsid w:val="003C4302"/>
    <w:rsid w:val="003C481B"/>
    <w:rsid w:val="003D019C"/>
    <w:rsid w:val="003D3D63"/>
    <w:rsid w:val="003E2753"/>
    <w:rsid w:val="003E5EA3"/>
    <w:rsid w:val="003E6FD2"/>
    <w:rsid w:val="003F4818"/>
    <w:rsid w:val="003F4EEF"/>
    <w:rsid w:val="003F727C"/>
    <w:rsid w:val="004047B2"/>
    <w:rsid w:val="004103FC"/>
    <w:rsid w:val="004127D6"/>
    <w:rsid w:val="00413998"/>
    <w:rsid w:val="00422456"/>
    <w:rsid w:val="004225FC"/>
    <w:rsid w:val="004270FB"/>
    <w:rsid w:val="00430AAA"/>
    <w:rsid w:val="00430B6E"/>
    <w:rsid w:val="00433956"/>
    <w:rsid w:val="004349D9"/>
    <w:rsid w:val="00435C94"/>
    <w:rsid w:val="0044766A"/>
    <w:rsid w:val="0045149C"/>
    <w:rsid w:val="004562AF"/>
    <w:rsid w:val="004577B5"/>
    <w:rsid w:val="004631DA"/>
    <w:rsid w:val="004713A2"/>
    <w:rsid w:val="0048598B"/>
    <w:rsid w:val="004A3FB1"/>
    <w:rsid w:val="004B068D"/>
    <w:rsid w:val="004B3A6F"/>
    <w:rsid w:val="004B43A5"/>
    <w:rsid w:val="004B5D21"/>
    <w:rsid w:val="004C6635"/>
    <w:rsid w:val="004D7368"/>
    <w:rsid w:val="004D7D2C"/>
    <w:rsid w:val="004E6273"/>
    <w:rsid w:val="004E7E16"/>
    <w:rsid w:val="004F4DA7"/>
    <w:rsid w:val="005018D5"/>
    <w:rsid w:val="005027EB"/>
    <w:rsid w:val="00506BED"/>
    <w:rsid w:val="00510292"/>
    <w:rsid w:val="0051589D"/>
    <w:rsid w:val="005220B6"/>
    <w:rsid w:val="00522406"/>
    <w:rsid w:val="005233C8"/>
    <w:rsid w:val="005266DE"/>
    <w:rsid w:val="0053139F"/>
    <w:rsid w:val="005315BD"/>
    <w:rsid w:val="00532AE1"/>
    <w:rsid w:val="00533B37"/>
    <w:rsid w:val="00534894"/>
    <w:rsid w:val="0053647F"/>
    <w:rsid w:val="00546671"/>
    <w:rsid w:val="00557637"/>
    <w:rsid w:val="00562D17"/>
    <w:rsid w:val="0056355D"/>
    <w:rsid w:val="005753AF"/>
    <w:rsid w:val="005761FB"/>
    <w:rsid w:val="00582FA9"/>
    <w:rsid w:val="00586BDF"/>
    <w:rsid w:val="00597C29"/>
    <w:rsid w:val="005A1EF2"/>
    <w:rsid w:val="005A42EE"/>
    <w:rsid w:val="005B3B21"/>
    <w:rsid w:val="005B63CC"/>
    <w:rsid w:val="005C2F40"/>
    <w:rsid w:val="005C3F4C"/>
    <w:rsid w:val="005C4782"/>
    <w:rsid w:val="005C518A"/>
    <w:rsid w:val="005C7677"/>
    <w:rsid w:val="005C79DC"/>
    <w:rsid w:val="005D3B52"/>
    <w:rsid w:val="005D583B"/>
    <w:rsid w:val="005E2DC5"/>
    <w:rsid w:val="005E635E"/>
    <w:rsid w:val="005F1640"/>
    <w:rsid w:val="005F198B"/>
    <w:rsid w:val="005F2A96"/>
    <w:rsid w:val="005F3AE3"/>
    <w:rsid w:val="005F593F"/>
    <w:rsid w:val="00605B88"/>
    <w:rsid w:val="0060665C"/>
    <w:rsid w:val="006205BF"/>
    <w:rsid w:val="00620C89"/>
    <w:rsid w:val="00622BB2"/>
    <w:rsid w:val="00631435"/>
    <w:rsid w:val="006402C2"/>
    <w:rsid w:val="006409B0"/>
    <w:rsid w:val="00641200"/>
    <w:rsid w:val="00663C00"/>
    <w:rsid w:val="00665686"/>
    <w:rsid w:val="00665FF8"/>
    <w:rsid w:val="006678FD"/>
    <w:rsid w:val="0067148A"/>
    <w:rsid w:val="00676E6E"/>
    <w:rsid w:val="00681526"/>
    <w:rsid w:val="00683613"/>
    <w:rsid w:val="00687A9A"/>
    <w:rsid w:val="00694A03"/>
    <w:rsid w:val="006A3E16"/>
    <w:rsid w:val="006B20F2"/>
    <w:rsid w:val="006B2771"/>
    <w:rsid w:val="006C4BE7"/>
    <w:rsid w:val="006C5819"/>
    <w:rsid w:val="006D01F1"/>
    <w:rsid w:val="006E0B2A"/>
    <w:rsid w:val="006E5822"/>
    <w:rsid w:val="006E6BF5"/>
    <w:rsid w:val="006F5503"/>
    <w:rsid w:val="006F75F0"/>
    <w:rsid w:val="007019BF"/>
    <w:rsid w:val="00703CC2"/>
    <w:rsid w:val="00706F98"/>
    <w:rsid w:val="00712DFB"/>
    <w:rsid w:val="00716F26"/>
    <w:rsid w:val="007223C4"/>
    <w:rsid w:val="00725176"/>
    <w:rsid w:val="00733998"/>
    <w:rsid w:val="00734774"/>
    <w:rsid w:val="00737DB8"/>
    <w:rsid w:val="00744732"/>
    <w:rsid w:val="0074545B"/>
    <w:rsid w:val="00746367"/>
    <w:rsid w:val="00750C04"/>
    <w:rsid w:val="00756629"/>
    <w:rsid w:val="00757E62"/>
    <w:rsid w:val="00762821"/>
    <w:rsid w:val="00767A53"/>
    <w:rsid w:val="00776D68"/>
    <w:rsid w:val="007775EF"/>
    <w:rsid w:val="00777DD5"/>
    <w:rsid w:val="00784A2F"/>
    <w:rsid w:val="007873B1"/>
    <w:rsid w:val="007971C8"/>
    <w:rsid w:val="007A3E22"/>
    <w:rsid w:val="007A56FF"/>
    <w:rsid w:val="007B002A"/>
    <w:rsid w:val="007B3087"/>
    <w:rsid w:val="007B37CD"/>
    <w:rsid w:val="007B3F82"/>
    <w:rsid w:val="007B7EA8"/>
    <w:rsid w:val="007C6709"/>
    <w:rsid w:val="007C717B"/>
    <w:rsid w:val="007D52DA"/>
    <w:rsid w:val="007D7AFC"/>
    <w:rsid w:val="007D7FCF"/>
    <w:rsid w:val="007E017F"/>
    <w:rsid w:val="007E37D1"/>
    <w:rsid w:val="007E7E49"/>
    <w:rsid w:val="007F105E"/>
    <w:rsid w:val="007F1246"/>
    <w:rsid w:val="007F3BCB"/>
    <w:rsid w:val="00802206"/>
    <w:rsid w:val="0081609A"/>
    <w:rsid w:val="00817BEE"/>
    <w:rsid w:val="00817C9F"/>
    <w:rsid w:val="00820241"/>
    <w:rsid w:val="00821102"/>
    <w:rsid w:val="008241E3"/>
    <w:rsid w:val="0083031C"/>
    <w:rsid w:val="00831D16"/>
    <w:rsid w:val="00835298"/>
    <w:rsid w:val="00837B39"/>
    <w:rsid w:val="0085244F"/>
    <w:rsid w:val="0085497D"/>
    <w:rsid w:val="00856B05"/>
    <w:rsid w:val="00860E2B"/>
    <w:rsid w:val="008853D2"/>
    <w:rsid w:val="00886E12"/>
    <w:rsid w:val="00893876"/>
    <w:rsid w:val="008A1605"/>
    <w:rsid w:val="008A18CC"/>
    <w:rsid w:val="008A2580"/>
    <w:rsid w:val="008A4B86"/>
    <w:rsid w:val="008C3862"/>
    <w:rsid w:val="008C624A"/>
    <w:rsid w:val="008D0383"/>
    <w:rsid w:val="008D6E7A"/>
    <w:rsid w:val="008D7DFB"/>
    <w:rsid w:val="008E2045"/>
    <w:rsid w:val="008E24D9"/>
    <w:rsid w:val="008E31EF"/>
    <w:rsid w:val="008F3E4C"/>
    <w:rsid w:val="008F54D8"/>
    <w:rsid w:val="009037B0"/>
    <w:rsid w:val="00910FC0"/>
    <w:rsid w:val="00916C91"/>
    <w:rsid w:val="00917E46"/>
    <w:rsid w:val="009229F9"/>
    <w:rsid w:val="00923323"/>
    <w:rsid w:val="00941952"/>
    <w:rsid w:val="00944D0C"/>
    <w:rsid w:val="00950A75"/>
    <w:rsid w:val="0096323F"/>
    <w:rsid w:val="00967747"/>
    <w:rsid w:val="00972012"/>
    <w:rsid w:val="00977089"/>
    <w:rsid w:val="00977113"/>
    <w:rsid w:val="00985388"/>
    <w:rsid w:val="009858AB"/>
    <w:rsid w:val="00985D76"/>
    <w:rsid w:val="00986168"/>
    <w:rsid w:val="00987763"/>
    <w:rsid w:val="009A104A"/>
    <w:rsid w:val="009A1308"/>
    <w:rsid w:val="009A14B8"/>
    <w:rsid w:val="009A1C43"/>
    <w:rsid w:val="009A499C"/>
    <w:rsid w:val="009B00B2"/>
    <w:rsid w:val="009B6B19"/>
    <w:rsid w:val="009D3659"/>
    <w:rsid w:val="009D5B35"/>
    <w:rsid w:val="009E0A7C"/>
    <w:rsid w:val="009F165E"/>
    <w:rsid w:val="009F28A1"/>
    <w:rsid w:val="00A0395F"/>
    <w:rsid w:val="00A11BB5"/>
    <w:rsid w:val="00A14607"/>
    <w:rsid w:val="00A14D82"/>
    <w:rsid w:val="00A17E93"/>
    <w:rsid w:val="00A27A95"/>
    <w:rsid w:val="00A35BB8"/>
    <w:rsid w:val="00A36BA2"/>
    <w:rsid w:val="00A65A26"/>
    <w:rsid w:val="00A70851"/>
    <w:rsid w:val="00A72FD3"/>
    <w:rsid w:val="00A75734"/>
    <w:rsid w:val="00A80381"/>
    <w:rsid w:val="00A80502"/>
    <w:rsid w:val="00A869FB"/>
    <w:rsid w:val="00A9072D"/>
    <w:rsid w:val="00AA0B06"/>
    <w:rsid w:val="00AA1E22"/>
    <w:rsid w:val="00AA3ABA"/>
    <w:rsid w:val="00AA53B7"/>
    <w:rsid w:val="00AB2EA2"/>
    <w:rsid w:val="00AB4F88"/>
    <w:rsid w:val="00AB4FB9"/>
    <w:rsid w:val="00AC21D2"/>
    <w:rsid w:val="00AC5265"/>
    <w:rsid w:val="00AC568D"/>
    <w:rsid w:val="00AC6605"/>
    <w:rsid w:val="00AD03C4"/>
    <w:rsid w:val="00AD116F"/>
    <w:rsid w:val="00AD4C87"/>
    <w:rsid w:val="00AE0DC6"/>
    <w:rsid w:val="00AE19E7"/>
    <w:rsid w:val="00AE7A13"/>
    <w:rsid w:val="00AF08C1"/>
    <w:rsid w:val="00AF5A2E"/>
    <w:rsid w:val="00B02044"/>
    <w:rsid w:val="00B05F90"/>
    <w:rsid w:val="00B13C36"/>
    <w:rsid w:val="00B14BF0"/>
    <w:rsid w:val="00B235D6"/>
    <w:rsid w:val="00B371D1"/>
    <w:rsid w:val="00B40F44"/>
    <w:rsid w:val="00B464F5"/>
    <w:rsid w:val="00B76CEE"/>
    <w:rsid w:val="00B80D18"/>
    <w:rsid w:val="00B85B50"/>
    <w:rsid w:val="00B85DCC"/>
    <w:rsid w:val="00B903D8"/>
    <w:rsid w:val="00B917D7"/>
    <w:rsid w:val="00B93D20"/>
    <w:rsid w:val="00B95429"/>
    <w:rsid w:val="00BA2F6A"/>
    <w:rsid w:val="00BA4151"/>
    <w:rsid w:val="00BB020B"/>
    <w:rsid w:val="00BB3A9B"/>
    <w:rsid w:val="00BC3C7B"/>
    <w:rsid w:val="00BC3C9A"/>
    <w:rsid w:val="00BC48D2"/>
    <w:rsid w:val="00BC798B"/>
    <w:rsid w:val="00BD1DD7"/>
    <w:rsid w:val="00BE0154"/>
    <w:rsid w:val="00BE4825"/>
    <w:rsid w:val="00BE4F2F"/>
    <w:rsid w:val="00BF3B05"/>
    <w:rsid w:val="00C00FE0"/>
    <w:rsid w:val="00C045D5"/>
    <w:rsid w:val="00C11EAA"/>
    <w:rsid w:val="00C12180"/>
    <w:rsid w:val="00C177CA"/>
    <w:rsid w:val="00C20E47"/>
    <w:rsid w:val="00C23BE1"/>
    <w:rsid w:val="00C247B0"/>
    <w:rsid w:val="00C27BA9"/>
    <w:rsid w:val="00C27C88"/>
    <w:rsid w:val="00C37EFC"/>
    <w:rsid w:val="00C429C3"/>
    <w:rsid w:val="00C455B7"/>
    <w:rsid w:val="00C51CDE"/>
    <w:rsid w:val="00C547E1"/>
    <w:rsid w:val="00C55945"/>
    <w:rsid w:val="00C612B0"/>
    <w:rsid w:val="00C6202F"/>
    <w:rsid w:val="00C65B63"/>
    <w:rsid w:val="00C66EF5"/>
    <w:rsid w:val="00C70E1E"/>
    <w:rsid w:val="00C71145"/>
    <w:rsid w:val="00C80F7D"/>
    <w:rsid w:val="00C82289"/>
    <w:rsid w:val="00CA472C"/>
    <w:rsid w:val="00CA6C8A"/>
    <w:rsid w:val="00CB0E0A"/>
    <w:rsid w:val="00CB4008"/>
    <w:rsid w:val="00CB7AC3"/>
    <w:rsid w:val="00CC16C4"/>
    <w:rsid w:val="00CD0124"/>
    <w:rsid w:val="00CD1C21"/>
    <w:rsid w:val="00CD2660"/>
    <w:rsid w:val="00CD3565"/>
    <w:rsid w:val="00CF2AB0"/>
    <w:rsid w:val="00CF5038"/>
    <w:rsid w:val="00CF7CC0"/>
    <w:rsid w:val="00D0119F"/>
    <w:rsid w:val="00D02D6C"/>
    <w:rsid w:val="00D04730"/>
    <w:rsid w:val="00D07848"/>
    <w:rsid w:val="00D15B6B"/>
    <w:rsid w:val="00D163D2"/>
    <w:rsid w:val="00D20171"/>
    <w:rsid w:val="00D206C5"/>
    <w:rsid w:val="00D21D46"/>
    <w:rsid w:val="00D267FA"/>
    <w:rsid w:val="00D31FD6"/>
    <w:rsid w:val="00D365B4"/>
    <w:rsid w:val="00D43782"/>
    <w:rsid w:val="00D54430"/>
    <w:rsid w:val="00D56F58"/>
    <w:rsid w:val="00D56F5A"/>
    <w:rsid w:val="00D71160"/>
    <w:rsid w:val="00D71AF9"/>
    <w:rsid w:val="00D7310C"/>
    <w:rsid w:val="00D7622B"/>
    <w:rsid w:val="00D77213"/>
    <w:rsid w:val="00D84292"/>
    <w:rsid w:val="00D8708B"/>
    <w:rsid w:val="00D9355B"/>
    <w:rsid w:val="00D97B04"/>
    <w:rsid w:val="00D97CCA"/>
    <w:rsid w:val="00DA6318"/>
    <w:rsid w:val="00DA768C"/>
    <w:rsid w:val="00DB3C5B"/>
    <w:rsid w:val="00DB3E44"/>
    <w:rsid w:val="00DC4134"/>
    <w:rsid w:val="00DC65B6"/>
    <w:rsid w:val="00DD1297"/>
    <w:rsid w:val="00DD52A9"/>
    <w:rsid w:val="00DF1207"/>
    <w:rsid w:val="00DF67BC"/>
    <w:rsid w:val="00DF7413"/>
    <w:rsid w:val="00DF7E10"/>
    <w:rsid w:val="00E00993"/>
    <w:rsid w:val="00E02580"/>
    <w:rsid w:val="00E05B39"/>
    <w:rsid w:val="00E06F30"/>
    <w:rsid w:val="00E1105B"/>
    <w:rsid w:val="00E16118"/>
    <w:rsid w:val="00E171F9"/>
    <w:rsid w:val="00E20F6B"/>
    <w:rsid w:val="00E2515F"/>
    <w:rsid w:val="00E26995"/>
    <w:rsid w:val="00E30684"/>
    <w:rsid w:val="00E41AAC"/>
    <w:rsid w:val="00E42AF1"/>
    <w:rsid w:val="00E43C57"/>
    <w:rsid w:val="00E477F6"/>
    <w:rsid w:val="00E51EFB"/>
    <w:rsid w:val="00E549A9"/>
    <w:rsid w:val="00E56A82"/>
    <w:rsid w:val="00E61558"/>
    <w:rsid w:val="00E63BE0"/>
    <w:rsid w:val="00E648B5"/>
    <w:rsid w:val="00E73223"/>
    <w:rsid w:val="00E73A73"/>
    <w:rsid w:val="00E821D3"/>
    <w:rsid w:val="00E82C6C"/>
    <w:rsid w:val="00E935C9"/>
    <w:rsid w:val="00E947A9"/>
    <w:rsid w:val="00EA1257"/>
    <w:rsid w:val="00EA55DF"/>
    <w:rsid w:val="00EB0827"/>
    <w:rsid w:val="00EB0FA8"/>
    <w:rsid w:val="00EC1F57"/>
    <w:rsid w:val="00EC388C"/>
    <w:rsid w:val="00ED2EFF"/>
    <w:rsid w:val="00ED3C30"/>
    <w:rsid w:val="00ED51BE"/>
    <w:rsid w:val="00EE3DDC"/>
    <w:rsid w:val="00EE4282"/>
    <w:rsid w:val="00EE7085"/>
    <w:rsid w:val="00EF4178"/>
    <w:rsid w:val="00EF4FD7"/>
    <w:rsid w:val="00F054F9"/>
    <w:rsid w:val="00F059F9"/>
    <w:rsid w:val="00F0625E"/>
    <w:rsid w:val="00F066A7"/>
    <w:rsid w:val="00F14A48"/>
    <w:rsid w:val="00F14F5F"/>
    <w:rsid w:val="00F42641"/>
    <w:rsid w:val="00F432E5"/>
    <w:rsid w:val="00F44521"/>
    <w:rsid w:val="00F45DD9"/>
    <w:rsid w:val="00F566A9"/>
    <w:rsid w:val="00F61F31"/>
    <w:rsid w:val="00F7152A"/>
    <w:rsid w:val="00F71746"/>
    <w:rsid w:val="00F81E8B"/>
    <w:rsid w:val="00F90F30"/>
    <w:rsid w:val="00F91D4F"/>
    <w:rsid w:val="00F9356E"/>
    <w:rsid w:val="00F95283"/>
    <w:rsid w:val="00FA0859"/>
    <w:rsid w:val="00FA49E7"/>
    <w:rsid w:val="00FA5ED6"/>
    <w:rsid w:val="00FA637A"/>
    <w:rsid w:val="00FB7F13"/>
    <w:rsid w:val="00FC34B8"/>
    <w:rsid w:val="00FC555B"/>
    <w:rsid w:val="00FD13AA"/>
    <w:rsid w:val="00FD52FA"/>
    <w:rsid w:val="00FE1A2A"/>
    <w:rsid w:val="00FF0C0C"/>
    <w:rsid w:val="00FF0E49"/>
    <w:rsid w:val="05E03B29"/>
    <w:rsid w:val="068A7DD8"/>
    <w:rsid w:val="06E42897"/>
    <w:rsid w:val="08612430"/>
    <w:rsid w:val="0A8F1E15"/>
    <w:rsid w:val="0BCC37ED"/>
    <w:rsid w:val="0BEF2FF5"/>
    <w:rsid w:val="0E3E1FEC"/>
    <w:rsid w:val="0F1F4302"/>
    <w:rsid w:val="0FC51E1E"/>
    <w:rsid w:val="10A11A45"/>
    <w:rsid w:val="152F6795"/>
    <w:rsid w:val="1A4B63D6"/>
    <w:rsid w:val="1C9B4312"/>
    <w:rsid w:val="1EB65F7E"/>
    <w:rsid w:val="22644FAC"/>
    <w:rsid w:val="22AE3235"/>
    <w:rsid w:val="23C467E0"/>
    <w:rsid w:val="23D7319D"/>
    <w:rsid w:val="2F622F2B"/>
    <w:rsid w:val="342D630A"/>
    <w:rsid w:val="3DD96725"/>
    <w:rsid w:val="4330025C"/>
    <w:rsid w:val="4DB567ED"/>
    <w:rsid w:val="4EEB49FB"/>
    <w:rsid w:val="58166813"/>
    <w:rsid w:val="5E390440"/>
    <w:rsid w:val="616C25FF"/>
    <w:rsid w:val="61B94062"/>
    <w:rsid w:val="66C106AE"/>
    <w:rsid w:val="701C279F"/>
    <w:rsid w:val="75B06657"/>
    <w:rsid w:val="771912A8"/>
    <w:rsid w:val="7A05553E"/>
    <w:rsid w:val="7BB95CAA"/>
    <w:rsid w:val="7D454D43"/>
    <w:rsid w:val="7E1D045E"/>
    <w:rsid w:val="7E4468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0"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Cambria" w:hAnsi="Cambria" w:cs="Cambria"/>
      <w:b/>
      <w:bCs/>
      <w:sz w:val="32"/>
      <w:szCs w:val="32"/>
    </w:rPr>
  </w:style>
  <w:style w:type="paragraph" w:styleId="4">
    <w:name w:val="heading 3"/>
    <w:basedOn w:val="1"/>
    <w:next w:val="1"/>
    <w:link w:val="20"/>
    <w:qFormat/>
    <w:uiPriority w:val="9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21"/>
    <w:semiHidden/>
    <w:qFormat/>
    <w:uiPriority w:val="99"/>
    <w:rPr>
      <w:rFonts w:ascii="宋体" w:cs="宋体"/>
      <w:sz w:val="18"/>
      <w:szCs w:val="18"/>
    </w:rPr>
  </w:style>
  <w:style w:type="paragraph" w:styleId="6">
    <w:name w:val="Plain Text"/>
    <w:basedOn w:val="1"/>
    <w:link w:val="22"/>
    <w:qFormat/>
    <w:uiPriority w:val="0"/>
    <w:rPr>
      <w:rFonts w:ascii="宋体" w:hAnsi="Courier New" w:cs="宋体"/>
    </w:rPr>
  </w:style>
  <w:style w:type="paragraph" w:styleId="7">
    <w:name w:val="Balloon Text"/>
    <w:basedOn w:val="1"/>
    <w:link w:val="23"/>
    <w:semiHidden/>
    <w:qFormat/>
    <w:uiPriority w:val="99"/>
    <w:rPr>
      <w:sz w:val="18"/>
      <w:szCs w:val="18"/>
    </w:rPr>
  </w:style>
  <w:style w:type="paragraph" w:styleId="8">
    <w:name w:val="footer"/>
    <w:basedOn w:val="1"/>
    <w:link w:val="24"/>
    <w:qFormat/>
    <w:uiPriority w:val="0"/>
    <w:pPr>
      <w:tabs>
        <w:tab w:val="center" w:pos="4153"/>
        <w:tab w:val="right" w:pos="8306"/>
      </w:tabs>
      <w:snapToGrid w:val="0"/>
      <w:jc w:val="left"/>
    </w:pPr>
    <w:rPr>
      <w:sz w:val="18"/>
      <w:szCs w:val="18"/>
    </w:rPr>
  </w:style>
  <w:style w:type="paragraph" w:styleId="9">
    <w:name w:val="header"/>
    <w:basedOn w:val="1"/>
    <w:link w:val="25"/>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qFormat/>
    <w:uiPriority w:val="99"/>
    <w:pPr>
      <w:tabs>
        <w:tab w:val="right" w:leader="dot" w:pos="8296"/>
      </w:tabs>
    </w:pPr>
    <w:rPr>
      <w:rFonts w:ascii="黑体" w:hAnsi="黑体" w:eastAsia="黑体" w:cs="黑体"/>
      <w:sz w:val="30"/>
      <w:szCs w:val="30"/>
    </w:rPr>
  </w:style>
  <w:style w:type="paragraph" w:styleId="11">
    <w:name w:val="Subtitle"/>
    <w:basedOn w:val="1"/>
    <w:next w:val="1"/>
    <w:link w:val="34"/>
    <w:qFormat/>
    <w:uiPriority w:val="0"/>
    <w:pPr>
      <w:spacing w:before="240" w:after="60" w:line="312" w:lineRule="auto"/>
      <w:jc w:val="center"/>
      <w:outlineLvl w:val="1"/>
    </w:pPr>
    <w:rPr>
      <w:rFonts w:ascii="Cambria" w:hAnsi="Cambria" w:cs="Times New Roman" w:eastAsiaTheme="minorEastAsia"/>
      <w:b/>
      <w:bCs/>
      <w:kern w:val="28"/>
      <w:sz w:val="32"/>
      <w:szCs w:val="32"/>
    </w:rPr>
  </w:style>
  <w:style w:type="paragraph" w:styleId="12">
    <w:name w:val="toc 2"/>
    <w:basedOn w:val="1"/>
    <w:next w:val="1"/>
    <w:semiHidden/>
    <w:qFormat/>
    <w:uiPriority w:val="99"/>
    <w:pPr>
      <w:ind w:left="420" w:leftChars="200"/>
    </w:pPr>
  </w:style>
  <w:style w:type="paragraph" w:styleId="13">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7">
    <w:name w:val="Hyperlink"/>
    <w:basedOn w:val="16"/>
    <w:qFormat/>
    <w:uiPriority w:val="99"/>
    <w:rPr>
      <w:color w:val="0000FF"/>
      <w:u w:val="single"/>
    </w:rPr>
  </w:style>
  <w:style w:type="character" w:customStyle="1" w:styleId="18">
    <w:name w:val="标题 1 Char"/>
    <w:basedOn w:val="16"/>
    <w:link w:val="2"/>
    <w:qFormat/>
    <w:locked/>
    <w:uiPriority w:val="99"/>
    <w:rPr>
      <w:b/>
      <w:bCs/>
      <w:kern w:val="44"/>
      <w:sz w:val="44"/>
      <w:szCs w:val="44"/>
    </w:rPr>
  </w:style>
  <w:style w:type="character" w:customStyle="1" w:styleId="19">
    <w:name w:val="标题 2 Char"/>
    <w:basedOn w:val="16"/>
    <w:link w:val="3"/>
    <w:qFormat/>
    <w:locked/>
    <w:uiPriority w:val="99"/>
    <w:rPr>
      <w:rFonts w:ascii="Cambria" w:hAnsi="Cambria" w:eastAsia="宋体" w:cs="Cambria"/>
      <w:b/>
      <w:bCs/>
      <w:sz w:val="32"/>
      <w:szCs w:val="32"/>
    </w:rPr>
  </w:style>
  <w:style w:type="character" w:customStyle="1" w:styleId="20">
    <w:name w:val="标题 3 Char"/>
    <w:basedOn w:val="16"/>
    <w:link w:val="4"/>
    <w:semiHidden/>
    <w:qFormat/>
    <w:locked/>
    <w:uiPriority w:val="99"/>
    <w:rPr>
      <w:b/>
      <w:bCs/>
      <w:sz w:val="32"/>
      <w:szCs w:val="32"/>
    </w:rPr>
  </w:style>
  <w:style w:type="character" w:customStyle="1" w:styleId="21">
    <w:name w:val="文档结构图 Char"/>
    <w:basedOn w:val="16"/>
    <w:link w:val="5"/>
    <w:semiHidden/>
    <w:qFormat/>
    <w:locked/>
    <w:uiPriority w:val="99"/>
    <w:rPr>
      <w:rFonts w:ascii="宋体" w:eastAsia="宋体" w:cs="宋体"/>
      <w:sz w:val="18"/>
      <w:szCs w:val="18"/>
    </w:rPr>
  </w:style>
  <w:style w:type="character" w:customStyle="1" w:styleId="22">
    <w:name w:val="纯文本 Char"/>
    <w:basedOn w:val="16"/>
    <w:link w:val="6"/>
    <w:qFormat/>
    <w:locked/>
    <w:uiPriority w:val="99"/>
    <w:rPr>
      <w:rFonts w:ascii="宋体" w:hAnsi="Courier New" w:eastAsia="宋体" w:cs="宋体"/>
      <w:sz w:val="21"/>
      <w:szCs w:val="21"/>
    </w:rPr>
  </w:style>
  <w:style w:type="character" w:customStyle="1" w:styleId="23">
    <w:name w:val="批注框文本 Char"/>
    <w:basedOn w:val="16"/>
    <w:link w:val="7"/>
    <w:semiHidden/>
    <w:qFormat/>
    <w:locked/>
    <w:uiPriority w:val="99"/>
    <w:rPr>
      <w:sz w:val="18"/>
      <w:szCs w:val="18"/>
    </w:rPr>
  </w:style>
  <w:style w:type="character" w:customStyle="1" w:styleId="24">
    <w:name w:val="页脚 Char"/>
    <w:basedOn w:val="16"/>
    <w:link w:val="8"/>
    <w:qFormat/>
    <w:locked/>
    <w:uiPriority w:val="99"/>
    <w:rPr>
      <w:sz w:val="18"/>
      <w:szCs w:val="18"/>
    </w:rPr>
  </w:style>
  <w:style w:type="character" w:customStyle="1" w:styleId="25">
    <w:name w:val="页眉 Char"/>
    <w:basedOn w:val="16"/>
    <w:link w:val="9"/>
    <w:semiHidden/>
    <w:qFormat/>
    <w:locked/>
    <w:uiPriority w:val="99"/>
    <w:rPr>
      <w:sz w:val="18"/>
      <w:szCs w:val="18"/>
    </w:rPr>
  </w:style>
  <w:style w:type="paragraph" w:customStyle="1" w:styleId="26">
    <w:name w:val="列出段落1"/>
    <w:basedOn w:val="1"/>
    <w:qFormat/>
    <w:uiPriority w:val="99"/>
    <w:pPr>
      <w:ind w:firstLine="420" w:firstLineChars="200"/>
    </w:pPr>
    <w:rPr>
      <w:rFonts w:ascii="Times New Roman" w:hAnsi="Times New Roman" w:cs="Times New Roman"/>
    </w:rPr>
  </w:style>
  <w:style w:type="paragraph" w:customStyle="1" w:styleId="27">
    <w:name w:val="Char Char"/>
    <w:basedOn w:val="1"/>
    <w:qFormat/>
    <w:uiPriority w:val="99"/>
    <w:pPr>
      <w:tabs>
        <w:tab w:val="left" w:pos="980"/>
      </w:tabs>
      <w:ind w:left="980" w:hanging="420"/>
    </w:pPr>
    <w:rPr>
      <w:rFonts w:ascii="Times New Roman" w:hAnsi="Times New Roman" w:cs="Times New Roman"/>
      <w:sz w:val="24"/>
      <w:szCs w:val="24"/>
    </w:rPr>
  </w:style>
  <w:style w:type="paragraph" w:customStyle="1" w:styleId="28">
    <w:name w:val="列出段落2"/>
    <w:basedOn w:val="1"/>
    <w:qFormat/>
    <w:uiPriority w:val="99"/>
    <w:pPr>
      <w:ind w:firstLine="420" w:firstLineChars="200"/>
    </w:pPr>
    <w:rPr>
      <w:rFonts w:ascii="Times New Roman" w:hAnsi="Times New Roman" w:cs="Times New Roman"/>
    </w:rPr>
  </w:style>
  <w:style w:type="paragraph" w:customStyle="1" w:styleId="29">
    <w:name w:val="Char Char Char Char Char Char"/>
    <w:basedOn w:val="1"/>
    <w:qFormat/>
    <w:uiPriority w:val="99"/>
    <w:rPr>
      <w:rFonts w:ascii="Times New Roman" w:hAnsi="Times New Roman" w:eastAsia="仿宋_GB2312" w:cs="Times New Roman"/>
      <w:sz w:val="32"/>
      <w:szCs w:val="32"/>
    </w:rPr>
  </w:style>
  <w:style w:type="paragraph" w:customStyle="1" w:styleId="30">
    <w:name w:val="列出段落3"/>
    <w:basedOn w:val="1"/>
    <w:qFormat/>
    <w:uiPriority w:val="99"/>
    <w:pPr>
      <w:ind w:firstLine="420" w:firstLineChars="200"/>
    </w:pPr>
    <w:rPr>
      <w:rFonts w:ascii="Times New Roman" w:hAnsi="Times New Roman" w:cs="Times New Roman"/>
    </w:rPr>
  </w:style>
  <w:style w:type="paragraph" w:customStyle="1" w:styleId="31">
    <w:name w:val="列出段落4"/>
    <w:basedOn w:val="1"/>
    <w:qFormat/>
    <w:uiPriority w:val="99"/>
    <w:pPr>
      <w:ind w:firstLine="420" w:firstLineChars="200"/>
    </w:pPr>
    <w:rPr>
      <w:rFonts w:ascii="Times New Roman" w:hAnsi="Times New Roman" w:cs="Times New Roman"/>
    </w:rPr>
  </w:style>
  <w:style w:type="paragraph" w:styleId="32">
    <w:name w:val="List Paragraph"/>
    <w:basedOn w:val="1"/>
    <w:qFormat/>
    <w:uiPriority w:val="99"/>
    <w:pPr>
      <w:ind w:firstLine="420" w:firstLineChars="200"/>
    </w:pPr>
    <w:rPr>
      <w:rFonts w:ascii="Times New Roman" w:hAnsi="Times New Roman" w:cs="Times New Roman"/>
    </w:rPr>
  </w:style>
  <w:style w:type="paragraph" w:customStyle="1" w:styleId="33">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34">
    <w:name w:val="副标题 Char"/>
    <w:basedOn w:val="16"/>
    <w:link w:val="11"/>
    <w:qFormat/>
    <w:uiPriority w:val="0"/>
    <w:rPr>
      <w:rFonts w:ascii="Cambria" w:hAnsi="Cambria" w:eastAsiaTheme="minorEastAsia"/>
      <w:b/>
      <w:bCs/>
      <w:kern w:val="28"/>
      <w:sz w:val="32"/>
      <w:szCs w:val="32"/>
    </w:rPr>
  </w:style>
  <w:style w:type="paragraph" w:customStyle="1" w:styleId="35">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2391</Words>
  <Characters>2726</Characters>
  <Lines>272</Lines>
  <Paragraphs>134</Paragraphs>
  <TotalTime>0</TotalTime>
  <ScaleCrop>false</ScaleCrop>
  <LinksUpToDate>false</LinksUpToDate>
  <CharactersWithSpaces>4983</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2019-01-08T08:47:00Z</dcterms:created>
  <dc:creator>blic</dc:creator>
  <cp:lastModifiedBy>何颖</cp:lastModifiedBy>
  <dcterms:modified xsi:type="dcterms:W3CDTF">2021-12-29T09:15:51Z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