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sz w:val="44"/>
          <w:szCs w:val="44"/>
        </w:rPr>
        <w:t>20</w:t>
      </w:r>
      <w:r>
        <w:rPr>
          <w:rFonts w:hint="eastAsia" w:asciiTheme="minorEastAsia" w:hAnsiTheme="minorEastAsia" w:eastAsiaTheme="minorEastAsia"/>
          <w:b/>
          <w:sz w:val="44"/>
          <w:szCs w:val="44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>年建宁县地方政府债务情况</w:t>
      </w:r>
    </w:p>
    <w:p>
      <w:pPr>
        <w:spacing w:line="520" w:lineRule="exact"/>
        <w:ind w:firstLine="620" w:firstLineChars="2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1"/>
          <w:szCs w:val="31"/>
        </w:rPr>
        <w:t>我县高度重视地方政府性债务管理工作，把地方政府性债务风险防控列入县委、县政府的工作重点，</w:t>
      </w:r>
      <w:r>
        <w:rPr>
          <w:rFonts w:hint="eastAsia" w:ascii="仿宋_GB2312" w:eastAsia="仿宋_GB2312" w:cs="仿宋_GB2312"/>
          <w:kern w:val="0"/>
          <w:sz w:val="31"/>
          <w:szCs w:val="31"/>
        </w:rPr>
        <w:t>认真按照中央和省上的部署要求，切实重视政府性债务管理工作，认真落实地方政府性债务预算管理，进一步规范政府举债融资行为，全力抓好地方政府债务风险防范化解工作，从严从紧抓好不规范举债融资清理和整改工作，确保不发生区域性地方政府债务风险。现将</w:t>
      </w:r>
      <w:r>
        <w:rPr>
          <w:rFonts w:hint="eastAsia" w:ascii="仿宋_GB2312" w:hAnsi="Times New Roman" w:eastAsia="仿宋_GB2312"/>
          <w:sz w:val="32"/>
          <w:szCs w:val="32"/>
        </w:rPr>
        <w:t>20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Times New Roman" w:eastAsia="仿宋_GB2312"/>
          <w:sz w:val="32"/>
          <w:szCs w:val="32"/>
        </w:rPr>
        <w:t>年地方政府债务情况说明如下：</w:t>
      </w:r>
      <w:bookmarkStart w:id="0" w:name="_GoBack"/>
      <w:bookmarkEnd w:id="0"/>
    </w:p>
    <w:p>
      <w:pPr>
        <w:pStyle w:val="8"/>
        <w:spacing w:line="580" w:lineRule="exact"/>
        <w:ind w:firstLine="592"/>
        <w:rPr>
          <w:rFonts w:ascii="黑体" w:hAnsi="黑体" w:eastAsia="黑体" w:cs="仿宋"/>
          <w:spacing w:val="-6"/>
        </w:rPr>
      </w:pPr>
      <w:r>
        <w:rPr>
          <w:rFonts w:hint="eastAsia" w:ascii="黑体" w:hAnsi="黑体" w:eastAsia="黑体" w:cs="仿宋"/>
          <w:spacing w:val="-6"/>
        </w:rPr>
        <w:t>一、举借政府债务及债券资金使用安排情况</w:t>
      </w:r>
    </w:p>
    <w:p>
      <w:pPr>
        <w:pStyle w:val="8"/>
        <w:spacing w:line="580" w:lineRule="exact"/>
        <w:ind w:firstLine="616" w:firstLineChars="200"/>
        <w:rPr>
          <w:rFonts w:ascii="仿宋" w:hAnsi="仿宋" w:eastAsia="仿宋" w:cs="仿宋"/>
          <w:spacing w:val="-6"/>
        </w:rPr>
      </w:pPr>
      <w:r>
        <w:rPr>
          <w:rFonts w:hint="eastAsia" w:ascii="仿宋" w:hAnsi="仿宋" w:eastAsia="仿宋" w:cs="仿宋"/>
          <w:spacing w:val="-6"/>
        </w:rPr>
        <w:t>20</w:t>
      </w:r>
      <w:r>
        <w:rPr>
          <w:rFonts w:hint="eastAsia" w:ascii="仿宋" w:hAnsi="仿宋" w:eastAsia="仿宋" w:cs="仿宋"/>
          <w:spacing w:val="-6"/>
          <w:lang w:val="en-US" w:eastAsia="zh-CN"/>
        </w:rPr>
        <w:t>21</w:t>
      </w:r>
      <w:r>
        <w:rPr>
          <w:rFonts w:hint="eastAsia" w:ascii="仿宋" w:hAnsi="仿宋" w:eastAsia="仿宋" w:cs="仿宋"/>
          <w:spacing w:val="-6"/>
        </w:rPr>
        <w:t>年全县新增债务限额</w:t>
      </w:r>
      <w:r>
        <w:rPr>
          <w:rFonts w:hint="eastAsia" w:ascii="仿宋" w:hAnsi="仿宋" w:eastAsia="仿宋" w:cs="仿宋"/>
          <w:spacing w:val="-6"/>
          <w:lang w:val="en-US" w:eastAsia="zh-CN"/>
        </w:rPr>
        <w:t>5.19</w:t>
      </w:r>
      <w:r>
        <w:rPr>
          <w:rFonts w:hint="eastAsia" w:ascii="仿宋" w:hAnsi="仿宋" w:eastAsia="仿宋" w:cs="仿宋"/>
          <w:spacing w:val="-6"/>
        </w:rPr>
        <w:t>亿元，安排用于建宁一中新校区建设项目</w:t>
      </w:r>
      <w:r>
        <w:rPr>
          <w:rFonts w:hint="eastAsia" w:ascii="仿宋" w:hAnsi="仿宋" w:eastAsia="仿宋" w:cs="仿宋"/>
          <w:spacing w:val="-6"/>
          <w:lang w:eastAsia="zh-CN"/>
        </w:rPr>
        <w:t>、建宁县工人文化宫建设项目、建宁县体育公园（体育中心）转换能力提升建设项目、建宁县中央苏区红色革命旧址遗址建设项目、建宁县高速西互通（市政段）及闽江源路至火车南站道路建设项目、建宁县第三中学教学综合实验楼建设项目、建宁县第二实验小学教学综合楼建设项目、建宁县城乡供水一体化建设项目（一期）、建宁县汽车检测线北侧地块安置房建设项目、建宁县河东地块安置房建设项目、建宁县黄舟坊棚户区改造项目</w:t>
      </w:r>
      <w:r>
        <w:rPr>
          <w:rFonts w:hint="eastAsia" w:ascii="仿宋" w:hAnsi="仿宋" w:eastAsia="仿宋" w:cs="仿宋"/>
          <w:spacing w:val="-6"/>
        </w:rPr>
        <w:t>。</w:t>
      </w:r>
    </w:p>
    <w:p>
      <w:pPr>
        <w:pStyle w:val="8"/>
        <w:spacing w:line="580" w:lineRule="exact"/>
        <w:ind w:firstLine="592"/>
        <w:rPr>
          <w:rFonts w:ascii="黑体" w:hAnsi="黑体" w:eastAsia="黑体" w:cs="仿宋"/>
          <w:spacing w:val="-6"/>
        </w:rPr>
      </w:pPr>
      <w:r>
        <w:rPr>
          <w:rFonts w:hint="eastAsia" w:ascii="黑体" w:hAnsi="黑体" w:eastAsia="黑体" w:cs="仿宋"/>
          <w:spacing w:val="-6"/>
        </w:rPr>
        <w:t>二、地方政府债务限额余额情况</w:t>
      </w:r>
    </w:p>
    <w:p>
      <w:pPr>
        <w:pStyle w:val="8"/>
        <w:spacing w:line="580" w:lineRule="exact"/>
        <w:ind w:firstLine="592"/>
        <w:rPr>
          <w:rFonts w:ascii="仿宋" w:hAnsi="仿宋" w:eastAsia="仿宋" w:cs="仿宋"/>
          <w:spacing w:val="-6"/>
        </w:rPr>
      </w:pPr>
      <w:r>
        <w:rPr>
          <w:rFonts w:hint="eastAsia" w:ascii="仿宋" w:hAnsi="仿宋" w:eastAsia="仿宋" w:cs="仿宋"/>
          <w:spacing w:val="-6"/>
        </w:rPr>
        <w:t>截至20</w:t>
      </w:r>
      <w:r>
        <w:rPr>
          <w:rFonts w:hint="eastAsia" w:ascii="仿宋" w:hAnsi="仿宋" w:eastAsia="仿宋" w:cs="仿宋"/>
          <w:spacing w:val="-6"/>
          <w:lang w:val="en-US" w:eastAsia="zh-CN"/>
        </w:rPr>
        <w:t>21</w:t>
      </w:r>
      <w:r>
        <w:rPr>
          <w:rFonts w:hint="eastAsia" w:ascii="仿宋" w:hAnsi="仿宋" w:eastAsia="仿宋" w:cs="仿宋"/>
          <w:spacing w:val="-6"/>
        </w:rPr>
        <w:t>年底，全县政府债务余额</w:t>
      </w:r>
      <w:r>
        <w:rPr>
          <w:rFonts w:hint="eastAsia" w:ascii="仿宋" w:hAnsi="仿宋" w:eastAsia="仿宋" w:cs="仿宋"/>
          <w:spacing w:val="-6"/>
          <w:lang w:val="en-US" w:eastAsia="zh-CN"/>
        </w:rPr>
        <w:t>29.84</w:t>
      </w:r>
      <w:r>
        <w:rPr>
          <w:rFonts w:hint="eastAsia" w:ascii="仿宋" w:hAnsi="仿宋" w:eastAsia="仿宋" w:cs="仿宋"/>
          <w:spacing w:val="-6"/>
        </w:rPr>
        <w:t>亿元，债务余额严格控制在省财政核定的限额</w:t>
      </w:r>
      <w:r>
        <w:rPr>
          <w:rFonts w:hint="eastAsia" w:ascii="仿宋" w:hAnsi="仿宋" w:eastAsia="仿宋" w:cs="仿宋"/>
          <w:spacing w:val="-6"/>
          <w:lang w:val="en-US" w:eastAsia="zh-CN"/>
        </w:rPr>
        <w:t>34.77</w:t>
      </w:r>
      <w:r>
        <w:rPr>
          <w:rFonts w:hint="eastAsia" w:ascii="仿宋" w:hAnsi="仿宋" w:eastAsia="仿宋" w:cs="仿宋"/>
          <w:spacing w:val="-6"/>
        </w:rPr>
        <w:t>亿元内（所属地区地方政府债务限额及余额详见附表）。</w:t>
      </w:r>
    </w:p>
    <w:p>
      <w:pPr>
        <w:pStyle w:val="8"/>
        <w:spacing w:line="580" w:lineRule="exact"/>
        <w:ind w:firstLine="592"/>
        <w:rPr>
          <w:rFonts w:ascii="黑体" w:hAnsi="黑体" w:eastAsia="黑体" w:cs="仿宋"/>
          <w:spacing w:val="-6"/>
        </w:rPr>
      </w:pPr>
      <w:r>
        <w:rPr>
          <w:rFonts w:hint="eastAsia" w:ascii="黑体" w:hAnsi="黑体" w:eastAsia="黑体" w:cs="仿宋"/>
          <w:spacing w:val="-6"/>
        </w:rPr>
        <w:t>三、地方政府债券发行情况</w:t>
      </w:r>
    </w:p>
    <w:p>
      <w:pPr>
        <w:pStyle w:val="8"/>
        <w:spacing w:line="580" w:lineRule="exact"/>
        <w:ind w:firstLine="616" w:firstLineChars="200"/>
        <w:rPr>
          <w:rFonts w:ascii="仿宋" w:hAnsi="仿宋" w:eastAsia="仿宋" w:cs="仿宋"/>
          <w:spacing w:val="-6"/>
        </w:rPr>
      </w:pPr>
      <w:r>
        <w:rPr>
          <w:rFonts w:hint="eastAsia" w:ascii="仿宋" w:hAnsi="仿宋" w:eastAsia="仿宋" w:cs="仿宋"/>
          <w:spacing w:val="-6"/>
        </w:rPr>
        <w:t>20</w:t>
      </w:r>
      <w:r>
        <w:rPr>
          <w:rFonts w:hint="eastAsia" w:ascii="仿宋" w:hAnsi="仿宋" w:eastAsia="仿宋" w:cs="仿宋"/>
          <w:spacing w:val="-6"/>
          <w:lang w:val="en-US" w:eastAsia="zh-CN"/>
        </w:rPr>
        <w:t>21</w:t>
      </w:r>
      <w:r>
        <w:rPr>
          <w:rFonts w:hint="eastAsia" w:ascii="仿宋" w:hAnsi="仿宋" w:eastAsia="仿宋" w:cs="仿宋"/>
          <w:spacing w:val="-6"/>
        </w:rPr>
        <w:t>年全县由省级代为发行地方政府债券</w:t>
      </w:r>
      <w:r>
        <w:rPr>
          <w:rFonts w:hint="eastAsia" w:ascii="仿宋" w:hAnsi="仿宋" w:eastAsia="仿宋" w:cs="仿宋"/>
          <w:spacing w:val="-6"/>
          <w:lang w:val="en-US" w:eastAsia="zh-CN"/>
        </w:rPr>
        <w:t>5.4748</w:t>
      </w:r>
      <w:r>
        <w:rPr>
          <w:rFonts w:hint="eastAsia" w:ascii="仿宋" w:hAnsi="仿宋" w:eastAsia="仿宋" w:cs="仿宋"/>
          <w:spacing w:val="-6"/>
        </w:rPr>
        <w:t xml:space="preserve">亿元（所属地区地方政府债券发行数详见附表）。 </w:t>
      </w:r>
    </w:p>
    <w:p>
      <w:pPr>
        <w:pStyle w:val="8"/>
        <w:spacing w:line="580" w:lineRule="exact"/>
        <w:ind w:firstLine="616" w:firstLineChars="200"/>
        <w:rPr>
          <w:rFonts w:ascii="仿宋" w:hAnsi="仿宋" w:eastAsia="仿宋" w:cs="仿宋"/>
          <w:spacing w:val="-6"/>
        </w:rPr>
      </w:pPr>
      <w:r>
        <w:rPr>
          <w:rFonts w:hint="eastAsia" w:ascii="仿宋" w:hAnsi="仿宋" w:eastAsia="仿宋" w:cs="仿宋"/>
          <w:spacing w:val="-6"/>
        </w:rPr>
        <w:t>按债券性质分：由省级代为发行新增债券</w:t>
      </w:r>
      <w:r>
        <w:rPr>
          <w:rFonts w:hint="eastAsia" w:ascii="仿宋" w:hAnsi="仿宋" w:eastAsia="仿宋" w:cs="仿宋"/>
          <w:spacing w:val="-6"/>
          <w:lang w:val="en-US" w:eastAsia="zh-CN"/>
        </w:rPr>
        <w:t>4.7138</w:t>
      </w:r>
      <w:r>
        <w:rPr>
          <w:rFonts w:hint="eastAsia" w:ascii="仿宋" w:hAnsi="仿宋" w:eastAsia="仿宋" w:cs="仿宋"/>
          <w:spacing w:val="-6"/>
        </w:rPr>
        <w:t>亿元，由省级代为发行再融资债券</w:t>
      </w:r>
      <w:r>
        <w:rPr>
          <w:rFonts w:hint="eastAsia" w:ascii="仿宋" w:hAnsi="仿宋" w:eastAsia="仿宋" w:cs="仿宋"/>
          <w:spacing w:val="-6"/>
          <w:lang w:val="en-US" w:eastAsia="zh-CN"/>
        </w:rPr>
        <w:t>0.7610</w:t>
      </w:r>
      <w:r>
        <w:rPr>
          <w:rFonts w:hint="eastAsia" w:ascii="仿宋" w:hAnsi="仿宋" w:eastAsia="仿宋" w:cs="仿宋"/>
          <w:spacing w:val="-6"/>
        </w:rPr>
        <w:t>亿元。</w:t>
      </w:r>
    </w:p>
    <w:p>
      <w:pPr>
        <w:pStyle w:val="8"/>
        <w:spacing w:line="580" w:lineRule="exact"/>
        <w:ind w:firstLine="616" w:firstLineChars="200"/>
        <w:rPr>
          <w:rFonts w:ascii="黑体" w:hAnsi="黑体" w:eastAsia="黑体" w:cs="仿宋"/>
          <w:spacing w:val="-6"/>
        </w:rPr>
      </w:pPr>
      <w:r>
        <w:rPr>
          <w:rFonts w:hint="eastAsia" w:ascii="黑体" w:hAnsi="黑体" w:eastAsia="黑体" w:cs="仿宋"/>
          <w:spacing w:val="-6"/>
        </w:rPr>
        <w:t>四、地方政府债券还本付息情况</w:t>
      </w:r>
    </w:p>
    <w:p>
      <w:pPr>
        <w:pStyle w:val="8"/>
        <w:spacing w:line="580" w:lineRule="exact"/>
        <w:ind w:firstLine="745" w:firstLineChars="242"/>
        <w:rPr>
          <w:rFonts w:ascii="仿宋" w:hAnsi="仿宋" w:eastAsia="仿宋" w:cs="仿宋"/>
          <w:spacing w:val="-6"/>
        </w:rPr>
      </w:pPr>
      <w:r>
        <w:rPr>
          <w:rFonts w:hint="eastAsia" w:ascii="仿宋" w:hAnsi="仿宋" w:eastAsia="仿宋" w:cs="仿宋"/>
          <w:spacing w:val="-6"/>
        </w:rPr>
        <w:t>20</w:t>
      </w:r>
      <w:r>
        <w:rPr>
          <w:rFonts w:hint="eastAsia" w:ascii="仿宋" w:hAnsi="仿宋" w:eastAsia="仿宋" w:cs="仿宋"/>
          <w:spacing w:val="-6"/>
          <w:lang w:val="en-US" w:eastAsia="zh-CN"/>
        </w:rPr>
        <w:t>21</w:t>
      </w:r>
      <w:r>
        <w:rPr>
          <w:rFonts w:hint="eastAsia" w:ascii="仿宋" w:hAnsi="仿宋" w:eastAsia="仿宋" w:cs="仿宋"/>
          <w:spacing w:val="-6"/>
        </w:rPr>
        <w:t>年全县地方政府债券还本付息</w:t>
      </w:r>
      <w:r>
        <w:rPr>
          <w:rFonts w:hint="eastAsia" w:ascii="仿宋" w:hAnsi="仿宋" w:eastAsia="仿宋" w:cs="仿宋"/>
          <w:spacing w:val="-6"/>
          <w:lang w:val="en-US" w:eastAsia="zh-CN"/>
        </w:rPr>
        <w:t>2.23</w:t>
      </w:r>
      <w:r>
        <w:rPr>
          <w:rFonts w:hint="eastAsia" w:ascii="仿宋" w:hAnsi="仿宋" w:eastAsia="仿宋" w:cs="仿宋"/>
          <w:spacing w:val="-6"/>
        </w:rPr>
        <w:t xml:space="preserve">亿元（所属地区地方政府债券还本付息数详见附表）。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80C"/>
    <w:rsid w:val="0003080C"/>
    <w:rsid w:val="00051400"/>
    <w:rsid w:val="00144DAA"/>
    <w:rsid w:val="00270A42"/>
    <w:rsid w:val="00434277"/>
    <w:rsid w:val="007225BE"/>
    <w:rsid w:val="00760F51"/>
    <w:rsid w:val="00967185"/>
    <w:rsid w:val="00B43ADF"/>
    <w:rsid w:val="00C45C04"/>
    <w:rsid w:val="00CD214F"/>
    <w:rsid w:val="00F17AA4"/>
    <w:rsid w:val="091B1449"/>
    <w:rsid w:val="0A584542"/>
    <w:rsid w:val="1CB44012"/>
    <w:rsid w:val="35172055"/>
    <w:rsid w:val="5E927360"/>
    <w:rsid w:val="6731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内容"/>
    <w:basedOn w:val="1"/>
    <w:qFormat/>
    <w:uiPriority w:val="0"/>
    <w:pPr>
      <w:snapToGrid w:val="0"/>
      <w:spacing w:line="640" w:lineRule="exact"/>
      <w:ind w:firstLine="640"/>
    </w:pPr>
    <w:rPr>
      <w:rFonts w:hAnsi="楷体"/>
      <w:snapToGrid w:val="0"/>
      <w:kern w:val="0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93</Words>
  <Characters>532</Characters>
  <Lines>4</Lines>
  <Paragraphs>1</Paragraphs>
  <TotalTime>4</TotalTime>
  <ScaleCrop>false</ScaleCrop>
  <LinksUpToDate>false</LinksUpToDate>
  <CharactersWithSpaces>624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2021-06-08T08:34:00Z</dcterms:created>
  <dc:creator>张鎣</dc:creator>
  <cp:lastModifiedBy>Administrator</cp:lastModifiedBy>
  <cp:lastPrinted>2021-05-31T07:59:00Z</cp:lastPrinted>
  <dcterms:modified xsi:type="dcterms:W3CDTF">2022-09-09T08:07:17Z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  <property fmtid="{D5CDD505-2E9C-101B-9397-08002B2CF9AE}" pid="3" name="ICV">
    <vt:lpwstr>68A8BE23D3A14381A8F42ED68F91E48D</vt:lpwstr>
  </property>
</Properties>
</file>