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sz w:val="44"/>
          <w:szCs w:val="44"/>
        </w:rPr>
        <w:t>年度建宁县本级政府决算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建宁县本级支出决算说明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年度建宁县本级一般公共预算支出数为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184718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年度决算数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1.03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（一）201-一般公共服务支出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12370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8.01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1.20101-人大事务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2.20102-政协事务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3.20103-政府办公厅（室）及相关机构事务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4.20104-发展与改革事务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5.20105-统计信息事务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、20108-审计事务科目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33.47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、20111-纪检监察事务科目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1196</w:t>
      </w:r>
      <w:r>
        <w:rPr>
          <w:rFonts w:hint="eastAsia" w:ascii="仿宋" w:hAnsi="仿宋" w:eastAsia="仿宋"/>
          <w:kern w:val="0"/>
          <w:sz w:val="32"/>
          <w:szCs w:val="32"/>
        </w:rPr>
        <w:t>1264万元，较上年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、20113-商贸事务科目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19.23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、20126-档案事务科目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、20129-群众团体事务科目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16.541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、20131-党委办公厅（室）及相关机构事务科目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、20132-组织事务科目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46.39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、20133-宣传事务科目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、20134-统战事务科目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293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26.84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（二）203-国防支出科目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106.62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1、20306-国防动员科目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（三）204-公共安全支出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7674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10.46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1、20401-武装警察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2、20402-公安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6570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16.68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3、20406-司法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8.12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4、20499-其他公共安全支出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（四）205-教育支出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32561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1.59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1、20501-教育管理事务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6.98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26141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4.48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1158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kern w:val="0"/>
          <w:sz w:val="32"/>
          <w:szCs w:val="32"/>
        </w:rPr>
        <w:t>万元，增长12.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4、20507-特殊教育科目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20.45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5、20508-进修及培训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17.49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6、20509-教育费附加安排的支出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（五）206-科学技术支出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68.30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1、20604-技术研究与开发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90.80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2、20607-科学技术普及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3、20699-其他科学技术支出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（六）207-文化体育与传媒支出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7421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16.83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1、20701-文化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1543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34.45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48.49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3、20799-其他文化体育与传媒支出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（七）208-社会保障和就业支出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24314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8.76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21.29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12446</w:t>
      </w:r>
      <w:r>
        <w:rPr>
          <w:rFonts w:hint="eastAsia" w:ascii="仿宋" w:hAnsi="仿宋" w:eastAsia="仿宋" w:cs="Arial"/>
          <w:kern w:val="0"/>
          <w:sz w:val="32"/>
          <w:szCs w:val="32"/>
        </w:rPr>
        <w:t>10732万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1714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15.97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918</w:t>
      </w:r>
      <w:r>
        <w:rPr>
          <w:rFonts w:hint="eastAsia" w:ascii="仿宋" w:hAnsi="仿宋" w:eastAsia="仿宋" w:cs="Arial"/>
          <w:kern w:val="0"/>
          <w:sz w:val="32"/>
          <w:szCs w:val="32"/>
        </w:rPr>
        <w:t>842万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8.98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9、20819-最低生活保障科目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10、20820-临时救助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19.14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11、20825-其他生活救助科目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1340.43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12、20828-退役军人管理事务支出科目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34.29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（八）210-卫生健康支出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12288</w:t>
      </w:r>
      <w:r>
        <w:rPr>
          <w:rFonts w:hint="eastAsia" w:ascii="仿宋" w:hAnsi="仿宋" w:eastAsia="仿宋" w:cs="Arial"/>
          <w:kern w:val="0"/>
          <w:sz w:val="32"/>
          <w:szCs w:val="32"/>
        </w:rPr>
        <w:t>11011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1277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11.60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1、21001-卫生健康管理事务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256.42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1893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/>
          <w:kern w:val="0"/>
          <w:sz w:val="32"/>
          <w:szCs w:val="32"/>
        </w:rPr>
        <w:t>万元，增长14.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992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5、21007-计划生育事务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6、21012-财政对基本医疗保险基金的补助科目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3383</w:t>
      </w:r>
      <w:r>
        <w:rPr>
          <w:rFonts w:hint="eastAsia" w:ascii="仿宋" w:hAnsi="仿宋" w:eastAsia="仿宋"/>
          <w:kern w:val="0"/>
          <w:sz w:val="32"/>
          <w:szCs w:val="32"/>
        </w:rPr>
        <w:t>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1721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103.55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8、21014-优抚对象医疗科目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万元，较上年减少13万元，下降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（九）211-节能环保支出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3437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1505</w:t>
      </w:r>
      <w:r>
        <w:rPr>
          <w:rFonts w:hint="eastAsia" w:ascii="仿宋" w:hAnsi="仿宋" w:eastAsia="仿宋"/>
          <w:kern w:val="0"/>
          <w:sz w:val="32"/>
          <w:szCs w:val="32"/>
        </w:rPr>
        <w:t>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30.45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1、21101-环境保护管理事务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Arial"/>
          <w:kern w:val="0"/>
          <w:sz w:val="32"/>
          <w:szCs w:val="32"/>
        </w:rPr>
        <w:t>80万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2、21103-污染防治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2382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67.06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（十）212-城乡社区支出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11882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4.95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1、21201-城乡社区管理事务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49.91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130.25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4605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57.89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3834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629.56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（十一）213-农林水支出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45536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2962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6.96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1、21301-农业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19754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9797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98.39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4.10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11592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3461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22.99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4、21305-扶贫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4740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5、21308-普惠金融发展支出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（十二）214-交通运输支出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1859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8466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82.00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1、21401-公路水路运输科目6160万元，较上年减少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4961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2、21404-成品油价格改革对交通运输的补贴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20.55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（十三）215-资源勘探信息等支出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1352</w:t>
      </w:r>
      <w:r>
        <w:rPr>
          <w:rFonts w:hint="eastAsia" w:ascii="仿宋" w:hAnsi="仿宋" w:eastAsia="仿宋" w:cs="Arial"/>
          <w:kern w:val="0"/>
          <w:sz w:val="32"/>
          <w:szCs w:val="32"/>
        </w:rPr>
        <w:t>3352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59.67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1、21501-资源勘探开发科目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2、21505-工业和信息产业监督科目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572</w:t>
      </w:r>
      <w:r>
        <w:rPr>
          <w:rFonts w:hint="eastAsia" w:ascii="仿宋" w:hAnsi="仿宋" w:eastAsia="仿宋"/>
          <w:kern w:val="0"/>
          <w:sz w:val="32"/>
          <w:szCs w:val="32"/>
        </w:rPr>
        <w:t>559万元，较上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3、21508-支持中小企业发展和管理支出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2082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83.68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5、21599-其他资源勘探信息等支出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38.98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（十四）216-商业服务业等支出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6318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4207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199.29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1、21602-商业流通事务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2734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197.83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2、21606-涉外发展服务支出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73.40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3、21699-其他商业服务业等支出科目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2048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1898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1265.33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（十五）220-国土海洋气象等支出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4758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70.19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1、22001-国土资源事务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4762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（十六）221-住房保障支出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6407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3105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94.03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1、22101-保障性安居工程支出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2088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（十七）222-粮油物资储备支出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8.26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1、22201-粮油事务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（十八）229-其他支出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706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82.00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1、22999-其他支出科目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706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224-灾害防治及应急管理支出科目2168万元，较上年增加2168万元。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（二十）232-债务付息支出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5984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1.01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5984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）233-债务发行费用支出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33.37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二、财政转移支付支出情况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年度建宁县本级对下税收返还和转移支付决算数为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12797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1074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9.16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（一）税收返还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2020年度建宁县对下税收返还决算数为2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84万元，比上年增加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7.74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（二）一般性转移支付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年度建宁县对下一般转移支付决算数为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3057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7.11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1.体制补助支出456万元，与上年持平。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2.其他一般性转移支付支出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2601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8.47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（二）专项转移支付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年度建宁县对下专项转移支付决算数为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7218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691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10.59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1.一般公共服务支出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83.61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2.文化旅游体育与传媒支出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582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119.62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3.社会保障和就业支出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25.61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4.卫生健康支出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271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84.69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.节能环保支出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461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92.02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.城乡社区支出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1112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4.06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.农林水支出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3373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6.98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.交通运输支出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商业服务业等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914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914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.灾害防治及应急管理支出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652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6.36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12.其他支出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294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82.61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三、举借政府债务情况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年末县本级地方政府债务余额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299435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42285</w:t>
      </w:r>
      <w:r>
        <w:rPr>
          <w:rFonts w:hint="eastAsia" w:ascii="仿宋_GB2312" w:eastAsia="仿宋_GB2312"/>
          <w:color w:val="auto"/>
          <w:sz w:val="32"/>
          <w:szCs w:val="32"/>
        </w:rPr>
        <w:t>万元，分类债务如下：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1.政府负有偿还责任的债务（政府债务）余额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298421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42285</w:t>
      </w:r>
      <w:r>
        <w:rPr>
          <w:rFonts w:hint="eastAsia" w:ascii="仿宋_GB2312" w:eastAsia="仿宋_GB2312"/>
          <w:color w:val="auto"/>
          <w:sz w:val="32"/>
          <w:szCs w:val="32"/>
        </w:rPr>
        <w:t>万元，主</w:t>
      </w:r>
      <w:r>
        <w:rPr>
          <w:rFonts w:ascii="仿宋_GB2312" w:eastAsia="仿宋_GB2312"/>
          <w:color w:val="auto"/>
          <w:sz w:val="32"/>
          <w:szCs w:val="32"/>
        </w:rPr>
        <w:t>要是</w:t>
      </w:r>
      <w:r>
        <w:rPr>
          <w:rFonts w:hint="eastAsia" w:ascii="仿宋_GB2312" w:eastAsia="仿宋_GB2312"/>
          <w:color w:val="auto"/>
          <w:sz w:val="32"/>
          <w:szCs w:val="32"/>
        </w:rPr>
        <w:t>当年新增地方政府债券资金。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2.政府负有担保责任的债务余额1014万元。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3.政府可能承担一定救助责任的债务余额0万元。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根据省财政厅闽财债管〔2021〕24号文，核定建宁县202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年地方政府债务限额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347737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万元，其中：一般债务限额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198288</w:t>
      </w:r>
      <w:r>
        <w:rPr>
          <w:rFonts w:hint="eastAsia" w:ascii="仿宋_GB2312" w:eastAsia="仿宋_GB2312"/>
          <w:color w:val="auto"/>
          <w:sz w:val="32"/>
          <w:szCs w:val="32"/>
        </w:rPr>
        <w:t>万元，专项债务限额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149449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年全县政府负有偿还责任的债务（政府债务）年末余额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298421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万元，其中：一般债务余额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174607</w:t>
      </w:r>
      <w:r>
        <w:rPr>
          <w:rFonts w:hint="eastAsia" w:ascii="仿宋_GB2312" w:eastAsia="仿宋_GB2312"/>
          <w:color w:val="auto"/>
          <w:sz w:val="32"/>
          <w:szCs w:val="32"/>
        </w:rPr>
        <w:t>万元，专项债务余额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123814</w:t>
      </w:r>
      <w:r>
        <w:rPr>
          <w:rFonts w:hint="eastAsia" w:ascii="仿宋_GB2312" w:eastAsia="仿宋_GB2312"/>
          <w:color w:val="auto"/>
          <w:sz w:val="32"/>
          <w:szCs w:val="32"/>
        </w:rPr>
        <w:t>万元，均控制在省财政批准的债务限额之内。</w:t>
      </w: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 xml:space="preserve">            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年，建宁县财政部门对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109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个项目开展绩效目标管理，涉及项目资金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42044.99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万元，其中：一般公共预算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22265.99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万元、政府基金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1304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万元、社保基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金2个项目，项目资金18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130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万元、国有资本经营预算1个项目，项目资金345万元。对10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个项目开展绩效监控管理，涉及项目资金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41699.99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万元，其中：一般公共预算100个项目，项目资金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22265.99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万元、政府基金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1304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万元、社保基金2个项目，项目资金18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130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万元。对20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106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个项目开展绩效自评工作，涉及项目资金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44772.27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万元，其中：一般公共预算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25293.27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万元、政府基金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1302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,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社会保险基金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2个项目，项目资金18177万元。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2020年度，县级财政部门对教育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、交通、水利等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个财政支出项目开展重点绩效评价。其中，等级达到优的有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项。</w:t>
      </w:r>
    </w:p>
    <w:p>
      <w:pPr>
        <w:spacing w:line="60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865A8"/>
    <w:rsid w:val="000915AA"/>
    <w:rsid w:val="000B201B"/>
    <w:rsid w:val="000C14E7"/>
    <w:rsid w:val="000E3EFD"/>
    <w:rsid w:val="000F1FEC"/>
    <w:rsid w:val="000F4DEF"/>
    <w:rsid w:val="000F56A7"/>
    <w:rsid w:val="00102DF0"/>
    <w:rsid w:val="00114AEB"/>
    <w:rsid w:val="00130BDF"/>
    <w:rsid w:val="00145104"/>
    <w:rsid w:val="001669C6"/>
    <w:rsid w:val="001708E5"/>
    <w:rsid w:val="00177795"/>
    <w:rsid w:val="00184E49"/>
    <w:rsid w:val="001B6453"/>
    <w:rsid w:val="001C05A9"/>
    <w:rsid w:val="001C165F"/>
    <w:rsid w:val="001C3DB5"/>
    <w:rsid w:val="001D3271"/>
    <w:rsid w:val="001D75F1"/>
    <w:rsid w:val="001F1478"/>
    <w:rsid w:val="00225CA1"/>
    <w:rsid w:val="0023076E"/>
    <w:rsid w:val="00241239"/>
    <w:rsid w:val="00256058"/>
    <w:rsid w:val="0028017B"/>
    <w:rsid w:val="002A3C64"/>
    <w:rsid w:val="002B3332"/>
    <w:rsid w:val="002C4219"/>
    <w:rsid w:val="002D108F"/>
    <w:rsid w:val="002F132B"/>
    <w:rsid w:val="002F18B8"/>
    <w:rsid w:val="00311DC2"/>
    <w:rsid w:val="00313891"/>
    <w:rsid w:val="00327CF0"/>
    <w:rsid w:val="00335169"/>
    <w:rsid w:val="00337CF7"/>
    <w:rsid w:val="00342427"/>
    <w:rsid w:val="00347921"/>
    <w:rsid w:val="003861CF"/>
    <w:rsid w:val="00397797"/>
    <w:rsid w:val="003B68A0"/>
    <w:rsid w:val="003C2434"/>
    <w:rsid w:val="003E66E9"/>
    <w:rsid w:val="004003BA"/>
    <w:rsid w:val="0041774F"/>
    <w:rsid w:val="00456B02"/>
    <w:rsid w:val="00483781"/>
    <w:rsid w:val="00483A2F"/>
    <w:rsid w:val="004A0C68"/>
    <w:rsid w:val="004A2184"/>
    <w:rsid w:val="004A2A7B"/>
    <w:rsid w:val="004C7265"/>
    <w:rsid w:val="00502B05"/>
    <w:rsid w:val="005030FB"/>
    <w:rsid w:val="00512C7B"/>
    <w:rsid w:val="00535AD0"/>
    <w:rsid w:val="005775D9"/>
    <w:rsid w:val="00580AD9"/>
    <w:rsid w:val="0059387D"/>
    <w:rsid w:val="005957AB"/>
    <w:rsid w:val="005D12B2"/>
    <w:rsid w:val="005E5A93"/>
    <w:rsid w:val="005F0E3D"/>
    <w:rsid w:val="005F5FC3"/>
    <w:rsid w:val="00617D92"/>
    <w:rsid w:val="00622AB4"/>
    <w:rsid w:val="006331DA"/>
    <w:rsid w:val="006374C5"/>
    <w:rsid w:val="00651375"/>
    <w:rsid w:val="00666E36"/>
    <w:rsid w:val="00671464"/>
    <w:rsid w:val="00671A89"/>
    <w:rsid w:val="00687178"/>
    <w:rsid w:val="006908D9"/>
    <w:rsid w:val="006C28D9"/>
    <w:rsid w:val="00705A2C"/>
    <w:rsid w:val="00710012"/>
    <w:rsid w:val="007209E7"/>
    <w:rsid w:val="007234AB"/>
    <w:rsid w:val="007237E6"/>
    <w:rsid w:val="00741277"/>
    <w:rsid w:val="00750933"/>
    <w:rsid w:val="0076206E"/>
    <w:rsid w:val="007634DA"/>
    <w:rsid w:val="00780416"/>
    <w:rsid w:val="007A0B3E"/>
    <w:rsid w:val="007B5DDF"/>
    <w:rsid w:val="007B7B70"/>
    <w:rsid w:val="007C1FDF"/>
    <w:rsid w:val="007E4DC7"/>
    <w:rsid w:val="007F2A35"/>
    <w:rsid w:val="007F6B3E"/>
    <w:rsid w:val="00844E03"/>
    <w:rsid w:val="008555AE"/>
    <w:rsid w:val="008624D4"/>
    <w:rsid w:val="008731EB"/>
    <w:rsid w:val="008C15D9"/>
    <w:rsid w:val="008D0AD5"/>
    <w:rsid w:val="008D12D2"/>
    <w:rsid w:val="008E0A2E"/>
    <w:rsid w:val="00914305"/>
    <w:rsid w:val="00933F6E"/>
    <w:rsid w:val="009412FB"/>
    <w:rsid w:val="00944032"/>
    <w:rsid w:val="009758DF"/>
    <w:rsid w:val="00987EFC"/>
    <w:rsid w:val="009C7BE6"/>
    <w:rsid w:val="009D00F6"/>
    <w:rsid w:val="009D20A4"/>
    <w:rsid w:val="009D2B11"/>
    <w:rsid w:val="009D34A6"/>
    <w:rsid w:val="009F5498"/>
    <w:rsid w:val="00A248DA"/>
    <w:rsid w:val="00A33F17"/>
    <w:rsid w:val="00A35626"/>
    <w:rsid w:val="00A51D6A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4237D"/>
    <w:rsid w:val="00C62447"/>
    <w:rsid w:val="00C6644D"/>
    <w:rsid w:val="00C73323"/>
    <w:rsid w:val="00C865D3"/>
    <w:rsid w:val="00CB79AE"/>
    <w:rsid w:val="00CE0151"/>
    <w:rsid w:val="00CE5589"/>
    <w:rsid w:val="00CF09A8"/>
    <w:rsid w:val="00D02F65"/>
    <w:rsid w:val="00D03939"/>
    <w:rsid w:val="00D16D1E"/>
    <w:rsid w:val="00D26BD4"/>
    <w:rsid w:val="00D41853"/>
    <w:rsid w:val="00D4430C"/>
    <w:rsid w:val="00D82311"/>
    <w:rsid w:val="00D905AB"/>
    <w:rsid w:val="00D94087"/>
    <w:rsid w:val="00DA6E91"/>
    <w:rsid w:val="00DB3BB4"/>
    <w:rsid w:val="00DD14FA"/>
    <w:rsid w:val="00E06DB6"/>
    <w:rsid w:val="00E10849"/>
    <w:rsid w:val="00E30C03"/>
    <w:rsid w:val="00E34C50"/>
    <w:rsid w:val="00E469B6"/>
    <w:rsid w:val="00E60D7F"/>
    <w:rsid w:val="00E71E58"/>
    <w:rsid w:val="00E858EC"/>
    <w:rsid w:val="00E92C30"/>
    <w:rsid w:val="00E94198"/>
    <w:rsid w:val="00EC7EB1"/>
    <w:rsid w:val="00EE575F"/>
    <w:rsid w:val="00F00F5B"/>
    <w:rsid w:val="00F34B65"/>
    <w:rsid w:val="00F705C3"/>
    <w:rsid w:val="00FC6FDA"/>
    <w:rsid w:val="00FD1816"/>
    <w:rsid w:val="019B25DA"/>
    <w:rsid w:val="02CA7F7F"/>
    <w:rsid w:val="0444144B"/>
    <w:rsid w:val="05BE2E55"/>
    <w:rsid w:val="067B73E4"/>
    <w:rsid w:val="06AF457F"/>
    <w:rsid w:val="09234377"/>
    <w:rsid w:val="09DB2C60"/>
    <w:rsid w:val="0B3901D0"/>
    <w:rsid w:val="101D04FC"/>
    <w:rsid w:val="11490D02"/>
    <w:rsid w:val="1A027E8E"/>
    <w:rsid w:val="1ACD695E"/>
    <w:rsid w:val="226A7D2E"/>
    <w:rsid w:val="29C76D90"/>
    <w:rsid w:val="2A5615A3"/>
    <w:rsid w:val="2E486362"/>
    <w:rsid w:val="33993F3B"/>
    <w:rsid w:val="37BB0CD6"/>
    <w:rsid w:val="3BF92432"/>
    <w:rsid w:val="3C3A1B00"/>
    <w:rsid w:val="44381216"/>
    <w:rsid w:val="473C6633"/>
    <w:rsid w:val="49045FC1"/>
    <w:rsid w:val="4CA059E5"/>
    <w:rsid w:val="4FFB1542"/>
    <w:rsid w:val="51C40E70"/>
    <w:rsid w:val="53D87C83"/>
    <w:rsid w:val="5A4A1B88"/>
    <w:rsid w:val="5E236BD4"/>
    <w:rsid w:val="644420DC"/>
    <w:rsid w:val="65C7250B"/>
    <w:rsid w:val="6E1F31C7"/>
    <w:rsid w:val="72684FF9"/>
    <w:rsid w:val="764B5D9C"/>
    <w:rsid w:val="76701F6D"/>
    <w:rsid w:val="76D05765"/>
    <w:rsid w:val="781F503A"/>
    <w:rsid w:val="7BA30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941</Words>
  <Characters>5370</Characters>
  <Lines>44</Lines>
  <Paragraphs>12</Paragraphs>
  <TotalTime>1</TotalTime>
  <ScaleCrop>false</ScaleCrop>
  <LinksUpToDate>false</LinksUpToDate>
  <CharactersWithSpaces>6299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2020-09-10T07:27:00Z</dcterms:created>
  <dc:creator>何吾志</dc:creator>
  <cp:lastModifiedBy>Administrator</cp:lastModifiedBy>
  <cp:lastPrinted>2021-10-12T08:29:00Z</cp:lastPrinted>
  <dcterms:modified xsi:type="dcterms:W3CDTF">2022-11-01T03:51:49Z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