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cs="Times New Roman"/>
          <w:b/>
          <w:bCs/>
          <w:sz w:val="44"/>
          <w:szCs w:val="44"/>
        </w:rPr>
      </w:pPr>
      <w:bookmarkStart w:id="2" w:name="_GoBack"/>
      <w:bookmarkEnd w:id="2"/>
    </w:p>
    <w:p>
      <w:pPr>
        <w:jc w:val="center"/>
        <w:rPr>
          <w:rFonts w:ascii="Times New Roman" w:hAnsi="Times New Roman" w:eastAsia="黑体" w:cs="Times New Roman"/>
          <w:b/>
          <w:bCs/>
          <w:sz w:val="44"/>
          <w:szCs w:val="44"/>
        </w:rPr>
      </w:pPr>
    </w:p>
    <w:p>
      <w:pPr>
        <w:jc w:val="center"/>
        <w:rPr>
          <w:rFonts w:ascii="Times New Roman" w:hAnsi="Times New Roman" w:eastAsia="黑体" w:cs="Times New Roman"/>
          <w:b/>
          <w:bCs/>
          <w:sz w:val="44"/>
          <w:szCs w:val="44"/>
        </w:rPr>
      </w:pPr>
    </w:p>
    <w:p>
      <w:pPr>
        <w:spacing w:line="800" w:lineRule="exact"/>
        <w:jc w:val="center"/>
        <w:rPr>
          <w:rFonts w:hint="eastAsia" w:ascii="黑体" w:eastAsia="黑体" w:cs="黑体"/>
          <w:bCs/>
          <w:sz w:val="36"/>
          <w:szCs w:val="36"/>
        </w:rPr>
      </w:pPr>
    </w:p>
    <w:p>
      <w:pPr>
        <w:spacing w:line="800" w:lineRule="exact"/>
        <w:jc w:val="center"/>
        <w:rPr>
          <w:rFonts w:ascii="黑体" w:eastAsia="黑体" w:cs="黑体"/>
          <w:bCs/>
          <w:sz w:val="44"/>
          <w:szCs w:val="44"/>
        </w:rPr>
      </w:pPr>
      <w:r>
        <w:rPr>
          <w:rFonts w:hint="eastAsia" w:ascii="黑体" w:eastAsia="黑体" w:cs="黑体"/>
          <w:bCs/>
          <w:sz w:val="44"/>
          <w:szCs w:val="44"/>
        </w:rPr>
        <w:t>2021年度专项资金绩效评价报告</w:t>
      </w:r>
    </w:p>
    <w:p>
      <w:pPr>
        <w:spacing w:line="360" w:lineRule="auto"/>
        <w:jc w:val="center"/>
        <w:rPr>
          <w:rFonts w:ascii="黑体" w:eastAsia="黑体" w:cs="Times New Roman"/>
          <w:b/>
          <w:bCs/>
          <w:sz w:val="48"/>
          <w:szCs w:val="48"/>
        </w:rPr>
      </w:pPr>
    </w:p>
    <w:p>
      <w:pPr>
        <w:jc w:val="center"/>
        <w:rPr>
          <w:rFonts w:ascii="黑体" w:hAnsi="黑体" w:eastAsia="黑体" w:cs="Times New Roman"/>
          <w:b/>
          <w:bCs/>
          <w:sz w:val="48"/>
          <w:szCs w:val="48"/>
        </w:rPr>
      </w:pPr>
    </w:p>
    <w:p>
      <w:pPr>
        <w:jc w:val="center"/>
        <w:rPr>
          <w:rFonts w:ascii="黑体" w:eastAsia="黑体" w:cs="Times New Roman"/>
          <w:b/>
          <w:bCs/>
          <w:sz w:val="48"/>
          <w:szCs w:val="48"/>
        </w:rPr>
      </w:pPr>
    </w:p>
    <w:p>
      <w:pPr>
        <w:jc w:val="center"/>
        <w:rPr>
          <w:rFonts w:ascii="黑体" w:eastAsia="黑体" w:cs="Times New Roman"/>
          <w:b/>
          <w:bCs/>
          <w:sz w:val="48"/>
          <w:szCs w:val="48"/>
        </w:rPr>
      </w:pPr>
    </w:p>
    <w:p>
      <w:pPr>
        <w:jc w:val="center"/>
        <w:rPr>
          <w:rFonts w:ascii="黑体" w:eastAsia="黑体" w:cs="Times New Roman"/>
          <w:b/>
          <w:bCs/>
          <w:sz w:val="48"/>
          <w:szCs w:val="48"/>
        </w:rPr>
      </w:pPr>
    </w:p>
    <w:p>
      <w:pPr>
        <w:spacing w:line="360" w:lineRule="auto"/>
        <w:ind w:firstLine="1035" w:firstLineChars="345"/>
        <w:rPr>
          <w:rFonts w:ascii="黑体" w:eastAsia="黑体" w:cs="黑体"/>
          <w:sz w:val="30"/>
          <w:szCs w:val="30"/>
          <w:u w:val="single"/>
        </w:rPr>
      </w:pPr>
      <w:r>
        <w:rPr>
          <w:rFonts w:hint="eastAsia" w:ascii="黑体" w:eastAsia="黑体" w:cs="黑体"/>
          <w:sz w:val="30"/>
          <w:szCs w:val="30"/>
        </w:rPr>
        <w:t>项目承担单位：</w:t>
      </w:r>
      <w:r>
        <w:rPr>
          <w:rFonts w:hint="eastAsia" w:ascii="黑体" w:eastAsia="黑体" w:cs="黑体"/>
          <w:sz w:val="30"/>
          <w:szCs w:val="30"/>
          <w:u w:val="single"/>
        </w:rPr>
        <w:t>建宁县城乡居民社会养老保险中心</w:t>
      </w:r>
    </w:p>
    <w:p>
      <w:pPr>
        <w:spacing w:line="360" w:lineRule="auto"/>
        <w:ind w:firstLine="1035" w:firstLineChars="345"/>
        <w:rPr>
          <w:rFonts w:ascii="黑体" w:eastAsia="黑体" w:cs="Times New Roman"/>
          <w:sz w:val="30"/>
          <w:szCs w:val="30"/>
        </w:rPr>
      </w:pPr>
    </w:p>
    <w:p>
      <w:pPr>
        <w:spacing w:line="360" w:lineRule="auto"/>
        <w:ind w:firstLine="1035" w:firstLineChars="345"/>
        <w:rPr>
          <w:rFonts w:ascii="黑体" w:eastAsia="黑体" w:cs="黑体"/>
          <w:sz w:val="30"/>
          <w:szCs w:val="30"/>
          <w:u w:val="single"/>
        </w:rPr>
      </w:pPr>
      <w:r>
        <w:rPr>
          <w:rFonts w:hint="eastAsia" w:ascii="黑体" w:eastAsia="黑体" w:cs="黑体"/>
          <w:sz w:val="30"/>
          <w:szCs w:val="30"/>
        </w:rPr>
        <w:t>项目负责人：</w:t>
      </w:r>
      <w:r>
        <w:rPr>
          <w:rFonts w:hint="eastAsia" w:ascii="黑体" w:eastAsia="黑体" w:cs="黑体"/>
          <w:sz w:val="30"/>
          <w:szCs w:val="30"/>
          <w:u w:val="single"/>
        </w:rPr>
        <w:t>黄美霞</w:t>
      </w:r>
    </w:p>
    <w:p>
      <w:pPr>
        <w:spacing w:line="360" w:lineRule="auto"/>
        <w:ind w:firstLine="1035" w:firstLineChars="345"/>
        <w:rPr>
          <w:rFonts w:ascii="黑体" w:eastAsia="黑体" w:cs="Times New Roman"/>
          <w:sz w:val="30"/>
          <w:szCs w:val="30"/>
        </w:rPr>
      </w:pPr>
    </w:p>
    <w:p>
      <w:pPr>
        <w:spacing w:line="360" w:lineRule="auto"/>
        <w:ind w:firstLine="1035" w:firstLineChars="345"/>
        <w:rPr>
          <w:rFonts w:ascii="黑体" w:eastAsia="黑体" w:cs="黑体"/>
          <w:sz w:val="30"/>
          <w:szCs w:val="30"/>
          <w:u w:val="single"/>
        </w:rPr>
      </w:pPr>
      <w:r>
        <w:rPr>
          <w:rFonts w:hint="eastAsia" w:ascii="黑体" w:eastAsia="黑体" w:cs="黑体"/>
          <w:sz w:val="30"/>
          <w:szCs w:val="30"/>
        </w:rPr>
        <w:t>联系电话：</w:t>
      </w:r>
      <w:r>
        <w:rPr>
          <w:rFonts w:hint="eastAsia" w:ascii="黑体" w:eastAsia="黑体" w:cs="黑体"/>
          <w:sz w:val="30"/>
          <w:szCs w:val="30"/>
          <w:u w:val="single"/>
        </w:rPr>
        <w:t xml:space="preserve"> 0598-7971338  </w:t>
      </w:r>
    </w:p>
    <w:p>
      <w:pPr>
        <w:spacing w:line="360" w:lineRule="auto"/>
        <w:ind w:firstLine="1035" w:firstLineChars="345"/>
        <w:rPr>
          <w:rFonts w:ascii="黑体" w:eastAsia="黑体" w:cs="Times New Roman"/>
          <w:sz w:val="30"/>
          <w:szCs w:val="30"/>
        </w:rPr>
      </w:pPr>
    </w:p>
    <w:p>
      <w:pPr>
        <w:ind w:firstLine="1050" w:firstLineChars="350"/>
        <w:rPr>
          <w:rFonts w:ascii="黑体" w:eastAsia="黑体" w:cs="Times New Roman"/>
          <w:sz w:val="30"/>
          <w:szCs w:val="30"/>
          <w:u w:val="single"/>
        </w:rPr>
      </w:pPr>
      <w:r>
        <w:rPr>
          <w:rFonts w:hint="eastAsia" w:ascii="黑体" w:eastAsia="黑体" w:cs="黑体"/>
          <w:sz w:val="30"/>
          <w:szCs w:val="30"/>
        </w:rPr>
        <w:t>项目起止时间：</w:t>
      </w:r>
      <w:r>
        <w:rPr>
          <w:rFonts w:hint="eastAsia" w:ascii="黑体" w:eastAsia="黑体" w:cs="黑体"/>
          <w:sz w:val="30"/>
          <w:szCs w:val="30"/>
          <w:u w:val="single"/>
        </w:rPr>
        <w:t>2021年1月1日--12月31日</w:t>
      </w:r>
    </w:p>
    <w:p>
      <w:pPr>
        <w:jc w:val="center"/>
        <w:rPr>
          <w:rFonts w:ascii="黑体" w:eastAsia="黑体" w:cs="Times New Roman"/>
          <w:b/>
          <w:bCs/>
          <w:sz w:val="30"/>
          <w:szCs w:val="30"/>
          <w:u w:val="single"/>
        </w:rPr>
      </w:pPr>
    </w:p>
    <w:p>
      <w:pPr>
        <w:jc w:val="center"/>
        <w:rPr>
          <w:rFonts w:ascii="黑体" w:eastAsia="黑体" w:cs="Times New Roman"/>
          <w:b/>
          <w:bCs/>
          <w:sz w:val="32"/>
          <w:szCs w:val="32"/>
          <w:u w:val="single"/>
        </w:rPr>
      </w:pPr>
    </w:p>
    <w:p>
      <w:pPr>
        <w:jc w:val="center"/>
        <w:rPr>
          <w:rFonts w:ascii="黑体" w:eastAsia="黑体" w:cs="Times New Roman"/>
          <w:b/>
          <w:bCs/>
          <w:sz w:val="32"/>
          <w:szCs w:val="32"/>
          <w:u w:val="single"/>
        </w:rPr>
      </w:pPr>
    </w:p>
    <w:p>
      <w:pPr>
        <w:jc w:val="center"/>
        <w:rPr>
          <w:rFonts w:eastAsia="黑体" w:cs="Times New Roman"/>
          <w:bCs/>
          <w:sz w:val="30"/>
          <w:szCs w:val="30"/>
        </w:rPr>
        <w:sectPr>
          <w:footerReference r:id="rId3" w:type="default"/>
          <w:pgSz w:w="11906" w:h="16838"/>
          <w:pgMar w:top="1440" w:right="1800" w:bottom="1440" w:left="1800" w:header="851" w:footer="992" w:gutter="0"/>
          <w:cols w:space="425" w:num="1"/>
          <w:docGrid w:type="lines" w:linePitch="312" w:charSpace="0"/>
        </w:sectPr>
      </w:pPr>
      <w:r>
        <w:rPr>
          <w:rFonts w:hint="eastAsia" w:ascii="黑体" w:eastAsia="黑体" w:cs="黑体"/>
          <w:bCs/>
          <w:sz w:val="30"/>
          <w:szCs w:val="30"/>
        </w:rPr>
        <w:t>2022年10月20日</w:t>
      </w:r>
    </w:p>
    <w:p>
      <w:pPr>
        <w:spacing w:line="560" w:lineRule="exact"/>
        <w:ind w:firstLine="562" w:firstLineChars="200"/>
        <w:jc w:val="center"/>
        <w:rPr>
          <w:rFonts w:cs="宋体" w:asciiTheme="minorEastAsia" w:hAnsiTheme="minorEastAsia" w:eastAsiaTheme="minorEastAsia"/>
          <w:b/>
          <w:bCs/>
          <w:sz w:val="28"/>
          <w:szCs w:val="28"/>
        </w:rPr>
      </w:pPr>
      <w:bookmarkStart w:id="0" w:name="_Toc495352545"/>
      <w:r>
        <w:rPr>
          <w:rFonts w:hint="eastAsia" w:cs="宋体" w:asciiTheme="minorEastAsia" w:hAnsiTheme="minorEastAsia" w:eastAsiaTheme="minorEastAsia"/>
          <w:b/>
          <w:bCs/>
          <w:sz w:val="28"/>
          <w:szCs w:val="28"/>
        </w:rPr>
        <w:t>引言</w:t>
      </w:r>
      <w:bookmarkEnd w:id="0"/>
    </w:p>
    <w:p>
      <w:pPr>
        <w:spacing w:line="560" w:lineRule="exact"/>
        <w:ind w:firstLine="562" w:firstLineChars="200"/>
        <w:jc w:val="center"/>
        <w:rPr>
          <w:rFonts w:cs="宋体" w:asciiTheme="minorEastAsia" w:hAnsiTheme="minorEastAsia" w:eastAsiaTheme="minorEastAsia"/>
          <w:b/>
          <w:bCs/>
          <w:sz w:val="28"/>
          <w:szCs w:val="28"/>
        </w:rPr>
      </w:pPr>
    </w:p>
    <w:p>
      <w:pPr>
        <w:spacing w:line="56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为提高城乡居民社会养老保险专项资金使用绩效，现对2021年度城乡居民保专项资金开展绩效评价。评价围绕投入、产出和效益等绩效指标，对专项资金的管理、使用和效益等情况进行分析，并借鉴好的做法和经验，提出改进绩效的有关建议。</w:t>
      </w:r>
    </w:p>
    <w:p>
      <w:pPr>
        <w:pStyle w:val="11"/>
        <w:spacing w:before="0" w:after="0" w:line="560" w:lineRule="exact"/>
        <w:ind w:firstLine="562" w:firstLineChars="200"/>
        <w:jc w:val="left"/>
        <w:rPr>
          <w:rFonts w:cs="楷体" w:asciiTheme="minorEastAsia" w:hAnsiTheme="minorEastAsia"/>
          <w:bCs w:val="0"/>
          <w:sz w:val="28"/>
          <w:szCs w:val="28"/>
        </w:rPr>
      </w:pPr>
      <w:r>
        <w:rPr>
          <w:rFonts w:hint="eastAsia" w:cs="楷体" w:asciiTheme="minorEastAsia" w:hAnsiTheme="minorEastAsia"/>
          <w:bCs w:val="0"/>
          <w:sz w:val="28"/>
          <w:szCs w:val="28"/>
        </w:rPr>
        <w:t>一、项目立项</w:t>
      </w:r>
    </w:p>
    <w:p>
      <w:pPr>
        <w:pStyle w:val="11"/>
        <w:spacing w:before="0" w:after="0" w:line="560" w:lineRule="exact"/>
        <w:ind w:firstLine="562" w:firstLineChars="200"/>
        <w:jc w:val="left"/>
        <w:rPr>
          <w:rFonts w:cs="楷体" w:asciiTheme="minorEastAsia" w:hAnsiTheme="minorEastAsia"/>
          <w:bCs w:val="0"/>
          <w:sz w:val="28"/>
          <w:szCs w:val="28"/>
        </w:rPr>
      </w:pPr>
      <w:r>
        <w:rPr>
          <w:rFonts w:hint="eastAsia" w:cs="楷体" w:asciiTheme="minorEastAsia" w:hAnsiTheme="minorEastAsia"/>
          <w:bCs w:val="0"/>
          <w:sz w:val="28"/>
          <w:szCs w:val="28"/>
        </w:rPr>
        <w:t>（一）立项目标</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按照相关的法律法规及经办章程开展城乡居民社会养老保险业务，落实财政补助资金到位，对参保缴费对象补贴到账，以及确保待遇领取人员养老金足额及时发放。</w:t>
      </w:r>
    </w:p>
    <w:p>
      <w:pPr>
        <w:pStyle w:val="11"/>
        <w:spacing w:before="0" w:after="0" w:line="560" w:lineRule="exact"/>
        <w:ind w:firstLine="562" w:firstLineChars="200"/>
        <w:jc w:val="left"/>
        <w:rPr>
          <w:rFonts w:cs="Calibri" w:asciiTheme="minorEastAsia" w:hAnsiTheme="minorEastAsia"/>
          <w:bCs w:val="0"/>
          <w:kern w:val="2"/>
          <w:sz w:val="28"/>
          <w:szCs w:val="28"/>
        </w:rPr>
      </w:pPr>
      <w:r>
        <w:rPr>
          <w:rFonts w:hint="eastAsia" w:cs="Calibri" w:asciiTheme="minorEastAsia" w:hAnsiTheme="minorEastAsia"/>
          <w:bCs w:val="0"/>
          <w:kern w:val="2"/>
          <w:sz w:val="28"/>
          <w:szCs w:val="28"/>
        </w:rPr>
        <w:t>（二）资金落实</w:t>
      </w:r>
    </w:p>
    <w:p>
      <w:pPr>
        <w:spacing w:line="56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2021年度城乡居民保专项资金预算安排588.93万元，实际下达资金588.93万元，到位率100%。从资金使用率看，专项资金使用效率达到100%。其中：16-59周岁缴费补贴安排支出202.28万元，占支出比例34.35%。60周岁以上待遇领取人员基础养老金安排支出162.12万元，占支出比例27.53%。丧葬补助金安排支出224.53万元，占支出比例38.12%。</w:t>
      </w:r>
    </w:p>
    <w:p>
      <w:pPr>
        <w:pStyle w:val="11"/>
        <w:spacing w:before="0" w:after="0" w:line="560" w:lineRule="exact"/>
        <w:ind w:firstLine="562" w:firstLineChars="200"/>
        <w:jc w:val="left"/>
        <w:rPr>
          <w:rFonts w:cs="楷体" w:asciiTheme="minorEastAsia" w:hAnsiTheme="minorEastAsia"/>
          <w:bCs w:val="0"/>
          <w:sz w:val="28"/>
          <w:szCs w:val="28"/>
        </w:rPr>
      </w:pPr>
      <w:r>
        <w:rPr>
          <w:rFonts w:hint="eastAsia" w:cs="楷体" w:asciiTheme="minorEastAsia" w:hAnsiTheme="minorEastAsia"/>
          <w:bCs w:val="0"/>
          <w:sz w:val="28"/>
          <w:szCs w:val="28"/>
        </w:rPr>
        <w:t>二、项目管理</w:t>
      </w:r>
    </w:p>
    <w:p>
      <w:pPr>
        <w:ind w:firstLine="560" w:firstLineChars="200"/>
        <w:rPr>
          <w:rFonts w:asciiTheme="minorEastAsia" w:hAnsiTheme="minorEastAsia" w:eastAsiaTheme="minorEastAsia"/>
          <w:sz w:val="28"/>
          <w:szCs w:val="28"/>
        </w:rPr>
      </w:pPr>
      <w:r>
        <w:rPr>
          <w:rFonts w:hint="eastAsia" w:cs="楷体" w:asciiTheme="minorEastAsia" w:hAnsiTheme="minorEastAsia"/>
          <w:sz w:val="28"/>
          <w:szCs w:val="28"/>
        </w:rPr>
        <w:t>（一）</w:t>
      </w:r>
      <w:r>
        <w:rPr>
          <w:rFonts w:hint="eastAsia" w:asciiTheme="minorEastAsia" w:hAnsiTheme="minorEastAsia"/>
          <w:sz w:val="28"/>
          <w:szCs w:val="28"/>
        </w:rPr>
        <w:t>制度建设</w:t>
      </w:r>
      <w:r>
        <w:rPr>
          <w:rFonts w:hint="eastAsia" w:cs="Times New Roman" w:asciiTheme="minorEastAsia" w:hAnsiTheme="minorEastAsia" w:eastAsiaTheme="minorEastAsia"/>
          <w:bCs/>
          <w:kern w:val="28"/>
          <w:sz w:val="28"/>
          <w:szCs w:val="28"/>
        </w:rPr>
        <w:t>方面。</w:t>
      </w:r>
      <w:r>
        <w:rPr>
          <w:rFonts w:hint="eastAsia" w:ascii="宋体" w:hAnsi="宋体"/>
          <w:sz w:val="28"/>
          <w:szCs w:val="28"/>
        </w:rPr>
        <w:t>根据《建宁县人民政府办公室关于建立城乡居民基本养老保险待遇确定和基础养老金正常调整机制的通知》（建政文〔2018〕155号）、《建宁县人民政府办公室转发三明市人民政府关于完善城乡居民基本养老保险制度的若干意见的通知》（建政办〔2014〕74号）以及建宁县人力资源和社会保障局 建宁县财政局关于提高困难人员城乡居民基本养老保险代缴标准的通知》（建人社〔2021〕27号）等文件</w:t>
      </w:r>
      <w:r>
        <w:rPr>
          <w:rFonts w:hint="eastAsia" w:asciiTheme="minorEastAsia" w:hAnsiTheme="minorEastAsia" w:eastAsiaTheme="minorEastAsia"/>
          <w:sz w:val="28"/>
          <w:szCs w:val="28"/>
        </w:rPr>
        <w:t>开展各项业务。</w:t>
      </w:r>
    </w:p>
    <w:p>
      <w:pPr>
        <w:ind w:firstLine="585"/>
        <w:rPr>
          <w:rFonts w:asciiTheme="minorEastAsia" w:hAnsiTheme="minorEastAsia" w:eastAsiaTheme="minorEastAsia"/>
          <w:sz w:val="28"/>
          <w:szCs w:val="28"/>
        </w:rPr>
      </w:pPr>
      <w:r>
        <w:rPr>
          <w:rFonts w:hint="eastAsia" w:asciiTheme="minorEastAsia" w:hAnsiTheme="minorEastAsia" w:eastAsiaTheme="minorEastAsia"/>
          <w:sz w:val="28"/>
          <w:szCs w:val="28"/>
        </w:rPr>
        <w:t>（二）资金管理方面。按照省、市《社会保险基金财务制度》等有关专项资金管理办法管理和执行专项资金，资金拨付有完整的审批程序和手续，资金使用规范，支出依据合规，无虚列项目支出；无截留、挤占、挪用项目资金。</w:t>
      </w:r>
    </w:p>
    <w:p>
      <w:pPr>
        <w:pStyle w:val="11"/>
        <w:spacing w:before="0" w:after="0" w:line="560" w:lineRule="exact"/>
        <w:ind w:firstLine="562" w:firstLineChars="200"/>
        <w:jc w:val="left"/>
        <w:rPr>
          <w:rFonts w:cs="楷体" w:asciiTheme="minorEastAsia" w:hAnsiTheme="minorEastAsia"/>
          <w:bCs w:val="0"/>
          <w:sz w:val="28"/>
          <w:szCs w:val="28"/>
        </w:rPr>
      </w:pPr>
      <w:r>
        <w:rPr>
          <w:rFonts w:hint="eastAsia" w:cs="楷体" w:asciiTheme="minorEastAsia" w:hAnsiTheme="minorEastAsia"/>
          <w:bCs w:val="0"/>
          <w:sz w:val="28"/>
          <w:szCs w:val="28"/>
        </w:rPr>
        <w:t>三、项目评价</w:t>
      </w:r>
    </w:p>
    <w:p>
      <w:pPr>
        <w:pStyle w:val="11"/>
        <w:spacing w:before="0" w:after="0" w:line="560" w:lineRule="exact"/>
        <w:ind w:firstLine="560" w:firstLineChars="200"/>
        <w:jc w:val="left"/>
        <w:rPr>
          <w:rFonts w:asciiTheme="minorEastAsia" w:hAnsiTheme="minorEastAsia"/>
          <w:b w:val="0"/>
          <w:sz w:val="28"/>
          <w:szCs w:val="28"/>
        </w:rPr>
      </w:pPr>
      <w:r>
        <w:rPr>
          <w:rFonts w:hint="eastAsia" w:asciiTheme="minorEastAsia" w:hAnsiTheme="minorEastAsia"/>
          <w:b w:val="0"/>
          <w:sz w:val="28"/>
          <w:szCs w:val="28"/>
        </w:rPr>
        <w:t>项目绩效评价工作组根据财政支出绩效评价管理办法的要求，依据相关性、重要性、可比性、系统性等原则，围绕资金投入、项目产出与效益等三个方面设计绩效评价指标、评分标准和分值。</w:t>
      </w:r>
    </w:p>
    <w:p>
      <w:pPr>
        <w:spacing w:line="56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指标体系设定满分100分，其中：“投入”10分，主要体现项目立项目标和资金落实情况；“产出”60分，主要体现项目的数量目标、质量目标、资金使用成本等情况；“效益”30分，主要体现项目经济效益、社会效益和服务对象满意度等（具体评分见附表）。基于外部独立评价的特点和要求，指标设置和评分标准力求可行性、客观性、科学性与简明性。</w:t>
      </w:r>
    </w:p>
    <w:p>
      <w:pPr>
        <w:spacing w:line="560" w:lineRule="exact"/>
        <w:ind w:firstLine="560" w:firstLineChars="200"/>
        <w:jc w:val="left"/>
        <w:rPr>
          <w:rFonts w:asciiTheme="minorEastAsia" w:hAnsiTheme="minorEastAsia" w:eastAsiaTheme="minorEastAsia"/>
          <w:sz w:val="28"/>
          <w:szCs w:val="28"/>
        </w:rPr>
      </w:pPr>
      <w:r>
        <w:rPr>
          <w:rFonts w:hint="eastAsia" w:asciiTheme="minorEastAsia" w:hAnsiTheme="minorEastAsia" w:eastAsiaTheme="minorEastAsia"/>
          <w:sz w:val="28"/>
          <w:szCs w:val="28"/>
        </w:rPr>
        <w:t>根据财政支出绩效评价的有关规定，以及项目绩效评价方法，结合城乡居民保资金的使用情况，2021年度城乡居民保专项资金评价总分≥90分，评价等级为优。</w:t>
      </w:r>
      <w:r>
        <w:rPr>
          <w:rFonts w:hint="eastAsia" w:asciiTheme="minorEastAsia" w:hAnsiTheme="minorEastAsia"/>
          <w:sz w:val="28"/>
          <w:szCs w:val="28"/>
        </w:rPr>
        <w:t>已完成了年初制定的对参保缴费对象补贴到账，以及确保待遇领取人员养老金足额及时发放的年度总体目标。</w:t>
      </w:r>
    </w:p>
    <w:p>
      <w:pPr>
        <w:pStyle w:val="11"/>
        <w:spacing w:before="0" w:after="0" w:line="560" w:lineRule="exact"/>
        <w:ind w:firstLine="562" w:firstLineChars="200"/>
        <w:jc w:val="left"/>
        <w:rPr>
          <w:rFonts w:cs="黑体" w:asciiTheme="minorEastAsia" w:hAnsiTheme="minorEastAsia"/>
          <w:sz w:val="28"/>
          <w:szCs w:val="28"/>
        </w:rPr>
      </w:pPr>
      <w:r>
        <w:rPr>
          <w:rFonts w:hint="eastAsia" w:cs="黑体" w:asciiTheme="minorEastAsia" w:hAnsiTheme="minorEastAsia"/>
          <w:sz w:val="28"/>
          <w:szCs w:val="28"/>
        </w:rPr>
        <w:t>四、 问题分析</w:t>
      </w:r>
    </w:p>
    <w:p>
      <w:pPr>
        <w:pStyle w:val="11"/>
        <w:spacing w:before="0" w:after="0" w:line="560" w:lineRule="exact"/>
        <w:ind w:firstLine="562" w:firstLineChars="200"/>
        <w:jc w:val="left"/>
        <w:rPr>
          <w:rFonts w:cs="楷体" w:asciiTheme="minorEastAsia" w:hAnsiTheme="minorEastAsia"/>
          <w:sz w:val="28"/>
          <w:szCs w:val="28"/>
        </w:rPr>
      </w:pPr>
      <w:r>
        <w:rPr>
          <w:rFonts w:hint="eastAsia" w:cs="楷体" w:asciiTheme="minorEastAsia" w:hAnsiTheme="minorEastAsia"/>
          <w:sz w:val="28"/>
          <w:szCs w:val="28"/>
        </w:rPr>
        <w:t>（一）参保缴费人员减少</w:t>
      </w:r>
    </w:p>
    <w:p>
      <w:pPr>
        <w:ind w:firstLine="560" w:firstLineChars="200"/>
        <w:rPr>
          <w:rFonts w:cs="Times New Roman" w:asciiTheme="minorEastAsia" w:hAnsiTheme="minorEastAsia" w:eastAsiaTheme="minorEastAsia"/>
          <w:kern w:val="28"/>
          <w:sz w:val="28"/>
          <w:szCs w:val="28"/>
        </w:rPr>
      </w:pPr>
      <w:r>
        <w:rPr>
          <w:rFonts w:hint="eastAsia" w:cs="Times New Roman" w:asciiTheme="minorEastAsia" w:hAnsiTheme="minorEastAsia" w:eastAsiaTheme="minorEastAsia"/>
          <w:kern w:val="28"/>
          <w:sz w:val="28"/>
          <w:szCs w:val="28"/>
        </w:rPr>
        <w:t>城乡居民社会养老保险缴费档次总体较低，因此发放的基础养老金偏低，和广大参保群众的期望不相符，导致参保积极性不高，转为其他险种人员多，因此参保人员减少。已参保的群众因为外出流动等原因漏缴、断缴保费，产生补缴情况发生，增加业务量。</w:t>
      </w:r>
    </w:p>
    <w:p>
      <w:pPr>
        <w:pStyle w:val="11"/>
        <w:spacing w:before="0" w:after="0" w:line="560" w:lineRule="exact"/>
        <w:ind w:firstLine="562" w:firstLineChars="200"/>
        <w:jc w:val="left"/>
        <w:rPr>
          <w:rFonts w:cs="楷体" w:asciiTheme="minorEastAsia" w:hAnsiTheme="minorEastAsia"/>
          <w:sz w:val="28"/>
          <w:szCs w:val="28"/>
        </w:rPr>
      </w:pPr>
      <w:r>
        <w:rPr>
          <w:rFonts w:hint="eastAsia" w:cs="楷体" w:asciiTheme="minorEastAsia" w:hAnsiTheme="minorEastAsia"/>
          <w:sz w:val="28"/>
          <w:szCs w:val="28"/>
        </w:rPr>
        <w:t>（二）待遇领取人员生存情况核实难度大</w:t>
      </w:r>
    </w:p>
    <w:p>
      <w:pPr>
        <w:spacing w:line="560" w:lineRule="exact"/>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sz w:val="28"/>
          <w:szCs w:val="28"/>
        </w:rPr>
        <w:t>待遇领取人员每年需进行待遇领取资格认证手续，虽然已通过网络、电子广播、下乡等各种方式宣传政策，但因人员分布广泛和人员流动的特点，存在待遇人员资格认证未通过，</w:t>
      </w:r>
      <w:r>
        <w:rPr>
          <w:rFonts w:hint="eastAsia" w:ascii="宋体" w:hAnsi="宋体"/>
          <w:color w:val="000000"/>
          <w:sz w:val="28"/>
          <w:szCs w:val="28"/>
        </w:rPr>
        <w:t>此类人员长期难以核实具体生存情况</w:t>
      </w:r>
      <w:r>
        <w:rPr>
          <w:rFonts w:hint="eastAsia" w:asciiTheme="minorEastAsia" w:hAnsiTheme="minorEastAsia" w:eastAsiaTheme="minorEastAsia"/>
          <w:color w:val="000000"/>
          <w:sz w:val="28"/>
          <w:szCs w:val="28"/>
        </w:rPr>
        <w:t>。</w:t>
      </w:r>
    </w:p>
    <w:p>
      <w:pPr>
        <w:pStyle w:val="11"/>
        <w:spacing w:before="0" w:after="0" w:line="560" w:lineRule="exact"/>
        <w:ind w:firstLine="562" w:firstLineChars="200"/>
        <w:jc w:val="left"/>
        <w:rPr>
          <w:rFonts w:cs="楷体" w:asciiTheme="minorEastAsia" w:hAnsiTheme="minorEastAsia"/>
          <w:sz w:val="28"/>
          <w:szCs w:val="28"/>
        </w:rPr>
      </w:pPr>
      <w:r>
        <w:rPr>
          <w:rFonts w:hint="eastAsia" w:cs="楷体" w:asciiTheme="minorEastAsia" w:hAnsiTheme="minorEastAsia"/>
          <w:sz w:val="28"/>
          <w:szCs w:val="28"/>
        </w:rPr>
        <w:t>（三）项目管理需要改进</w:t>
      </w:r>
    </w:p>
    <w:p>
      <w:pPr>
        <w:spacing w:line="560" w:lineRule="exact"/>
        <w:ind w:firstLine="560" w:firstLineChars="200"/>
        <w:rPr>
          <w:rFonts w:asciiTheme="minorEastAsia" w:hAnsiTheme="minorEastAsia" w:eastAsiaTheme="minorEastAsia"/>
          <w:bCs/>
          <w:sz w:val="28"/>
          <w:szCs w:val="28"/>
        </w:rPr>
      </w:pPr>
      <w:r>
        <w:rPr>
          <w:rFonts w:hint="eastAsia" w:asciiTheme="minorEastAsia" w:hAnsiTheme="minorEastAsia" w:eastAsiaTheme="minorEastAsia"/>
          <w:sz w:val="28"/>
          <w:szCs w:val="28"/>
        </w:rPr>
        <w:t>效应管理方面。</w:t>
      </w:r>
      <w:r>
        <w:rPr>
          <w:rFonts w:hint="eastAsia" w:cs="仿宋_GB2312" w:asciiTheme="minorEastAsia" w:hAnsiTheme="minorEastAsia" w:eastAsiaTheme="minorEastAsia"/>
          <w:bCs/>
          <w:sz w:val="28"/>
          <w:szCs w:val="28"/>
        </w:rPr>
        <w:t>项目的实施未产生示范和扩散效应。2021年度</w:t>
      </w:r>
      <w:r>
        <w:rPr>
          <w:rFonts w:hint="eastAsia" w:asciiTheme="minorEastAsia" w:hAnsiTheme="minorEastAsia" w:eastAsiaTheme="minorEastAsia"/>
          <w:sz w:val="28"/>
          <w:szCs w:val="28"/>
        </w:rPr>
        <w:t>城乡居民保专项</w:t>
      </w:r>
      <w:r>
        <w:rPr>
          <w:rFonts w:hint="eastAsia" w:cs="仿宋_GB2312" w:asciiTheme="minorEastAsia" w:hAnsiTheme="minorEastAsia" w:eastAsiaTheme="minorEastAsia"/>
          <w:bCs/>
          <w:sz w:val="28"/>
          <w:szCs w:val="28"/>
        </w:rPr>
        <w:t>资金在用于项目实施过程中，没有成功经验的扩散效应。同时，也未产生示范作用。</w:t>
      </w:r>
    </w:p>
    <w:p>
      <w:pPr>
        <w:pStyle w:val="11"/>
        <w:spacing w:before="0" w:after="0" w:line="560" w:lineRule="exact"/>
        <w:ind w:firstLine="562" w:firstLineChars="200"/>
        <w:jc w:val="left"/>
        <w:rPr>
          <w:rFonts w:cs="黑体" w:asciiTheme="minorEastAsia" w:hAnsiTheme="minorEastAsia"/>
          <w:sz w:val="28"/>
          <w:szCs w:val="28"/>
        </w:rPr>
      </w:pPr>
      <w:r>
        <w:rPr>
          <w:rFonts w:hint="eastAsia" w:cs="黑体" w:asciiTheme="minorEastAsia" w:hAnsiTheme="minorEastAsia"/>
          <w:sz w:val="28"/>
          <w:szCs w:val="28"/>
        </w:rPr>
        <w:t>五、有关建议</w:t>
      </w:r>
    </w:p>
    <w:p>
      <w:pPr>
        <w:spacing w:line="560" w:lineRule="exact"/>
        <w:ind w:firstLine="560" w:firstLineChars="200"/>
        <w:rPr>
          <w:rFonts w:cs="Times New Roman" w:asciiTheme="minorEastAsia" w:hAnsiTheme="minorEastAsia" w:eastAsiaTheme="minorEastAsia"/>
          <w:kern w:val="28"/>
          <w:sz w:val="28"/>
          <w:szCs w:val="28"/>
        </w:rPr>
      </w:pPr>
      <w:r>
        <w:rPr>
          <w:rFonts w:hint="eastAsia" w:cs="Times New Roman" w:asciiTheme="minorEastAsia" w:hAnsiTheme="minorEastAsia" w:eastAsiaTheme="minorEastAsia"/>
          <w:bCs/>
          <w:kern w:val="28"/>
          <w:sz w:val="28"/>
          <w:szCs w:val="28"/>
        </w:rPr>
        <w:t>一是</w:t>
      </w:r>
      <w:r>
        <w:rPr>
          <w:rFonts w:hint="eastAsia" w:cs="Times New Roman" w:asciiTheme="minorEastAsia" w:hAnsiTheme="minorEastAsia" w:eastAsiaTheme="minorEastAsia"/>
          <w:kern w:val="28"/>
          <w:sz w:val="28"/>
          <w:szCs w:val="28"/>
        </w:rPr>
        <w:t>加强预算管理，将</w:t>
      </w:r>
      <w:r>
        <w:rPr>
          <w:rFonts w:hint="eastAsia" w:asciiTheme="minorEastAsia" w:hAnsiTheme="minorEastAsia" w:eastAsiaTheme="minorEastAsia"/>
          <w:sz w:val="28"/>
          <w:szCs w:val="28"/>
        </w:rPr>
        <w:t>城乡居民保专项资金</w:t>
      </w:r>
      <w:r>
        <w:rPr>
          <w:rFonts w:hint="eastAsia" w:cs="Times New Roman" w:asciiTheme="minorEastAsia" w:hAnsiTheme="minorEastAsia" w:eastAsiaTheme="minorEastAsia"/>
          <w:kern w:val="28"/>
          <w:sz w:val="28"/>
          <w:szCs w:val="28"/>
        </w:rPr>
        <w:t>纳入年初预算，科学合理的编制预算，细化项目支出结构，切实提高</w:t>
      </w:r>
      <w:r>
        <w:rPr>
          <w:rFonts w:hint="eastAsia" w:asciiTheme="minorEastAsia" w:hAnsiTheme="minorEastAsia" w:eastAsiaTheme="minorEastAsia"/>
          <w:sz w:val="28"/>
          <w:szCs w:val="28"/>
        </w:rPr>
        <w:t>资金运用</w:t>
      </w:r>
      <w:r>
        <w:rPr>
          <w:rFonts w:hint="eastAsia" w:cs="Times New Roman" w:asciiTheme="minorEastAsia" w:hAnsiTheme="minorEastAsia" w:eastAsiaTheme="minorEastAsia"/>
          <w:kern w:val="28"/>
          <w:sz w:val="28"/>
          <w:szCs w:val="28"/>
        </w:rPr>
        <w:t>执行效率。</w:t>
      </w:r>
    </w:p>
    <w:p>
      <w:pPr>
        <w:spacing w:line="560" w:lineRule="exact"/>
        <w:ind w:firstLine="560" w:firstLineChars="200"/>
        <w:rPr>
          <w:rFonts w:cs="Times New Roman" w:asciiTheme="minorEastAsia" w:hAnsiTheme="minorEastAsia" w:eastAsiaTheme="minorEastAsia"/>
          <w:kern w:val="28"/>
          <w:sz w:val="28"/>
          <w:szCs w:val="28"/>
        </w:rPr>
      </w:pPr>
      <w:r>
        <w:rPr>
          <w:rFonts w:hint="eastAsia" w:cs="Times New Roman" w:asciiTheme="minorEastAsia" w:hAnsiTheme="minorEastAsia" w:eastAsiaTheme="minorEastAsia"/>
          <w:bCs/>
          <w:kern w:val="28"/>
          <w:sz w:val="28"/>
          <w:szCs w:val="28"/>
        </w:rPr>
        <w:t>二是</w:t>
      </w:r>
      <w:r>
        <w:rPr>
          <w:rFonts w:hint="eastAsia" w:cs="Times New Roman" w:asciiTheme="minorEastAsia" w:hAnsiTheme="minorEastAsia" w:eastAsiaTheme="minorEastAsia"/>
          <w:kern w:val="28"/>
          <w:sz w:val="28"/>
          <w:szCs w:val="28"/>
        </w:rPr>
        <w:t>结合项目实际，完善项目绩效指标设置。在绩效目标基础上细化和量化，设置科学合理的绩效指标，绩效指标应具体化，充分反映项目目标和特点。</w:t>
      </w:r>
    </w:p>
    <w:p>
      <w:pPr>
        <w:spacing w:line="560" w:lineRule="exact"/>
        <w:ind w:firstLine="560" w:firstLineChars="200"/>
        <w:rPr>
          <w:rFonts w:cs="Times New Roman" w:asciiTheme="minorEastAsia" w:hAnsiTheme="minorEastAsia" w:eastAsiaTheme="minorEastAsia"/>
          <w:kern w:val="28"/>
          <w:sz w:val="28"/>
          <w:szCs w:val="28"/>
        </w:rPr>
      </w:pPr>
      <w:r>
        <w:rPr>
          <w:rFonts w:hint="eastAsia" w:cs="Times New Roman" w:asciiTheme="minorEastAsia" w:hAnsiTheme="minorEastAsia" w:eastAsiaTheme="minorEastAsia"/>
          <w:bCs/>
          <w:kern w:val="28"/>
          <w:sz w:val="28"/>
          <w:szCs w:val="28"/>
        </w:rPr>
        <w:t>三是加强政策宣传，针对外出务工人员的流动特点，开展多种渠道宣传政策，确保城乡居民保政策宣传到位。在节假日、春节返乡等重要时间节点，大力开展宣传工作。</w:t>
      </w:r>
    </w:p>
    <w:p>
      <w:pPr>
        <w:ind w:firstLine="562" w:firstLineChars="200"/>
        <w:rPr>
          <w:rFonts w:cs="Times New Roman" w:asciiTheme="minorEastAsia" w:hAnsiTheme="minorEastAsia" w:eastAsiaTheme="minorEastAsia"/>
          <w:b/>
          <w:kern w:val="28"/>
          <w:sz w:val="28"/>
          <w:szCs w:val="28"/>
        </w:rPr>
      </w:pPr>
      <w:r>
        <w:rPr>
          <w:rFonts w:hint="eastAsia" w:cs="Times New Roman" w:asciiTheme="minorEastAsia" w:hAnsiTheme="minorEastAsia" w:eastAsiaTheme="minorEastAsia"/>
          <w:b/>
          <w:kern w:val="28"/>
          <w:sz w:val="28"/>
          <w:szCs w:val="28"/>
        </w:rPr>
        <w:t>六、评价结果综合运用</w:t>
      </w:r>
    </w:p>
    <w:p>
      <w:pPr>
        <w:ind w:firstLine="560" w:firstLineChars="200"/>
        <w:rPr>
          <w:rFonts w:cs="Times New Roman" w:asciiTheme="minorEastAsia" w:hAnsiTheme="minorEastAsia" w:eastAsiaTheme="minorEastAsia"/>
          <w:kern w:val="28"/>
          <w:sz w:val="30"/>
          <w:szCs w:val="30"/>
        </w:rPr>
        <w:sectPr>
          <w:footerReference r:id="rId4" w:type="default"/>
          <w:pgSz w:w="11906" w:h="16838"/>
          <w:pgMar w:top="1440" w:right="1274" w:bottom="1440" w:left="1418" w:header="851" w:footer="992" w:gutter="0"/>
          <w:cols w:space="425" w:num="1"/>
          <w:docGrid w:type="lines" w:linePitch="312" w:charSpace="0"/>
        </w:sectPr>
      </w:pPr>
      <w:r>
        <w:rPr>
          <w:rFonts w:hint="eastAsia" w:cs="Times New Roman" w:asciiTheme="minorEastAsia" w:hAnsiTheme="minorEastAsia" w:eastAsiaTheme="minorEastAsia"/>
          <w:kern w:val="28"/>
          <w:sz w:val="28"/>
          <w:szCs w:val="28"/>
        </w:rPr>
        <w:t>综上所述，2021年度城乡居民保专项资金执行情况良好，总体成效显著。财政资金取得了应有的社会效益，完成了年度总体的目标。建议下一年度部门预算根据城乡居民社会养老保险实际运行情况调增该项目资金预算安排，为城乡居民养老保险基金的正常运转提供有力保障，提高参保人员待遇水平。</w:t>
      </w:r>
    </w:p>
    <w:p>
      <w:pPr>
        <w:pStyle w:val="2"/>
        <w:keepNext w:val="0"/>
        <w:keepLines w:val="0"/>
        <w:spacing w:before="0" w:after="0" w:line="360" w:lineRule="auto"/>
        <w:ind w:firstLine="562" w:firstLineChars="200"/>
        <w:jc w:val="center"/>
        <w:rPr>
          <w:rFonts w:asciiTheme="minorEastAsia" w:hAnsiTheme="minorEastAsia" w:eastAsiaTheme="minorEastAsia"/>
          <w:kern w:val="0"/>
          <w:sz w:val="28"/>
          <w:szCs w:val="28"/>
        </w:rPr>
      </w:pPr>
      <w:bookmarkStart w:id="1" w:name="_Toc14348"/>
      <w:r>
        <w:rPr>
          <w:rFonts w:hint="eastAsia" w:asciiTheme="minorEastAsia" w:hAnsiTheme="minorEastAsia" w:eastAsiaTheme="minorEastAsia"/>
          <w:kern w:val="0"/>
          <w:sz w:val="28"/>
          <w:szCs w:val="28"/>
        </w:rPr>
        <w:t>附表  2021年度城乡居民保专项绩效评价评分表</w:t>
      </w:r>
      <w:bookmarkEnd w:id="1"/>
    </w:p>
    <w:p>
      <w:pPr>
        <w:rPr>
          <w:highlight w:val="yellow"/>
        </w:rPr>
      </w:pPr>
    </w:p>
    <w:tbl>
      <w:tblPr>
        <w:tblStyle w:val="14"/>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701"/>
        <w:gridCol w:w="2268"/>
        <w:gridCol w:w="7088"/>
        <w:gridCol w:w="992"/>
        <w:gridCol w:w="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242" w:type="dxa"/>
            <w:vAlign w:val="center"/>
          </w:tcPr>
          <w:p>
            <w:pPr>
              <w:widowControl/>
              <w:spacing w:line="420" w:lineRule="exact"/>
              <w:jc w:val="center"/>
              <w:rPr>
                <w:rFonts w:asciiTheme="minorEastAsia" w:hAnsiTheme="minorEastAsia" w:eastAsiaTheme="minorEastAsia"/>
                <w:b/>
                <w:bCs/>
                <w:kern w:val="0"/>
              </w:rPr>
            </w:pPr>
            <w:r>
              <w:rPr>
                <w:rFonts w:hint="eastAsia" w:asciiTheme="minorEastAsia" w:hAnsiTheme="minorEastAsia" w:eastAsiaTheme="minorEastAsia"/>
                <w:b/>
                <w:bCs/>
                <w:kern w:val="0"/>
              </w:rPr>
              <w:t>一级指标</w:t>
            </w:r>
          </w:p>
        </w:tc>
        <w:tc>
          <w:tcPr>
            <w:tcW w:w="1701" w:type="dxa"/>
            <w:vAlign w:val="center"/>
          </w:tcPr>
          <w:p>
            <w:pPr>
              <w:widowControl/>
              <w:spacing w:line="420" w:lineRule="exact"/>
              <w:jc w:val="center"/>
              <w:rPr>
                <w:rFonts w:asciiTheme="minorEastAsia" w:hAnsiTheme="minorEastAsia" w:eastAsiaTheme="minorEastAsia"/>
                <w:b/>
                <w:bCs/>
                <w:kern w:val="0"/>
              </w:rPr>
            </w:pPr>
            <w:r>
              <w:rPr>
                <w:rFonts w:hint="eastAsia" w:asciiTheme="minorEastAsia" w:hAnsiTheme="minorEastAsia" w:eastAsiaTheme="minorEastAsia"/>
                <w:b/>
                <w:bCs/>
                <w:kern w:val="0"/>
              </w:rPr>
              <w:t>二级指标</w:t>
            </w:r>
          </w:p>
        </w:tc>
        <w:tc>
          <w:tcPr>
            <w:tcW w:w="2268" w:type="dxa"/>
            <w:vAlign w:val="center"/>
          </w:tcPr>
          <w:p>
            <w:pPr>
              <w:widowControl/>
              <w:spacing w:line="420" w:lineRule="exact"/>
              <w:jc w:val="center"/>
              <w:rPr>
                <w:rFonts w:asciiTheme="minorEastAsia" w:hAnsiTheme="minorEastAsia" w:eastAsiaTheme="minorEastAsia"/>
                <w:b/>
                <w:bCs/>
                <w:kern w:val="0"/>
              </w:rPr>
            </w:pPr>
            <w:r>
              <w:rPr>
                <w:rFonts w:hint="eastAsia" w:asciiTheme="minorEastAsia" w:hAnsiTheme="minorEastAsia" w:eastAsiaTheme="minorEastAsia"/>
                <w:b/>
                <w:bCs/>
                <w:kern w:val="0"/>
              </w:rPr>
              <w:t>三级指标</w:t>
            </w:r>
          </w:p>
        </w:tc>
        <w:tc>
          <w:tcPr>
            <w:tcW w:w="7088" w:type="dxa"/>
            <w:vAlign w:val="center"/>
          </w:tcPr>
          <w:p>
            <w:pPr>
              <w:widowControl/>
              <w:spacing w:line="420" w:lineRule="exact"/>
              <w:jc w:val="center"/>
              <w:rPr>
                <w:rFonts w:asciiTheme="minorEastAsia" w:hAnsiTheme="minorEastAsia" w:eastAsiaTheme="minorEastAsia"/>
                <w:b/>
                <w:bCs/>
                <w:kern w:val="0"/>
              </w:rPr>
            </w:pPr>
            <w:r>
              <w:rPr>
                <w:rFonts w:hint="eastAsia" w:asciiTheme="minorEastAsia" w:hAnsiTheme="minorEastAsia" w:eastAsiaTheme="minorEastAsia"/>
                <w:b/>
                <w:bCs/>
                <w:kern w:val="0"/>
              </w:rPr>
              <w:t>评分标准</w:t>
            </w:r>
          </w:p>
        </w:tc>
        <w:tc>
          <w:tcPr>
            <w:tcW w:w="992" w:type="dxa"/>
            <w:vAlign w:val="center"/>
          </w:tcPr>
          <w:p>
            <w:pPr>
              <w:widowControl/>
              <w:spacing w:line="420" w:lineRule="exact"/>
              <w:jc w:val="center"/>
              <w:rPr>
                <w:rFonts w:asciiTheme="minorEastAsia" w:hAnsiTheme="minorEastAsia" w:eastAsiaTheme="minorEastAsia"/>
                <w:b/>
                <w:bCs/>
                <w:kern w:val="0"/>
              </w:rPr>
            </w:pPr>
            <w:r>
              <w:rPr>
                <w:rFonts w:hint="eastAsia" w:asciiTheme="minorEastAsia" w:hAnsiTheme="minorEastAsia" w:eastAsiaTheme="minorEastAsia"/>
                <w:b/>
                <w:bCs/>
                <w:kern w:val="0"/>
              </w:rPr>
              <w:t>分值</w:t>
            </w:r>
          </w:p>
        </w:tc>
        <w:tc>
          <w:tcPr>
            <w:tcW w:w="927" w:type="dxa"/>
            <w:vAlign w:val="center"/>
          </w:tcPr>
          <w:p>
            <w:pPr>
              <w:spacing w:line="420" w:lineRule="exact"/>
              <w:jc w:val="center"/>
              <w:rPr>
                <w:rFonts w:asciiTheme="minorEastAsia" w:hAnsiTheme="minorEastAsia" w:eastAsiaTheme="minorEastAsia"/>
                <w:b/>
                <w:bCs/>
                <w:kern w:val="0"/>
              </w:rPr>
            </w:pPr>
            <w:r>
              <w:rPr>
                <w:rFonts w:hint="eastAsia" w:asciiTheme="minorEastAsia" w:hAnsiTheme="minorEastAsia" w:eastAsiaTheme="minorEastAsia"/>
                <w:b/>
                <w:bCs/>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1242" w:type="dxa"/>
            <w:vAlign w:val="center"/>
          </w:tcPr>
          <w:p>
            <w:pPr>
              <w:spacing w:line="420" w:lineRule="exact"/>
              <w:jc w:val="center"/>
              <w:rPr>
                <w:rFonts w:asciiTheme="minorEastAsia" w:hAnsiTheme="minorEastAsia" w:eastAsiaTheme="minorEastAsia"/>
                <w:b/>
              </w:rPr>
            </w:pPr>
            <w:r>
              <w:rPr>
                <w:rFonts w:asciiTheme="minorEastAsia" w:hAnsiTheme="minorEastAsia" w:eastAsiaTheme="minorEastAsia"/>
                <w:b/>
              </w:rPr>
              <w:t>投入</w:t>
            </w:r>
          </w:p>
          <w:p>
            <w:pPr>
              <w:spacing w:line="420" w:lineRule="exact"/>
              <w:jc w:val="center"/>
              <w:rPr>
                <w:rFonts w:asciiTheme="minorEastAsia" w:hAnsiTheme="minorEastAsia" w:eastAsiaTheme="minorEastAsia"/>
                <w:b/>
              </w:rPr>
            </w:pPr>
            <w:r>
              <w:rPr>
                <w:rFonts w:hint="eastAsia" w:asciiTheme="minorEastAsia" w:hAnsiTheme="minorEastAsia" w:eastAsiaTheme="minorEastAsia"/>
                <w:b/>
              </w:rPr>
              <w:t>（10分）</w:t>
            </w:r>
          </w:p>
        </w:tc>
        <w:tc>
          <w:tcPr>
            <w:tcW w:w="1701" w:type="dxa"/>
            <w:vAlign w:val="center"/>
          </w:tcPr>
          <w:p>
            <w:pPr>
              <w:spacing w:line="420" w:lineRule="exact"/>
              <w:jc w:val="center"/>
              <w:rPr>
                <w:rFonts w:cs="宋体" w:asciiTheme="minorEastAsia" w:hAnsiTheme="minorEastAsia" w:eastAsiaTheme="minorEastAsia"/>
                <w:b/>
              </w:rPr>
            </w:pPr>
            <w:r>
              <w:rPr>
                <w:rFonts w:hint="eastAsia" w:cs="宋体" w:asciiTheme="minorEastAsia" w:hAnsiTheme="minorEastAsia" w:eastAsiaTheme="minorEastAsia"/>
                <w:b/>
              </w:rPr>
              <w:t>资金落实</w:t>
            </w:r>
          </w:p>
          <w:p>
            <w:pPr>
              <w:spacing w:line="420" w:lineRule="exact"/>
              <w:jc w:val="center"/>
              <w:rPr>
                <w:rFonts w:asciiTheme="minorEastAsia" w:hAnsiTheme="minorEastAsia" w:eastAsiaTheme="minorEastAsia"/>
                <w:b/>
                <w:kern w:val="0"/>
              </w:rPr>
            </w:pPr>
            <w:r>
              <w:rPr>
                <w:rFonts w:hint="eastAsia" w:cs="宋体" w:asciiTheme="minorEastAsia" w:hAnsiTheme="minorEastAsia" w:eastAsiaTheme="minorEastAsia"/>
                <w:b/>
              </w:rPr>
              <w:t>（10分）</w:t>
            </w:r>
          </w:p>
        </w:tc>
        <w:tc>
          <w:tcPr>
            <w:tcW w:w="2268" w:type="dxa"/>
            <w:vAlign w:val="center"/>
          </w:tcPr>
          <w:p>
            <w:pPr>
              <w:pStyle w:val="13"/>
              <w:spacing w:line="42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资金到位率</w:t>
            </w:r>
          </w:p>
        </w:tc>
        <w:tc>
          <w:tcPr>
            <w:tcW w:w="7088" w:type="dxa"/>
            <w:vAlign w:val="center"/>
          </w:tcPr>
          <w:p>
            <w:pPr>
              <w:pStyle w:val="13"/>
              <w:spacing w:line="42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资金到位率=（实际到位资金/计划投入资金）×100%，资金到位率≥95%的得满分，每少5个百分点扣1分，扣完为止。</w:t>
            </w:r>
          </w:p>
        </w:tc>
        <w:tc>
          <w:tcPr>
            <w:tcW w:w="992" w:type="dxa"/>
            <w:vAlign w:val="center"/>
          </w:tcPr>
          <w:p>
            <w:pPr>
              <w:pStyle w:val="13"/>
              <w:spacing w:line="42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w:t>
            </w:r>
          </w:p>
        </w:tc>
        <w:tc>
          <w:tcPr>
            <w:tcW w:w="927" w:type="dxa"/>
            <w:vAlign w:val="center"/>
          </w:tcPr>
          <w:p>
            <w:pPr>
              <w:pStyle w:val="13"/>
              <w:spacing w:line="42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242" w:type="dxa"/>
            <w:vMerge w:val="restart"/>
            <w:vAlign w:val="center"/>
          </w:tcPr>
          <w:p>
            <w:pPr>
              <w:spacing w:line="420" w:lineRule="exact"/>
              <w:jc w:val="center"/>
              <w:rPr>
                <w:rFonts w:asciiTheme="minorEastAsia" w:hAnsiTheme="minorEastAsia" w:eastAsiaTheme="minorEastAsia"/>
                <w:b/>
                <w:bCs/>
                <w:kern w:val="0"/>
              </w:rPr>
            </w:pPr>
            <w:r>
              <w:rPr>
                <w:rFonts w:hint="eastAsia" w:asciiTheme="minorEastAsia" w:hAnsiTheme="minorEastAsia" w:eastAsiaTheme="minorEastAsia"/>
                <w:b/>
                <w:bCs/>
                <w:kern w:val="0"/>
              </w:rPr>
              <w:t>产出</w:t>
            </w:r>
          </w:p>
          <w:p>
            <w:pPr>
              <w:spacing w:line="420" w:lineRule="exact"/>
              <w:jc w:val="center"/>
              <w:rPr>
                <w:rFonts w:asciiTheme="minorEastAsia" w:hAnsiTheme="minorEastAsia" w:eastAsiaTheme="minorEastAsia"/>
                <w:b/>
              </w:rPr>
            </w:pPr>
            <w:r>
              <w:rPr>
                <w:rFonts w:hint="eastAsia" w:asciiTheme="minorEastAsia" w:hAnsiTheme="minorEastAsia" w:eastAsiaTheme="minorEastAsia"/>
                <w:b/>
                <w:bCs/>
                <w:kern w:val="0"/>
              </w:rPr>
              <w:t>（60分）</w:t>
            </w:r>
          </w:p>
        </w:tc>
        <w:tc>
          <w:tcPr>
            <w:tcW w:w="1701" w:type="dxa"/>
            <w:vAlign w:val="center"/>
          </w:tcPr>
          <w:p>
            <w:pPr>
              <w:spacing w:line="420" w:lineRule="exact"/>
              <w:jc w:val="center"/>
              <w:rPr>
                <w:rFonts w:cs="宋体" w:asciiTheme="minorEastAsia" w:hAnsiTheme="minorEastAsia" w:eastAsiaTheme="minorEastAsia"/>
                <w:b/>
              </w:rPr>
            </w:pPr>
            <w:r>
              <w:rPr>
                <w:rFonts w:hint="eastAsia" w:cs="宋体" w:asciiTheme="minorEastAsia" w:hAnsiTheme="minorEastAsia" w:eastAsiaTheme="minorEastAsia"/>
                <w:b/>
              </w:rPr>
              <w:t>数量目标</w:t>
            </w:r>
          </w:p>
          <w:p>
            <w:pPr>
              <w:spacing w:line="420" w:lineRule="exact"/>
              <w:jc w:val="center"/>
              <w:rPr>
                <w:rFonts w:cs="宋体" w:asciiTheme="minorEastAsia" w:hAnsiTheme="minorEastAsia" w:eastAsiaTheme="minorEastAsia"/>
                <w:b/>
              </w:rPr>
            </w:pPr>
            <w:r>
              <w:rPr>
                <w:rFonts w:hint="eastAsia" w:cs="宋体" w:asciiTheme="minorEastAsia" w:hAnsiTheme="minorEastAsia" w:eastAsiaTheme="minorEastAsia"/>
                <w:b/>
              </w:rPr>
              <w:t>（10分）</w:t>
            </w:r>
          </w:p>
        </w:tc>
        <w:tc>
          <w:tcPr>
            <w:tcW w:w="2268" w:type="dxa"/>
            <w:vAlign w:val="center"/>
          </w:tcPr>
          <w:p>
            <w:pPr>
              <w:pStyle w:val="13"/>
              <w:spacing w:line="42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全年综合参保率</w:t>
            </w:r>
          </w:p>
        </w:tc>
        <w:tc>
          <w:tcPr>
            <w:tcW w:w="7088" w:type="dxa"/>
            <w:vAlign w:val="center"/>
          </w:tcPr>
          <w:p>
            <w:pPr>
              <w:pStyle w:val="13"/>
              <w:spacing w:line="42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全年综合参保率=（已参加城乡居民养老保险人员/应参加城乡居民养老保险人员）×100%，全年综合参保率≥95%的得满分，每少5个百分点扣1分，扣完为止。</w:t>
            </w:r>
          </w:p>
        </w:tc>
        <w:tc>
          <w:tcPr>
            <w:tcW w:w="992" w:type="dxa"/>
            <w:vAlign w:val="center"/>
          </w:tcPr>
          <w:p>
            <w:pPr>
              <w:pStyle w:val="13"/>
              <w:spacing w:line="42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w:t>
            </w:r>
          </w:p>
        </w:tc>
        <w:tc>
          <w:tcPr>
            <w:tcW w:w="927" w:type="dxa"/>
            <w:vAlign w:val="center"/>
          </w:tcPr>
          <w:p>
            <w:pPr>
              <w:pStyle w:val="13"/>
              <w:spacing w:line="42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242" w:type="dxa"/>
            <w:vMerge w:val="continue"/>
            <w:vAlign w:val="center"/>
          </w:tcPr>
          <w:p>
            <w:pPr>
              <w:spacing w:line="420" w:lineRule="exact"/>
              <w:jc w:val="center"/>
              <w:rPr>
                <w:rFonts w:asciiTheme="minorEastAsia" w:hAnsiTheme="minorEastAsia" w:eastAsiaTheme="minorEastAsia"/>
                <w:b/>
              </w:rPr>
            </w:pPr>
          </w:p>
        </w:tc>
        <w:tc>
          <w:tcPr>
            <w:tcW w:w="1701" w:type="dxa"/>
            <w:vAlign w:val="center"/>
          </w:tcPr>
          <w:p>
            <w:pPr>
              <w:spacing w:line="420" w:lineRule="exact"/>
              <w:jc w:val="center"/>
              <w:rPr>
                <w:rFonts w:cs="宋体" w:asciiTheme="minorEastAsia" w:hAnsiTheme="minorEastAsia" w:eastAsiaTheme="minorEastAsia"/>
                <w:b/>
              </w:rPr>
            </w:pPr>
            <w:r>
              <w:rPr>
                <w:rFonts w:hint="eastAsia" w:cs="宋体" w:asciiTheme="minorEastAsia" w:hAnsiTheme="minorEastAsia" w:eastAsiaTheme="minorEastAsia"/>
                <w:b/>
              </w:rPr>
              <w:t>质量目标</w:t>
            </w:r>
          </w:p>
          <w:p>
            <w:pPr>
              <w:spacing w:line="420" w:lineRule="exact"/>
              <w:jc w:val="center"/>
              <w:rPr>
                <w:rFonts w:cs="宋体" w:asciiTheme="minorEastAsia" w:hAnsiTheme="minorEastAsia" w:eastAsiaTheme="minorEastAsia"/>
                <w:b/>
              </w:rPr>
            </w:pPr>
            <w:r>
              <w:rPr>
                <w:rFonts w:hint="eastAsia" w:cs="宋体" w:asciiTheme="minorEastAsia" w:hAnsiTheme="minorEastAsia" w:eastAsiaTheme="minorEastAsia"/>
                <w:b/>
              </w:rPr>
              <w:t>（20分）</w:t>
            </w:r>
          </w:p>
        </w:tc>
        <w:tc>
          <w:tcPr>
            <w:tcW w:w="2268" w:type="dxa"/>
            <w:vAlign w:val="center"/>
          </w:tcPr>
          <w:p>
            <w:pPr>
              <w:pStyle w:val="13"/>
              <w:spacing w:line="42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特殊人群享受资金补助覆盖面</w:t>
            </w:r>
          </w:p>
        </w:tc>
        <w:tc>
          <w:tcPr>
            <w:tcW w:w="7088" w:type="dxa"/>
            <w:vAlign w:val="center"/>
          </w:tcPr>
          <w:p>
            <w:pPr>
              <w:pStyle w:val="13"/>
              <w:spacing w:line="42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特殊人群享受资金补助覆盖面=（特殊人群已补贴人数/应补贴人数）×100%，覆盖率≥95%的得满分，每少5个百分点扣1分，扣完为止。</w:t>
            </w:r>
          </w:p>
        </w:tc>
        <w:tc>
          <w:tcPr>
            <w:tcW w:w="992" w:type="dxa"/>
            <w:vAlign w:val="center"/>
          </w:tcPr>
          <w:p>
            <w:pPr>
              <w:pStyle w:val="13"/>
              <w:spacing w:line="42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w:t>
            </w:r>
          </w:p>
        </w:tc>
        <w:tc>
          <w:tcPr>
            <w:tcW w:w="927" w:type="dxa"/>
            <w:vAlign w:val="center"/>
          </w:tcPr>
          <w:p>
            <w:pPr>
              <w:pStyle w:val="13"/>
              <w:spacing w:line="42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242" w:type="dxa"/>
            <w:vMerge w:val="restart"/>
            <w:vAlign w:val="center"/>
          </w:tcPr>
          <w:p>
            <w:pPr>
              <w:spacing w:line="420" w:lineRule="exact"/>
              <w:jc w:val="center"/>
              <w:rPr>
                <w:rFonts w:asciiTheme="minorEastAsia" w:hAnsiTheme="minorEastAsia" w:eastAsiaTheme="minorEastAsia"/>
                <w:b/>
                <w:bCs/>
                <w:kern w:val="0"/>
              </w:rPr>
            </w:pPr>
            <w:r>
              <w:rPr>
                <w:rFonts w:hint="eastAsia" w:asciiTheme="minorEastAsia" w:hAnsiTheme="minorEastAsia" w:eastAsiaTheme="minorEastAsia"/>
                <w:b/>
                <w:bCs/>
                <w:kern w:val="0"/>
              </w:rPr>
              <w:t>产出</w:t>
            </w:r>
          </w:p>
          <w:p>
            <w:pPr>
              <w:spacing w:line="420" w:lineRule="exact"/>
              <w:jc w:val="center"/>
              <w:rPr>
                <w:rFonts w:asciiTheme="minorEastAsia" w:hAnsiTheme="minorEastAsia" w:eastAsiaTheme="minorEastAsia"/>
                <w:b/>
              </w:rPr>
            </w:pPr>
            <w:r>
              <w:rPr>
                <w:rFonts w:hint="eastAsia" w:asciiTheme="minorEastAsia" w:hAnsiTheme="minorEastAsia" w:eastAsiaTheme="minorEastAsia"/>
                <w:b/>
                <w:bCs/>
                <w:kern w:val="0"/>
              </w:rPr>
              <w:t>（60分）</w:t>
            </w:r>
          </w:p>
        </w:tc>
        <w:tc>
          <w:tcPr>
            <w:tcW w:w="1701" w:type="dxa"/>
            <w:vAlign w:val="center"/>
          </w:tcPr>
          <w:p>
            <w:pPr>
              <w:spacing w:line="420" w:lineRule="exact"/>
              <w:jc w:val="center"/>
              <w:rPr>
                <w:rFonts w:cs="宋体" w:asciiTheme="minorEastAsia" w:hAnsiTheme="minorEastAsia" w:eastAsiaTheme="minorEastAsia"/>
                <w:b/>
              </w:rPr>
            </w:pPr>
            <w:r>
              <w:rPr>
                <w:rFonts w:hint="eastAsia" w:cs="宋体" w:asciiTheme="minorEastAsia" w:hAnsiTheme="minorEastAsia" w:eastAsiaTheme="minorEastAsia"/>
                <w:b/>
              </w:rPr>
              <w:t>质量目标</w:t>
            </w:r>
          </w:p>
          <w:p>
            <w:pPr>
              <w:spacing w:line="420" w:lineRule="exact"/>
              <w:jc w:val="center"/>
              <w:rPr>
                <w:rFonts w:cs="宋体" w:asciiTheme="minorEastAsia" w:hAnsiTheme="minorEastAsia" w:eastAsiaTheme="minorEastAsia"/>
                <w:b/>
              </w:rPr>
            </w:pPr>
            <w:r>
              <w:rPr>
                <w:rFonts w:hint="eastAsia" w:cs="宋体" w:asciiTheme="minorEastAsia" w:hAnsiTheme="minorEastAsia" w:eastAsiaTheme="minorEastAsia"/>
                <w:b/>
              </w:rPr>
              <w:t>（20分）</w:t>
            </w:r>
          </w:p>
        </w:tc>
        <w:tc>
          <w:tcPr>
            <w:tcW w:w="2268" w:type="dxa"/>
            <w:vAlign w:val="center"/>
          </w:tcPr>
          <w:p>
            <w:pPr>
              <w:pStyle w:val="13"/>
              <w:spacing w:line="42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缴费补助到位率</w:t>
            </w:r>
          </w:p>
        </w:tc>
        <w:tc>
          <w:tcPr>
            <w:tcW w:w="7088" w:type="dxa"/>
            <w:vAlign w:val="center"/>
          </w:tcPr>
          <w:p>
            <w:pPr>
              <w:pStyle w:val="13"/>
              <w:spacing w:line="42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参保人员缴费补贴到位率=（缴费人员已补贴人数/应补贴人数）×100%，到位率≥98%的得满分，每少5个百分点扣1分，扣完为止。</w:t>
            </w:r>
          </w:p>
        </w:tc>
        <w:tc>
          <w:tcPr>
            <w:tcW w:w="992" w:type="dxa"/>
            <w:vAlign w:val="center"/>
          </w:tcPr>
          <w:p>
            <w:pPr>
              <w:pStyle w:val="13"/>
              <w:spacing w:line="42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w:t>
            </w:r>
          </w:p>
        </w:tc>
        <w:tc>
          <w:tcPr>
            <w:tcW w:w="927" w:type="dxa"/>
            <w:vAlign w:val="center"/>
          </w:tcPr>
          <w:p>
            <w:pPr>
              <w:pStyle w:val="13"/>
              <w:spacing w:line="42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1242" w:type="dxa"/>
            <w:vMerge w:val="continue"/>
            <w:vAlign w:val="center"/>
          </w:tcPr>
          <w:p>
            <w:pPr>
              <w:spacing w:line="420" w:lineRule="exact"/>
              <w:jc w:val="center"/>
              <w:rPr>
                <w:rFonts w:asciiTheme="minorEastAsia" w:hAnsiTheme="minorEastAsia" w:eastAsiaTheme="minorEastAsia"/>
                <w:bCs/>
                <w:kern w:val="0"/>
              </w:rPr>
            </w:pPr>
          </w:p>
        </w:tc>
        <w:tc>
          <w:tcPr>
            <w:tcW w:w="1701" w:type="dxa"/>
            <w:vMerge w:val="restart"/>
            <w:vAlign w:val="center"/>
          </w:tcPr>
          <w:p>
            <w:pPr>
              <w:spacing w:line="420" w:lineRule="exact"/>
              <w:jc w:val="center"/>
              <w:rPr>
                <w:rFonts w:cs="宋体" w:asciiTheme="minorEastAsia" w:hAnsiTheme="minorEastAsia" w:eastAsiaTheme="minorEastAsia"/>
                <w:b/>
              </w:rPr>
            </w:pPr>
            <w:r>
              <w:rPr>
                <w:rFonts w:hint="eastAsia" w:cs="宋体" w:asciiTheme="minorEastAsia" w:hAnsiTheme="minorEastAsia" w:eastAsiaTheme="minorEastAsia"/>
                <w:b/>
              </w:rPr>
              <w:t>成本目标</w:t>
            </w:r>
          </w:p>
          <w:p>
            <w:pPr>
              <w:spacing w:line="420" w:lineRule="exact"/>
              <w:jc w:val="center"/>
              <w:rPr>
                <w:rFonts w:asciiTheme="minorEastAsia" w:hAnsiTheme="minorEastAsia" w:eastAsiaTheme="minorEastAsia"/>
                <w:b/>
                <w:kern w:val="0"/>
              </w:rPr>
            </w:pPr>
            <w:r>
              <w:rPr>
                <w:rFonts w:hint="eastAsia" w:cs="宋体" w:asciiTheme="minorEastAsia" w:hAnsiTheme="minorEastAsia" w:eastAsiaTheme="minorEastAsia"/>
                <w:b/>
              </w:rPr>
              <w:t>（30分）</w:t>
            </w:r>
          </w:p>
        </w:tc>
        <w:tc>
          <w:tcPr>
            <w:tcW w:w="2268" w:type="dxa"/>
            <w:vAlign w:val="center"/>
          </w:tcPr>
          <w:p>
            <w:pPr>
              <w:pStyle w:val="13"/>
              <w:spacing w:line="42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缴费补贴金额</w:t>
            </w:r>
          </w:p>
        </w:tc>
        <w:tc>
          <w:tcPr>
            <w:tcW w:w="7088" w:type="dxa"/>
            <w:vAlign w:val="center"/>
          </w:tcPr>
          <w:p>
            <w:pPr>
              <w:pStyle w:val="13"/>
              <w:spacing w:line="420" w:lineRule="exact"/>
              <w:rPr>
                <w:rFonts w:asciiTheme="minorEastAsia" w:hAnsiTheme="minorEastAsia" w:eastAsiaTheme="minorEastAsia"/>
                <w:sz w:val="21"/>
                <w:szCs w:val="21"/>
              </w:rPr>
            </w:pPr>
            <w:r>
              <w:rPr>
                <w:rFonts w:hint="eastAsia" w:asciiTheme="minorEastAsia" w:hAnsiTheme="minorEastAsia" w:eastAsiaTheme="minorEastAsia"/>
                <w:color w:val="000000"/>
                <w:sz w:val="21"/>
                <w:szCs w:val="21"/>
              </w:rPr>
              <w:t>①是否按照年初预算金额执行</w:t>
            </w:r>
            <w:r>
              <w:rPr>
                <w:rFonts w:hint="eastAsia" w:asciiTheme="minorEastAsia" w:hAnsiTheme="minorEastAsia" w:eastAsiaTheme="minorEastAsia"/>
                <w:sz w:val="21"/>
                <w:szCs w:val="21"/>
              </w:rPr>
              <w:t>，②是否已制定或具有相应的业务管理制度，一项不符合扣一分。</w:t>
            </w:r>
          </w:p>
        </w:tc>
        <w:tc>
          <w:tcPr>
            <w:tcW w:w="992" w:type="dxa"/>
            <w:vAlign w:val="center"/>
          </w:tcPr>
          <w:p>
            <w:pPr>
              <w:pStyle w:val="13"/>
              <w:spacing w:line="42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w:t>
            </w:r>
          </w:p>
        </w:tc>
        <w:tc>
          <w:tcPr>
            <w:tcW w:w="927" w:type="dxa"/>
            <w:vAlign w:val="center"/>
          </w:tcPr>
          <w:p>
            <w:pPr>
              <w:pStyle w:val="13"/>
              <w:spacing w:line="42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1242" w:type="dxa"/>
            <w:vMerge w:val="continue"/>
            <w:vAlign w:val="center"/>
          </w:tcPr>
          <w:p>
            <w:pPr>
              <w:spacing w:line="420" w:lineRule="exact"/>
              <w:jc w:val="center"/>
              <w:rPr>
                <w:rFonts w:asciiTheme="minorEastAsia" w:hAnsiTheme="minorEastAsia" w:eastAsiaTheme="minorEastAsia"/>
                <w:bCs/>
                <w:kern w:val="0"/>
              </w:rPr>
            </w:pPr>
          </w:p>
        </w:tc>
        <w:tc>
          <w:tcPr>
            <w:tcW w:w="1701" w:type="dxa"/>
            <w:vMerge w:val="continue"/>
            <w:vAlign w:val="center"/>
          </w:tcPr>
          <w:p>
            <w:pPr>
              <w:spacing w:line="420" w:lineRule="exact"/>
              <w:jc w:val="center"/>
              <w:rPr>
                <w:rFonts w:asciiTheme="minorEastAsia" w:hAnsiTheme="minorEastAsia" w:eastAsiaTheme="minorEastAsia"/>
                <w:kern w:val="0"/>
              </w:rPr>
            </w:pPr>
          </w:p>
        </w:tc>
        <w:tc>
          <w:tcPr>
            <w:tcW w:w="2268" w:type="dxa"/>
            <w:tcBorders>
              <w:top w:val="single" w:color="auto" w:sz="4" w:space="0"/>
              <w:bottom w:val="single" w:color="auto" w:sz="4" w:space="0"/>
              <w:right w:val="single" w:color="auto" w:sz="4" w:space="0"/>
            </w:tcBorders>
            <w:vAlign w:val="center"/>
          </w:tcPr>
          <w:p>
            <w:pPr>
              <w:pStyle w:val="13"/>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基础养老金金额</w:t>
            </w:r>
          </w:p>
        </w:tc>
        <w:tc>
          <w:tcPr>
            <w:tcW w:w="7088" w:type="dxa"/>
            <w:tcBorders>
              <w:top w:val="single" w:color="auto" w:sz="4" w:space="0"/>
              <w:left w:val="single" w:color="auto" w:sz="4" w:space="0"/>
              <w:bottom w:val="single" w:color="auto" w:sz="4" w:space="0"/>
              <w:right w:val="single" w:color="auto" w:sz="4" w:space="0"/>
            </w:tcBorders>
            <w:vAlign w:val="center"/>
          </w:tcPr>
          <w:p>
            <w:pPr>
              <w:pStyle w:val="13"/>
              <w:spacing w:line="420" w:lineRule="exac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①是否按照年初预算金额执行，②是否已制定或具有相应的业务管理制度，一项不符合扣一分。</w:t>
            </w:r>
          </w:p>
        </w:tc>
        <w:tc>
          <w:tcPr>
            <w:tcW w:w="992" w:type="dxa"/>
            <w:tcBorders>
              <w:top w:val="single" w:color="auto" w:sz="4" w:space="0"/>
              <w:left w:val="single" w:color="auto" w:sz="4" w:space="0"/>
              <w:bottom w:val="single" w:color="auto" w:sz="4" w:space="0"/>
              <w:right w:val="single" w:color="auto" w:sz="4" w:space="0"/>
            </w:tcBorders>
            <w:vAlign w:val="center"/>
          </w:tcPr>
          <w:p>
            <w:pPr>
              <w:pStyle w:val="13"/>
              <w:spacing w:line="42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w:t>
            </w:r>
          </w:p>
        </w:tc>
        <w:tc>
          <w:tcPr>
            <w:tcW w:w="927" w:type="dxa"/>
            <w:tcBorders>
              <w:top w:val="single" w:color="auto" w:sz="4" w:space="0"/>
              <w:left w:val="single" w:color="auto" w:sz="4" w:space="0"/>
              <w:bottom w:val="single" w:color="auto" w:sz="4" w:space="0"/>
              <w:right w:val="single" w:color="auto" w:sz="4" w:space="0"/>
            </w:tcBorders>
            <w:vAlign w:val="center"/>
          </w:tcPr>
          <w:p>
            <w:pPr>
              <w:pStyle w:val="13"/>
              <w:spacing w:line="42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242" w:type="dxa"/>
            <w:vMerge w:val="continue"/>
            <w:tcBorders>
              <w:bottom w:val="single" w:color="auto" w:sz="4" w:space="0"/>
            </w:tcBorders>
            <w:vAlign w:val="center"/>
          </w:tcPr>
          <w:p>
            <w:pPr>
              <w:spacing w:line="420" w:lineRule="exact"/>
              <w:jc w:val="center"/>
              <w:rPr>
                <w:rFonts w:asciiTheme="minorEastAsia" w:hAnsiTheme="minorEastAsia" w:eastAsiaTheme="minorEastAsia"/>
                <w:bCs/>
                <w:kern w:val="0"/>
              </w:rPr>
            </w:pPr>
          </w:p>
        </w:tc>
        <w:tc>
          <w:tcPr>
            <w:tcW w:w="1701" w:type="dxa"/>
            <w:vMerge w:val="continue"/>
            <w:tcBorders>
              <w:bottom w:val="single" w:color="auto" w:sz="4" w:space="0"/>
            </w:tcBorders>
            <w:vAlign w:val="center"/>
          </w:tcPr>
          <w:p>
            <w:pPr>
              <w:spacing w:line="420" w:lineRule="exact"/>
              <w:jc w:val="center"/>
              <w:rPr>
                <w:rFonts w:asciiTheme="minorEastAsia" w:hAnsiTheme="minorEastAsia" w:eastAsiaTheme="minorEastAsia"/>
                <w:kern w:val="0"/>
              </w:rPr>
            </w:pPr>
          </w:p>
        </w:tc>
        <w:tc>
          <w:tcPr>
            <w:tcW w:w="2268" w:type="dxa"/>
            <w:tcBorders>
              <w:top w:val="single" w:color="auto" w:sz="4" w:space="0"/>
              <w:bottom w:val="single" w:color="auto" w:sz="4" w:space="0"/>
              <w:right w:val="single" w:color="auto" w:sz="4" w:space="0"/>
            </w:tcBorders>
            <w:vAlign w:val="center"/>
          </w:tcPr>
          <w:p>
            <w:pPr>
              <w:pStyle w:val="13"/>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丧葬补助金金额</w:t>
            </w:r>
          </w:p>
        </w:tc>
        <w:tc>
          <w:tcPr>
            <w:tcW w:w="7088" w:type="dxa"/>
            <w:tcBorders>
              <w:top w:val="single" w:color="auto" w:sz="4" w:space="0"/>
              <w:left w:val="single" w:color="auto" w:sz="4" w:space="0"/>
              <w:bottom w:val="single" w:color="auto" w:sz="4" w:space="0"/>
              <w:right w:val="single" w:color="auto" w:sz="4" w:space="0"/>
            </w:tcBorders>
            <w:vAlign w:val="center"/>
          </w:tcPr>
          <w:p>
            <w:pPr>
              <w:pStyle w:val="13"/>
              <w:spacing w:line="420" w:lineRule="exac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①是否按照年初预算金额执行，②是否已制定或具有相应的业务管理制度，一项不符合扣一分。</w:t>
            </w:r>
          </w:p>
        </w:tc>
        <w:tc>
          <w:tcPr>
            <w:tcW w:w="992" w:type="dxa"/>
            <w:tcBorders>
              <w:top w:val="single" w:color="auto" w:sz="4" w:space="0"/>
              <w:left w:val="single" w:color="auto" w:sz="4" w:space="0"/>
              <w:bottom w:val="single" w:color="auto" w:sz="4" w:space="0"/>
              <w:right w:val="single" w:color="auto" w:sz="4" w:space="0"/>
            </w:tcBorders>
            <w:vAlign w:val="center"/>
          </w:tcPr>
          <w:p>
            <w:pPr>
              <w:pStyle w:val="13"/>
              <w:spacing w:line="42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w:t>
            </w:r>
          </w:p>
        </w:tc>
        <w:tc>
          <w:tcPr>
            <w:tcW w:w="927" w:type="dxa"/>
            <w:tcBorders>
              <w:top w:val="single" w:color="auto" w:sz="4" w:space="0"/>
              <w:left w:val="single" w:color="auto" w:sz="4" w:space="0"/>
              <w:bottom w:val="single" w:color="auto" w:sz="4" w:space="0"/>
              <w:right w:val="single" w:color="auto" w:sz="4" w:space="0"/>
            </w:tcBorders>
            <w:vAlign w:val="center"/>
          </w:tcPr>
          <w:p>
            <w:pPr>
              <w:pStyle w:val="13"/>
              <w:spacing w:line="42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w:t>
            </w:r>
          </w:p>
        </w:tc>
      </w:tr>
    </w:tbl>
    <w:p>
      <w:pPr>
        <w:spacing w:line="420" w:lineRule="exact"/>
        <w:ind w:right="480"/>
        <w:rPr>
          <w:rFonts w:asciiTheme="minorEastAsia" w:hAnsiTheme="minorEastAsia" w:eastAsiaTheme="minorEastAsia"/>
        </w:rPr>
      </w:pPr>
    </w:p>
    <w:p>
      <w:pPr>
        <w:spacing w:line="420" w:lineRule="exact"/>
        <w:ind w:right="480" w:firstLine="12837" w:firstLineChars="6089"/>
        <w:rPr>
          <w:rFonts w:asciiTheme="minorEastAsia" w:hAnsiTheme="minorEastAsia" w:eastAsiaTheme="minorEastAsia"/>
          <w:b/>
        </w:rPr>
      </w:pPr>
      <w:r>
        <w:rPr>
          <w:rFonts w:hint="eastAsia" w:asciiTheme="minorEastAsia" w:hAnsiTheme="minorEastAsia" w:eastAsiaTheme="minorEastAsia"/>
          <w:b/>
        </w:rPr>
        <w:t>续上表</w:t>
      </w:r>
    </w:p>
    <w:tbl>
      <w:tblPr>
        <w:tblStyle w:val="14"/>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701"/>
        <w:gridCol w:w="2268"/>
        <w:gridCol w:w="7088"/>
        <w:gridCol w:w="992"/>
        <w:gridCol w:w="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242"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Theme="minorEastAsia" w:hAnsiTheme="minorEastAsia" w:eastAsiaTheme="minorEastAsia"/>
                <w:b/>
                <w:bCs/>
                <w:kern w:val="0"/>
              </w:rPr>
            </w:pPr>
            <w:r>
              <w:rPr>
                <w:rFonts w:hint="eastAsia" w:asciiTheme="minorEastAsia" w:hAnsiTheme="minorEastAsia" w:eastAsiaTheme="minorEastAsia"/>
                <w:b/>
                <w:bCs/>
                <w:kern w:val="0"/>
              </w:rPr>
              <w:t>一级指标</w:t>
            </w:r>
          </w:p>
        </w:tc>
        <w:tc>
          <w:tcPr>
            <w:tcW w:w="1701"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Theme="minorEastAsia" w:hAnsiTheme="minorEastAsia" w:eastAsiaTheme="minorEastAsia"/>
                <w:b/>
                <w:kern w:val="0"/>
              </w:rPr>
            </w:pPr>
            <w:r>
              <w:rPr>
                <w:rFonts w:hint="eastAsia" w:asciiTheme="minorEastAsia" w:hAnsiTheme="minorEastAsia" w:eastAsiaTheme="minorEastAsia"/>
                <w:b/>
                <w:kern w:val="0"/>
              </w:rPr>
              <w:t>二级指标</w:t>
            </w:r>
          </w:p>
        </w:tc>
        <w:tc>
          <w:tcPr>
            <w:tcW w:w="2268" w:type="dxa"/>
            <w:tcBorders>
              <w:top w:val="single" w:color="auto" w:sz="4" w:space="0"/>
              <w:left w:val="single" w:color="auto" w:sz="4" w:space="0"/>
              <w:bottom w:val="single" w:color="auto" w:sz="4" w:space="0"/>
              <w:right w:val="single" w:color="auto" w:sz="4" w:space="0"/>
            </w:tcBorders>
            <w:vAlign w:val="center"/>
          </w:tcPr>
          <w:p>
            <w:pPr>
              <w:pStyle w:val="13"/>
              <w:spacing w:line="420" w:lineRule="exac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三级指标</w:t>
            </w:r>
          </w:p>
        </w:tc>
        <w:tc>
          <w:tcPr>
            <w:tcW w:w="7088" w:type="dxa"/>
            <w:tcBorders>
              <w:top w:val="single" w:color="auto" w:sz="4" w:space="0"/>
              <w:left w:val="single" w:color="auto" w:sz="4" w:space="0"/>
              <w:bottom w:val="single" w:color="auto" w:sz="4" w:space="0"/>
              <w:right w:val="single" w:color="auto" w:sz="4" w:space="0"/>
            </w:tcBorders>
            <w:vAlign w:val="center"/>
          </w:tcPr>
          <w:p>
            <w:pPr>
              <w:pStyle w:val="13"/>
              <w:spacing w:line="420" w:lineRule="exact"/>
              <w:jc w:val="center"/>
              <w:rPr>
                <w:rFonts w:asciiTheme="minorEastAsia" w:hAnsiTheme="minorEastAsia" w:eastAsiaTheme="minorEastAsia"/>
                <w:b/>
                <w:color w:val="000000"/>
                <w:sz w:val="21"/>
                <w:szCs w:val="21"/>
              </w:rPr>
            </w:pPr>
            <w:r>
              <w:rPr>
                <w:rFonts w:hint="eastAsia" w:asciiTheme="minorEastAsia" w:hAnsiTheme="minorEastAsia" w:eastAsiaTheme="minorEastAsia"/>
                <w:b/>
                <w:color w:val="000000"/>
                <w:sz w:val="21"/>
                <w:szCs w:val="21"/>
              </w:rPr>
              <w:t>评分标准</w:t>
            </w:r>
          </w:p>
        </w:tc>
        <w:tc>
          <w:tcPr>
            <w:tcW w:w="992" w:type="dxa"/>
            <w:tcBorders>
              <w:top w:val="single" w:color="auto" w:sz="4" w:space="0"/>
              <w:left w:val="single" w:color="auto" w:sz="4" w:space="0"/>
              <w:bottom w:val="single" w:color="auto" w:sz="4" w:space="0"/>
              <w:right w:val="single" w:color="auto" w:sz="4" w:space="0"/>
            </w:tcBorders>
            <w:vAlign w:val="center"/>
          </w:tcPr>
          <w:p>
            <w:pPr>
              <w:pStyle w:val="13"/>
              <w:spacing w:line="420" w:lineRule="exac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分值</w:t>
            </w:r>
          </w:p>
        </w:tc>
        <w:tc>
          <w:tcPr>
            <w:tcW w:w="927" w:type="dxa"/>
            <w:tcBorders>
              <w:top w:val="single" w:color="auto" w:sz="4" w:space="0"/>
              <w:left w:val="single" w:color="auto" w:sz="4" w:space="0"/>
              <w:bottom w:val="single" w:color="auto" w:sz="4" w:space="0"/>
              <w:right w:val="single" w:color="auto" w:sz="4" w:space="0"/>
            </w:tcBorders>
            <w:vAlign w:val="center"/>
          </w:tcPr>
          <w:p>
            <w:pPr>
              <w:pStyle w:val="13"/>
              <w:spacing w:line="420" w:lineRule="exac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1242" w:type="dxa"/>
            <w:vMerge w:val="restart"/>
            <w:vAlign w:val="center"/>
          </w:tcPr>
          <w:p>
            <w:pPr>
              <w:spacing w:line="420" w:lineRule="exact"/>
              <w:jc w:val="center"/>
              <w:rPr>
                <w:rFonts w:asciiTheme="minorEastAsia" w:hAnsiTheme="minorEastAsia" w:eastAsiaTheme="minorEastAsia"/>
                <w:b/>
                <w:bCs/>
                <w:kern w:val="0"/>
              </w:rPr>
            </w:pPr>
            <w:r>
              <w:rPr>
                <w:rFonts w:hint="eastAsia" w:asciiTheme="minorEastAsia" w:hAnsiTheme="minorEastAsia" w:eastAsiaTheme="minorEastAsia"/>
                <w:b/>
                <w:bCs/>
                <w:kern w:val="0"/>
              </w:rPr>
              <w:t>效益</w:t>
            </w:r>
          </w:p>
          <w:p>
            <w:pPr>
              <w:spacing w:line="420" w:lineRule="exact"/>
              <w:jc w:val="center"/>
              <w:rPr>
                <w:rFonts w:asciiTheme="minorEastAsia" w:hAnsiTheme="minorEastAsia" w:eastAsiaTheme="minorEastAsia"/>
                <w:b/>
              </w:rPr>
            </w:pPr>
            <w:r>
              <w:rPr>
                <w:rFonts w:hint="eastAsia" w:asciiTheme="minorEastAsia" w:hAnsiTheme="minorEastAsia" w:eastAsiaTheme="minorEastAsia"/>
                <w:b/>
                <w:bCs/>
                <w:kern w:val="0"/>
              </w:rPr>
              <w:t>（30分）</w:t>
            </w:r>
          </w:p>
        </w:tc>
        <w:tc>
          <w:tcPr>
            <w:tcW w:w="1701" w:type="dxa"/>
            <w:vAlign w:val="center"/>
          </w:tcPr>
          <w:p>
            <w:pPr>
              <w:spacing w:line="420" w:lineRule="exact"/>
              <w:jc w:val="center"/>
              <w:rPr>
                <w:rFonts w:cs="宋体" w:asciiTheme="minorEastAsia" w:hAnsiTheme="minorEastAsia" w:eastAsiaTheme="minorEastAsia"/>
                <w:b/>
              </w:rPr>
            </w:pPr>
            <w:r>
              <w:rPr>
                <w:rFonts w:hint="eastAsia" w:cs="宋体" w:asciiTheme="minorEastAsia" w:hAnsiTheme="minorEastAsia" w:eastAsiaTheme="minorEastAsia"/>
                <w:b/>
              </w:rPr>
              <w:t>经济效益目标</w:t>
            </w:r>
          </w:p>
          <w:p>
            <w:pPr>
              <w:spacing w:line="420" w:lineRule="exact"/>
              <w:jc w:val="center"/>
              <w:rPr>
                <w:rFonts w:cs="宋体" w:asciiTheme="minorEastAsia" w:hAnsiTheme="minorEastAsia" w:eastAsiaTheme="minorEastAsia"/>
                <w:b/>
              </w:rPr>
            </w:pPr>
            <w:r>
              <w:rPr>
                <w:rFonts w:hint="eastAsia" w:cs="宋体" w:asciiTheme="minorEastAsia" w:hAnsiTheme="minorEastAsia" w:eastAsiaTheme="minorEastAsia"/>
                <w:b/>
              </w:rPr>
              <w:t>（10分）</w:t>
            </w:r>
          </w:p>
        </w:tc>
        <w:tc>
          <w:tcPr>
            <w:tcW w:w="2268" w:type="dxa"/>
            <w:vAlign w:val="center"/>
          </w:tcPr>
          <w:p>
            <w:pPr>
              <w:spacing w:line="420" w:lineRule="exact"/>
              <w:jc w:val="center"/>
              <w:rPr>
                <w:rFonts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待遇人员享受养老金覆盖面</w:t>
            </w:r>
          </w:p>
        </w:tc>
        <w:tc>
          <w:tcPr>
            <w:tcW w:w="7088" w:type="dxa"/>
            <w:vAlign w:val="center"/>
          </w:tcPr>
          <w:p>
            <w:pPr>
              <w:spacing w:line="420" w:lineRule="exact"/>
              <w:jc w:val="left"/>
              <w:rPr>
                <w:rFonts w:cs="宋体" w:asciiTheme="minorEastAsia" w:hAnsiTheme="minorEastAsia" w:eastAsiaTheme="minorEastAsia"/>
                <w:color w:val="000000"/>
                <w:kern w:val="0"/>
              </w:rPr>
            </w:pPr>
            <w:r>
              <w:rPr>
                <w:rFonts w:hint="eastAsia" w:asciiTheme="minorEastAsia" w:hAnsiTheme="minorEastAsia" w:eastAsiaTheme="minorEastAsia"/>
              </w:rPr>
              <w:t>待遇人员享受养老金覆盖面=（待遇人员已发放人数/应发放人数）×100%，覆盖率≥98%的得满分，每少5个百分点扣1分，扣完为止。</w:t>
            </w:r>
          </w:p>
        </w:tc>
        <w:tc>
          <w:tcPr>
            <w:tcW w:w="992" w:type="dxa"/>
            <w:vAlign w:val="center"/>
          </w:tcPr>
          <w:p>
            <w:pPr>
              <w:widowControl/>
              <w:spacing w:line="420" w:lineRule="exact"/>
              <w:jc w:val="center"/>
              <w:rPr>
                <w:rFonts w:asciiTheme="minorEastAsia" w:hAnsiTheme="minorEastAsia" w:eastAsiaTheme="minorEastAsia"/>
                <w:bCs/>
                <w:kern w:val="0"/>
              </w:rPr>
            </w:pPr>
            <w:r>
              <w:rPr>
                <w:rFonts w:hint="eastAsia" w:asciiTheme="minorEastAsia" w:hAnsiTheme="minorEastAsia" w:eastAsiaTheme="minorEastAsia"/>
                <w:bCs/>
                <w:kern w:val="0"/>
              </w:rPr>
              <w:t>10</w:t>
            </w:r>
          </w:p>
        </w:tc>
        <w:tc>
          <w:tcPr>
            <w:tcW w:w="927" w:type="dxa"/>
            <w:vAlign w:val="center"/>
          </w:tcPr>
          <w:p>
            <w:pPr>
              <w:widowControl/>
              <w:spacing w:line="420" w:lineRule="exact"/>
              <w:jc w:val="center"/>
              <w:rPr>
                <w:rFonts w:asciiTheme="minorEastAsia" w:hAnsiTheme="minorEastAsia" w:eastAsiaTheme="minorEastAsia"/>
                <w:bCs/>
                <w:kern w:val="0"/>
              </w:rPr>
            </w:pPr>
            <w:r>
              <w:rPr>
                <w:rFonts w:hint="eastAsia" w:asciiTheme="minorEastAsia" w:hAnsiTheme="minorEastAsia" w:eastAsiaTheme="minorEastAsia"/>
                <w:bCs/>
                <w:kern w:val="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1242" w:type="dxa"/>
            <w:vMerge w:val="continue"/>
            <w:vAlign w:val="center"/>
          </w:tcPr>
          <w:p>
            <w:pPr>
              <w:spacing w:line="420" w:lineRule="exact"/>
              <w:jc w:val="center"/>
              <w:rPr>
                <w:rFonts w:asciiTheme="minorEastAsia" w:hAnsiTheme="minorEastAsia" w:eastAsiaTheme="minorEastAsia"/>
                <w:b/>
                <w:bCs/>
                <w:kern w:val="0"/>
              </w:rPr>
            </w:pPr>
          </w:p>
        </w:tc>
        <w:tc>
          <w:tcPr>
            <w:tcW w:w="1701" w:type="dxa"/>
            <w:vAlign w:val="center"/>
          </w:tcPr>
          <w:p>
            <w:pPr>
              <w:spacing w:line="420" w:lineRule="exact"/>
              <w:jc w:val="center"/>
              <w:rPr>
                <w:rFonts w:asciiTheme="minorEastAsia" w:hAnsiTheme="minorEastAsia" w:eastAsiaTheme="minorEastAsia"/>
                <w:b/>
              </w:rPr>
            </w:pPr>
            <w:r>
              <w:rPr>
                <w:rFonts w:hint="eastAsia" w:asciiTheme="minorEastAsia" w:hAnsiTheme="minorEastAsia" w:eastAsiaTheme="minorEastAsia"/>
                <w:b/>
              </w:rPr>
              <w:t>社会效益目标</w:t>
            </w:r>
          </w:p>
          <w:p>
            <w:pPr>
              <w:spacing w:line="420" w:lineRule="exact"/>
              <w:jc w:val="center"/>
              <w:rPr>
                <w:rFonts w:asciiTheme="minorEastAsia" w:hAnsiTheme="minorEastAsia" w:eastAsiaTheme="minorEastAsia"/>
                <w:b/>
              </w:rPr>
            </w:pPr>
            <w:r>
              <w:rPr>
                <w:rFonts w:hint="eastAsia" w:asciiTheme="minorEastAsia" w:hAnsiTheme="minorEastAsia" w:eastAsiaTheme="minorEastAsia"/>
                <w:b/>
              </w:rPr>
              <w:t>（10分）</w:t>
            </w:r>
          </w:p>
        </w:tc>
        <w:tc>
          <w:tcPr>
            <w:tcW w:w="2268" w:type="dxa"/>
            <w:vAlign w:val="center"/>
          </w:tcPr>
          <w:p>
            <w:pPr>
              <w:widowControl/>
              <w:spacing w:line="420" w:lineRule="exact"/>
              <w:jc w:val="center"/>
              <w:rPr>
                <w:rFonts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待遇人员发放养老金成功率</w:t>
            </w:r>
          </w:p>
        </w:tc>
        <w:tc>
          <w:tcPr>
            <w:tcW w:w="7088" w:type="dxa"/>
            <w:vAlign w:val="center"/>
          </w:tcPr>
          <w:p>
            <w:pPr>
              <w:widowControl/>
              <w:spacing w:line="420" w:lineRule="exact"/>
              <w:jc w:val="left"/>
              <w:rPr>
                <w:rFonts w:cs="宋体" w:asciiTheme="minorEastAsia" w:hAnsiTheme="minorEastAsia" w:eastAsiaTheme="minorEastAsia"/>
                <w:color w:val="000000"/>
                <w:kern w:val="0"/>
              </w:rPr>
            </w:pPr>
            <w:r>
              <w:rPr>
                <w:rFonts w:hint="eastAsia" w:asciiTheme="minorEastAsia" w:hAnsiTheme="minorEastAsia" w:eastAsiaTheme="minorEastAsia"/>
              </w:rPr>
              <w:t>待遇人员发放养老金成功率=（待遇人员已发放人数/应发放人数）×100%，成功率≥98%的得满分，每少5个百分点扣1分，扣完为止。</w:t>
            </w:r>
          </w:p>
        </w:tc>
        <w:tc>
          <w:tcPr>
            <w:tcW w:w="992" w:type="dxa"/>
            <w:vAlign w:val="center"/>
          </w:tcPr>
          <w:p>
            <w:pPr>
              <w:spacing w:line="420" w:lineRule="exact"/>
              <w:jc w:val="center"/>
              <w:rPr>
                <w:rFonts w:asciiTheme="minorEastAsia" w:hAnsiTheme="minorEastAsia" w:eastAsiaTheme="minorEastAsia"/>
                <w:bCs/>
                <w:kern w:val="0"/>
              </w:rPr>
            </w:pPr>
            <w:r>
              <w:rPr>
                <w:rFonts w:hint="eastAsia" w:asciiTheme="minorEastAsia" w:hAnsiTheme="minorEastAsia" w:eastAsiaTheme="minorEastAsia"/>
                <w:bCs/>
                <w:kern w:val="0"/>
              </w:rPr>
              <w:t>10</w:t>
            </w:r>
          </w:p>
        </w:tc>
        <w:tc>
          <w:tcPr>
            <w:tcW w:w="927" w:type="dxa"/>
            <w:vAlign w:val="center"/>
          </w:tcPr>
          <w:p>
            <w:pPr>
              <w:spacing w:line="420" w:lineRule="exact"/>
              <w:jc w:val="center"/>
              <w:rPr>
                <w:rFonts w:asciiTheme="minorEastAsia" w:hAnsiTheme="minorEastAsia" w:eastAsiaTheme="minorEastAsia"/>
                <w:bCs/>
                <w:kern w:val="0"/>
              </w:rPr>
            </w:pPr>
            <w:r>
              <w:rPr>
                <w:rFonts w:hint="eastAsia" w:asciiTheme="minorEastAsia" w:hAnsiTheme="minorEastAsia" w:eastAsiaTheme="minorEastAsia"/>
                <w:bCs/>
                <w:kern w:val="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trPr>
        <w:tc>
          <w:tcPr>
            <w:tcW w:w="1242" w:type="dxa"/>
            <w:vMerge w:val="continue"/>
            <w:vAlign w:val="center"/>
          </w:tcPr>
          <w:p>
            <w:pPr>
              <w:spacing w:line="420" w:lineRule="exact"/>
              <w:jc w:val="center"/>
              <w:rPr>
                <w:rFonts w:asciiTheme="minorEastAsia" w:hAnsiTheme="minorEastAsia" w:eastAsiaTheme="minorEastAsia"/>
                <w:bCs/>
                <w:kern w:val="0"/>
              </w:rPr>
            </w:pPr>
          </w:p>
        </w:tc>
        <w:tc>
          <w:tcPr>
            <w:tcW w:w="1701" w:type="dxa"/>
            <w:vAlign w:val="center"/>
          </w:tcPr>
          <w:p>
            <w:pPr>
              <w:spacing w:line="420" w:lineRule="exact"/>
              <w:jc w:val="center"/>
              <w:rPr>
                <w:rFonts w:cs="宋体" w:asciiTheme="minorEastAsia" w:hAnsiTheme="minorEastAsia" w:eastAsiaTheme="minorEastAsia"/>
                <w:b/>
              </w:rPr>
            </w:pPr>
            <w:r>
              <w:rPr>
                <w:rFonts w:hint="eastAsia" w:cs="宋体" w:asciiTheme="minorEastAsia" w:hAnsiTheme="minorEastAsia" w:eastAsiaTheme="minorEastAsia"/>
                <w:b/>
              </w:rPr>
              <w:t>服务对象满意度</w:t>
            </w:r>
          </w:p>
          <w:p>
            <w:pPr>
              <w:spacing w:line="420" w:lineRule="exact"/>
              <w:jc w:val="center"/>
              <w:rPr>
                <w:rFonts w:cs="宋体" w:asciiTheme="minorEastAsia" w:hAnsiTheme="minorEastAsia" w:eastAsiaTheme="minorEastAsia"/>
                <w:b/>
              </w:rPr>
            </w:pPr>
            <w:r>
              <w:rPr>
                <w:rFonts w:hint="eastAsia" w:cs="宋体" w:asciiTheme="minorEastAsia" w:hAnsiTheme="minorEastAsia" w:eastAsiaTheme="minorEastAsia"/>
                <w:b/>
              </w:rPr>
              <w:t>（10分）</w:t>
            </w:r>
          </w:p>
        </w:tc>
        <w:tc>
          <w:tcPr>
            <w:tcW w:w="2268" w:type="dxa"/>
            <w:vAlign w:val="center"/>
          </w:tcPr>
          <w:p>
            <w:pPr>
              <w:spacing w:line="420" w:lineRule="exact"/>
              <w:jc w:val="center"/>
              <w:rPr>
                <w:rFonts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目标群体满意度</w:t>
            </w:r>
          </w:p>
        </w:tc>
        <w:tc>
          <w:tcPr>
            <w:tcW w:w="7088" w:type="dxa"/>
            <w:vAlign w:val="center"/>
          </w:tcPr>
          <w:p>
            <w:pPr>
              <w:pStyle w:val="13"/>
              <w:spacing w:line="42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满意度=（调查人数中满意人数/调查总人数）×100%，满意度≥98％及以上得满分，少10百分点扣1分，扣完为止。</w:t>
            </w:r>
          </w:p>
        </w:tc>
        <w:tc>
          <w:tcPr>
            <w:tcW w:w="992" w:type="dxa"/>
            <w:vAlign w:val="center"/>
          </w:tcPr>
          <w:p>
            <w:pPr>
              <w:widowControl/>
              <w:spacing w:line="420" w:lineRule="exact"/>
              <w:jc w:val="center"/>
              <w:rPr>
                <w:rFonts w:asciiTheme="minorEastAsia" w:hAnsiTheme="minorEastAsia" w:eastAsiaTheme="minorEastAsia"/>
                <w:bCs/>
                <w:kern w:val="0"/>
              </w:rPr>
            </w:pPr>
            <w:r>
              <w:rPr>
                <w:rFonts w:hint="eastAsia" w:asciiTheme="minorEastAsia" w:hAnsiTheme="minorEastAsia" w:eastAsiaTheme="minorEastAsia"/>
                <w:bCs/>
                <w:kern w:val="0"/>
              </w:rPr>
              <w:t>10</w:t>
            </w:r>
          </w:p>
        </w:tc>
        <w:tc>
          <w:tcPr>
            <w:tcW w:w="927" w:type="dxa"/>
            <w:vAlign w:val="center"/>
          </w:tcPr>
          <w:p>
            <w:pPr>
              <w:widowControl/>
              <w:spacing w:line="420" w:lineRule="exact"/>
              <w:jc w:val="center"/>
              <w:rPr>
                <w:rFonts w:asciiTheme="minorEastAsia" w:hAnsiTheme="minorEastAsia" w:eastAsiaTheme="minorEastAsia"/>
                <w:bCs/>
                <w:kern w:val="0"/>
              </w:rPr>
            </w:pPr>
            <w:r>
              <w:rPr>
                <w:rFonts w:hint="eastAsia" w:asciiTheme="minorEastAsia" w:hAnsiTheme="minorEastAsia" w:eastAsiaTheme="minorEastAsia"/>
                <w:bCs/>
                <w:kern w:val="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2299" w:type="dxa"/>
            <w:gridSpan w:val="4"/>
            <w:vAlign w:val="center"/>
          </w:tcPr>
          <w:p>
            <w:pPr>
              <w:spacing w:line="420" w:lineRule="exact"/>
              <w:jc w:val="center"/>
              <w:rPr>
                <w:rFonts w:cs="宋体" w:asciiTheme="minorEastAsia" w:hAnsiTheme="minorEastAsia" w:eastAsiaTheme="minorEastAsia"/>
                <w:b/>
                <w:color w:val="000000"/>
                <w:kern w:val="0"/>
              </w:rPr>
            </w:pPr>
            <w:r>
              <w:rPr>
                <w:rFonts w:hint="eastAsia" w:asciiTheme="minorEastAsia" w:hAnsiTheme="minorEastAsia" w:eastAsiaTheme="minorEastAsia"/>
                <w:b/>
              </w:rPr>
              <w:t>总分值、评价总分（100分）</w:t>
            </w:r>
          </w:p>
        </w:tc>
        <w:tc>
          <w:tcPr>
            <w:tcW w:w="992" w:type="dxa"/>
            <w:vAlign w:val="center"/>
          </w:tcPr>
          <w:p>
            <w:pPr>
              <w:widowControl/>
              <w:spacing w:line="420" w:lineRule="exact"/>
              <w:jc w:val="center"/>
              <w:rPr>
                <w:rFonts w:asciiTheme="minorEastAsia" w:hAnsiTheme="minorEastAsia" w:eastAsiaTheme="minorEastAsia"/>
                <w:bCs/>
                <w:kern w:val="0"/>
              </w:rPr>
            </w:pPr>
            <w:r>
              <w:rPr>
                <w:rFonts w:hint="eastAsia" w:asciiTheme="minorEastAsia" w:hAnsiTheme="minorEastAsia" w:eastAsiaTheme="minorEastAsia"/>
                <w:bCs/>
                <w:kern w:val="0"/>
              </w:rPr>
              <w:t>100</w:t>
            </w:r>
          </w:p>
        </w:tc>
        <w:tc>
          <w:tcPr>
            <w:tcW w:w="927" w:type="dxa"/>
            <w:vAlign w:val="center"/>
          </w:tcPr>
          <w:p>
            <w:pPr>
              <w:widowControl/>
              <w:spacing w:line="420" w:lineRule="exact"/>
              <w:jc w:val="center"/>
              <w:rPr>
                <w:rFonts w:asciiTheme="minorEastAsia" w:hAnsiTheme="minorEastAsia" w:eastAsiaTheme="minorEastAsia"/>
                <w:bCs/>
                <w:color w:val="000000" w:themeColor="text1"/>
                <w:kern w:val="0"/>
              </w:rPr>
            </w:pPr>
            <w:r>
              <w:rPr>
                <w:rFonts w:hint="eastAsia" w:asciiTheme="minorEastAsia" w:hAnsiTheme="minorEastAsia" w:eastAsiaTheme="minorEastAsia"/>
                <w:bCs/>
                <w:kern w:val="0"/>
              </w:rPr>
              <w:t>100</w:t>
            </w:r>
          </w:p>
        </w:tc>
      </w:tr>
    </w:tbl>
    <w:p>
      <w:pPr>
        <w:spacing w:line="540" w:lineRule="exact"/>
        <w:jc w:val="right"/>
        <w:rPr>
          <w:rFonts w:ascii="仿宋_GB2312" w:eastAsia="仿宋_GB2312"/>
          <w:sz w:val="24"/>
          <w:szCs w:val="24"/>
        </w:rPr>
      </w:pPr>
    </w:p>
    <w:p>
      <w:pPr>
        <w:spacing w:line="540" w:lineRule="exact"/>
        <w:jc w:val="right"/>
        <w:rPr>
          <w:rFonts w:ascii="仿宋_GB2312" w:eastAsia="仿宋_GB2312"/>
          <w:sz w:val="24"/>
          <w:szCs w:val="24"/>
        </w:rPr>
      </w:pPr>
    </w:p>
    <w:p>
      <w:pPr>
        <w:spacing w:line="540" w:lineRule="exact"/>
        <w:rPr>
          <w:rFonts w:ascii="仿宋_GB2312" w:eastAsia="仿宋_GB2312" w:cs="Times New Roman"/>
          <w:sz w:val="24"/>
          <w:szCs w:val="24"/>
        </w:rPr>
      </w:pPr>
    </w:p>
    <w:sectPr>
      <w:pgSz w:w="16838" w:h="11906" w:orient="landscape"/>
      <w:pgMar w:top="1135" w:right="1440" w:bottom="127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cs="Times New Roman"/>
      </w:rPr>
    </w:pPr>
  </w:p>
  <w:p>
    <w:pPr>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a:effectLst/>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4.6pt;mso-position-horizontal:inside;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O9sZGvRAAAAAgEAAA8AAAAAAAAA&#10;AQAgAAAAIgAAAGRycy9kb3ducmV2LnhtbFBLAQIUABQAAAAIAIdO4kCxoYBBGAIAABIEAAAOAAAA&#10;AAAAAAEAIAAAACABAABkcnMvZTJvRG9jLnhtbFBLBQYAAAAABgAGAFkBAACqBQAAAAA=&#10;">
              <v:fill on="f" focussize="0,0"/>
              <v:stroke on="f" weight="0.5pt"/>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799"/>
    <w:rsid w:val="000060B6"/>
    <w:rsid w:val="000110F8"/>
    <w:rsid w:val="00011796"/>
    <w:rsid w:val="000235CE"/>
    <w:rsid w:val="00023A5A"/>
    <w:rsid w:val="00024D3F"/>
    <w:rsid w:val="00027753"/>
    <w:rsid w:val="0003720B"/>
    <w:rsid w:val="00040C55"/>
    <w:rsid w:val="0004166F"/>
    <w:rsid w:val="000421C8"/>
    <w:rsid w:val="00046511"/>
    <w:rsid w:val="0004782D"/>
    <w:rsid w:val="0005057F"/>
    <w:rsid w:val="00056BDD"/>
    <w:rsid w:val="00057CE5"/>
    <w:rsid w:val="000621FE"/>
    <w:rsid w:val="000632B7"/>
    <w:rsid w:val="000664E2"/>
    <w:rsid w:val="000729B2"/>
    <w:rsid w:val="00075E15"/>
    <w:rsid w:val="000809BF"/>
    <w:rsid w:val="000817E5"/>
    <w:rsid w:val="00083935"/>
    <w:rsid w:val="000873E5"/>
    <w:rsid w:val="00087F2C"/>
    <w:rsid w:val="00090C6A"/>
    <w:rsid w:val="00091F10"/>
    <w:rsid w:val="00094DFD"/>
    <w:rsid w:val="000973A5"/>
    <w:rsid w:val="000977BF"/>
    <w:rsid w:val="000A07E5"/>
    <w:rsid w:val="000A1B4D"/>
    <w:rsid w:val="000A2445"/>
    <w:rsid w:val="000A43B8"/>
    <w:rsid w:val="000B15A7"/>
    <w:rsid w:val="000B56DA"/>
    <w:rsid w:val="000C1D72"/>
    <w:rsid w:val="000C251B"/>
    <w:rsid w:val="000C4AFC"/>
    <w:rsid w:val="000C5377"/>
    <w:rsid w:val="000D73FB"/>
    <w:rsid w:val="000E05E5"/>
    <w:rsid w:val="000E0684"/>
    <w:rsid w:val="000E23D3"/>
    <w:rsid w:val="000E4387"/>
    <w:rsid w:val="000F3FC3"/>
    <w:rsid w:val="001166A7"/>
    <w:rsid w:val="00120746"/>
    <w:rsid w:val="001234EA"/>
    <w:rsid w:val="00126552"/>
    <w:rsid w:val="00126D25"/>
    <w:rsid w:val="00131897"/>
    <w:rsid w:val="001330A6"/>
    <w:rsid w:val="0013366D"/>
    <w:rsid w:val="0014381E"/>
    <w:rsid w:val="00145C38"/>
    <w:rsid w:val="00146FDC"/>
    <w:rsid w:val="00156513"/>
    <w:rsid w:val="00156B87"/>
    <w:rsid w:val="001643A4"/>
    <w:rsid w:val="00164D64"/>
    <w:rsid w:val="00166714"/>
    <w:rsid w:val="0016739D"/>
    <w:rsid w:val="00167BBA"/>
    <w:rsid w:val="00171EB0"/>
    <w:rsid w:val="00182208"/>
    <w:rsid w:val="00185190"/>
    <w:rsid w:val="0019051D"/>
    <w:rsid w:val="00192DCF"/>
    <w:rsid w:val="00197176"/>
    <w:rsid w:val="00197EC2"/>
    <w:rsid w:val="001A22D3"/>
    <w:rsid w:val="001A3799"/>
    <w:rsid w:val="001A39E2"/>
    <w:rsid w:val="001A5E2B"/>
    <w:rsid w:val="001B0B57"/>
    <w:rsid w:val="001C05FF"/>
    <w:rsid w:val="001C18CD"/>
    <w:rsid w:val="001C1E9F"/>
    <w:rsid w:val="001C2F37"/>
    <w:rsid w:val="001C35C2"/>
    <w:rsid w:val="001C545E"/>
    <w:rsid w:val="001D1F15"/>
    <w:rsid w:val="001D1FB9"/>
    <w:rsid w:val="001D40E3"/>
    <w:rsid w:val="001D730E"/>
    <w:rsid w:val="001E112F"/>
    <w:rsid w:val="001E5858"/>
    <w:rsid w:val="001E73D1"/>
    <w:rsid w:val="001F16FE"/>
    <w:rsid w:val="001F7BF6"/>
    <w:rsid w:val="002078BE"/>
    <w:rsid w:val="00212BB9"/>
    <w:rsid w:val="00215E44"/>
    <w:rsid w:val="00216733"/>
    <w:rsid w:val="00220FCE"/>
    <w:rsid w:val="00221A3E"/>
    <w:rsid w:val="00222AF3"/>
    <w:rsid w:val="00227C81"/>
    <w:rsid w:val="00232CC6"/>
    <w:rsid w:val="0023430F"/>
    <w:rsid w:val="00234579"/>
    <w:rsid w:val="00234D82"/>
    <w:rsid w:val="00235B3D"/>
    <w:rsid w:val="002443FB"/>
    <w:rsid w:val="00251D9E"/>
    <w:rsid w:val="00253A63"/>
    <w:rsid w:val="00263BC2"/>
    <w:rsid w:val="002710C3"/>
    <w:rsid w:val="002761A7"/>
    <w:rsid w:val="00280F0C"/>
    <w:rsid w:val="0028230E"/>
    <w:rsid w:val="00286BBC"/>
    <w:rsid w:val="00286D38"/>
    <w:rsid w:val="00287DB6"/>
    <w:rsid w:val="0029120D"/>
    <w:rsid w:val="00294B5F"/>
    <w:rsid w:val="002A2248"/>
    <w:rsid w:val="002A29F3"/>
    <w:rsid w:val="002A483C"/>
    <w:rsid w:val="002B2430"/>
    <w:rsid w:val="002B4F2F"/>
    <w:rsid w:val="002C7E82"/>
    <w:rsid w:val="002D1246"/>
    <w:rsid w:val="002D2634"/>
    <w:rsid w:val="002E0082"/>
    <w:rsid w:val="002E0646"/>
    <w:rsid w:val="002E170A"/>
    <w:rsid w:val="002E2AC6"/>
    <w:rsid w:val="002F4D90"/>
    <w:rsid w:val="002F6C1C"/>
    <w:rsid w:val="003025D5"/>
    <w:rsid w:val="003026A3"/>
    <w:rsid w:val="00306C27"/>
    <w:rsid w:val="00311E24"/>
    <w:rsid w:val="003144BD"/>
    <w:rsid w:val="003168EE"/>
    <w:rsid w:val="00322182"/>
    <w:rsid w:val="00344E7C"/>
    <w:rsid w:val="00352329"/>
    <w:rsid w:val="0036149A"/>
    <w:rsid w:val="003624E6"/>
    <w:rsid w:val="00364992"/>
    <w:rsid w:val="00365C6D"/>
    <w:rsid w:val="00366E38"/>
    <w:rsid w:val="00373D1F"/>
    <w:rsid w:val="00376155"/>
    <w:rsid w:val="00383A35"/>
    <w:rsid w:val="00391187"/>
    <w:rsid w:val="00391C91"/>
    <w:rsid w:val="003A448E"/>
    <w:rsid w:val="003A6E21"/>
    <w:rsid w:val="003A7C44"/>
    <w:rsid w:val="003B4ED6"/>
    <w:rsid w:val="003B68DF"/>
    <w:rsid w:val="003C4302"/>
    <w:rsid w:val="003C481B"/>
    <w:rsid w:val="003D019C"/>
    <w:rsid w:val="003D3D63"/>
    <w:rsid w:val="003E2753"/>
    <w:rsid w:val="003E5EA3"/>
    <w:rsid w:val="003E6FD2"/>
    <w:rsid w:val="003F4818"/>
    <w:rsid w:val="003F4EEF"/>
    <w:rsid w:val="003F727C"/>
    <w:rsid w:val="00402F25"/>
    <w:rsid w:val="004047B2"/>
    <w:rsid w:val="004103FC"/>
    <w:rsid w:val="004127D6"/>
    <w:rsid w:val="00413998"/>
    <w:rsid w:val="00422456"/>
    <w:rsid w:val="004225FC"/>
    <w:rsid w:val="004270FB"/>
    <w:rsid w:val="00430AAA"/>
    <w:rsid w:val="00430B6E"/>
    <w:rsid w:val="00431EF0"/>
    <w:rsid w:val="00433956"/>
    <w:rsid w:val="004349D9"/>
    <w:rsid w:val="00435C94"/>
    <w:rsid w:val="0044766A"/>
    <w:rsid w:val="0045149C"/>
    <w:rsid w:val="004562AF"/>
    <w:rsid w:val="004577B5"/>
    <w:rsid w:val="004631DA"/>
    <w:rsid w:val="004713A2"/>
    <w:rsid w:val="0048598B"/>
    <w:rsid w:val="004A3FB1"/>
    <w:rsid w:val="004B068D"/>
    <w:rsid w:val="004B3A6F"/>
    <w:rsid w:val="004B43A5"/>
    <w:rsid w:val="004B5D21"/>
    <w:rsid w:val="004C6635"/>
    <w:rsid w:val="004D7368"/>
    <w:rsid w:val="004D7D2C"/>
    <w:rsid w:val="004E6273"/>
    <w:rsid w:val="004E7E16"/>
    <w:rsid w:val="004F4DA7"/>
    <w:rsid w:val="005018D5"/>
    <w:rsid w:val="005027EB"/>
    <w:rsid w:val="0050383B"/>
    <w:rsid w:val="00506BED"/>
    <w:rsid w:val="00510292"/>
    <w:rsid w:val="0051589D"/>
    <w:rsid w:val="005220B6"/>
    <w:rsid w:val="00522406"/>
    <w:rsid w:val="005233C8"/>
    <w:rsid w:val="005266DE"/>
    <w:rsid w:val="0053139F"/>
    <w:rsid w:val="005315BD"/>
    <w:rsid w:val="00532AE1"/>
    <w:rsid w:val="00533B37"/>
    <w:rsid w:val="00534894"/>
    <w:rsid w:val="0053647F"/>
    <w:rsid w:val="005401DE"/>
    <w:rsid w:val="0054293C"/>
    <w:rsid w:val="00546671"/>
    <w:rsid w:val="00557637"/>
    <w:rsid w:val="00562D17"/>
    <w:rsid w:val="0056355D"/>
    <w:rsid w:val="005753AF"/>
    <w:rsid w:val="005761FB"/>
    <w:rsid w:val="00582FA9"/>
    <w:rsid w:val="0058439A"/>
    <w:rsid w:val="00586BDF"/>
    <w:rsid w:val="00597C29"/>
    <w:rsid w:val="005A1EF2"/>
    <w:rsid w:val="005A42EE"/>
    <w:rsid w:val="005B3B21"/>
    <w:rsid w:val="005B63CC"/>
    <w:rsid w:val="005B7A69"/>
    <w:rsid w:val="005C2F40"/>
    <w:rsid w:val="005C3F4C"/>
    <w:rsid w:val="005C4782"/>
    <w:rsid w:val="005C518A"/>
    <w:rsid w:val="005C7677"/>
    <w:rsid w:val="005C79DC"/>
    <w:rsid w:val="005D3B52"/>
    <w:rsid w:val="005D583B"/>
    <w:rsid w:val="005E2DC5"/>
    <w:rsid w:val="005E635E"/>
    <w:rsid w:val="005F1640"/>
    <w:rsid w:val="005F198B"/>
    <w:rsid w:val="005F2A96"/>
    <w:rsid w:val="005F3AE3"/>
    <w:rsid w:val="005F593F"/>
    <w:rsid w:val="00605B88"/>
    <w:rsid w:val="0060665C"/>
    <w:rsid w:val="006205BF"/>
    <w:rsid w:val="00620C89"/>
    <w:rsid w:val="0062285D"/>
    <w:rsid w:val="00622BB2"/>
    <w:rsid w:val="00631435"/>
    <w:rsid w:val="006402C2"/>
    <w:rsid w:val="006409B0"/>
    <w:rsid w:val="00641200"/>
    <w:rsid w:val="00663C00"/>
    <w:rsid w:val="00665686"/>
    <w:rsid w:val="00665FF8"/>
    <w:rsid w:val="00666F45"/>
    <w:rsid w:val="006678FD"/>
    <w:rsid w:val="0067148A"/>
    <w:rsid w:val="00676E6E"/>
    <w:rsid w:val="00681526"/>
    <w:rsid w:val="00683613"/>
    <w:rsid w:val="00687A9A"/>
    <w:rsid w:val="00694A03"/>
    <w:rsid w:val="0069690F"/>
    <w:rsid w:val="006970C8"/>
    <w:rsid w:val="006A3E16"/>
    <w:rsid w:val="006B20F2"/>
    <w:rsid w:val="006B2771"/>
    <w:rsid w:val="006C1C7C"/>
    <w:rsid w:val="006C4BE7"/>
    <w:rsid w:val="006C5819"/>
    <w:rsid w:val="006D01F1"/>
    <w:rsid w:val="006E0B2A"/>
    <w:rsid w:val="006E5822"/>
    <w:rsid w:val="006E6BF5"/>
    <w:rsid w:val="006F5503"/>
    <w:rsid w:val="006F60FB"/>
    <w:rsid w:val="006F75F0"/>
    <w:rsid w:val="007019BF"/>
    <w:rsid w:val="00703CC2"/>
    <w:rsid w:val="0070634D"/>
    <w:rsid w:val="00706F98"/>
    <w:rsid w:val="00712DFB"/>
    <w:rsid w:val="00716F26"/>
    <w:rsid w:val="007223C4"/>
    <w:rsid w:val="007227B1"/>
    <w:rsid w:val="00725176"/>
    <w:rsid w:val="00733998"/>
    <w:rsid w:val="00734774"/>
    <w:rsid w:val="00737DB8"/>
    <w:rsid w:val="00744732"/>
    <w:rsid w:val="0074545B"/>
    <w:rsid w:val="00746367"/>
    <w:rsid w:val="00750C04"/>
    <w:rsid w:val="00756629"/>
    <w:rsid w:val="00757C45"/>
    <w:rsid w:val="00757E62"/>
    <w:rsid w:val="00762821"/>
    <w:rsid w:val="00767A53"/>
    <w:rsid w:val="00772A18"/>
    <w:rsid w:val="00776D68"/>
    <w:rsid w:val="007775EF"/>
    <w:rsid w:val="00777DD5"/>
    <w:rsid w:val="00784A2F"/>
    <w:rsid w:val="007873B1"/>
    <w:rsid w:val="007971C8"/>
    <w:rsid w:val="007A3E22"/>
    <w:rsid w:val="007A56FF"/>
    <w:rsid w:val="007B002A"/>
    <w:rsid w:val="007B1ADE"/>
    <w:rsid w:val="007B3087"/>
    <w:rsid w:val="007B37CD"/>
    <w:rsid w:val="007B3F82"/>
    <w:rsid w:val="007B715F"/>
    <w:rsid w:val="007B7EA8"/>
    <w:rsid w:val="007C6709"/>
    <w:rsid w:val="007C717B"/>
    <w:rsid w:val="007D1EC3"/>
    <w:rsid w:val="007D52DA"/>
    <w:rsid w:val="007D7AFC"/>
    <w:rsid w:val="007D7FCF"/>
    <w:rsid w:val="007E017F"/>
    <w:rsid w:val="007E1C3E"/>
    <w:rsid w:val="007E37D1"/>
    <w:rsid w:val="007E7E49"/>
    <w:rsid w:val="007F105E"/>
    <w:rsid w:val="007F1246"/>
    <w:rsid w:val="007F3BCB"/>
    <w:rsid w:val="00802206"/>
    <w:rsid w:val="0081609A"/>
    <w:rsid w:val="00817BEE"/>
    <w:rsid w:val="00817C9F"/>
    <w:rsid w:val="00820241"/>
    <w:rsid w:val="00821102"/>
    <w:rsid w:val="008241E3"/>
    <w:rsid w:val="0083031C"/>
    <w:rsid w:val="00831D16"/>
    <w:rsid w:val="00835298"/>
    <w:rsid w:val="00837B39"/>
    <w:rsid w:val="0085244F"/>
    <w:rsid w:val="0085497D"/>
    <w:rsid w:val="00856B05"/>
    <w:rsid w:val="00860E2B"/>
    <w:rsid w:val="00863D24"/>
    <w:rsid w:val="008853D2"/>
    <w:rsid w:val="00886E12"/>
    <w:rsid w:val="00893876"/>
    <w:rsid w:val="008A1605"/>
    <w:rsid w:val="008A18CC"/>
    <w:rsid w:val="008A2580"/>
    <w:rsid w:val="008A4B86"/>
    <w:rsid w:val="008C3862"/>
    <w:rsid w:val="008C624A"/>
    <w:rsid w:val="008D0383"/>
    <w:rsid w:val="008D6E7A"/>
    <w:rsid w:val="008D7DFB"/>
    <w:rsid w:val="008E2045"/>
    <w:rsid w:val="008E24D9"/>
    <w:rsid w:val="008E31EF"/>
    <w:rsid w:val="008E37EB"/>
    <w:rsid w:val="008F3E4C"/>
    <w:rsid w:val="008F54D8"/>
    <w:rsid w:val="009037B0"/>
    <w:rsid w:val="00906364"/>
    <w:rsid w:val="00910FC0"/>
    <w:rsid w:val="00916C91"/>
    <w:rsid w:val="00917E46"/>
    <w:rsid w:val="009229F9"/>
    <w:rsid w:val="00923323"/>
    <w:rsid w:val="00941952"/>
    <w:rsid w:val="00944D0C"/>
    <w:rsid w:val="00950A75"/>
    <w:rsid w:val="0096323F"/>
    <w:rsid w:val="00967747"/>
    <w:rsid w:val="00972012"/>
    <w:rsid w:val="00977089"/>
    <w:rsid w:val="00977113"/>
    <w:rsid w:val="00985388"/>
    <w:rsid w:val="009858AB"/>
    <w:rsid w:val="00985D76"/>
    <w:rsid w:val="00986168"/>
    <w:rsid w:val="00987763"/>
    <w:rsid w:val="009A104A"/>
    <w:rsid w:val="009A1308"/>
    <w:rsid w:val="009A14B8"/>
    <w:rsid w:val="009A1C43"/>
    <w:rsid w:val="009A499C"/>
    <w:rsid w:val="009B00B2"/>
    <w:rsid w:val="009B6B19"/>
    <w:rsid w:val="009D3659"/>
    <w:rsid w:val="009D5B35"/>
    <w:rsid w:val="009E0A7C"/>
    <w:rsid w:val="009F165E"/>
    <w:rsid w:val="009F28A1"/>
    <w:rsid w:val="00A0395F"/>
    <w:rsid w:val="00A11BB5"/>
    <w:rsid w:val="00A14607"/>
    <w:rsid w:val="00A14D82"/>
    <w:rsid w:val="00A17E93"/>
    <w:rsid w:val="00A27A95"/>
    <w:rsid w:val="00A31BA1"/>
    <w:rsid w:val="00A35BB8"/>
    <w:rsid w:val="00A36BA2"/>
    <w:rsid w:val="00A65A26"/>
    <w:rsid w:val="00A70851"/>
    <w:rsid w:val="00A72FD3"/>
    <w:rsid w:val="00A75734"/>
    <w:rsid w:val="00A80381"/>
    <w:rsid w:val="00A80502"/>
    <w:rsid w:val="00A80E39"/>
    <w:rsid w:val="00A869FB"/>
    <w:rsid w:val="00A9072D"/>
    <w:rsid w:val="00AA0B06"/>
    <w:rsid w:val="00AA1E22"/>
    <w:rsid w:val="00AA3ABA"/>
    <w:rsid w:val="00AA53B7"/>
    <w:rsid w:val="00AB2EA2"/>
    <w:rsid w:val="00AB4F88"/>
    <w:rsid w:val="00AB4FB9"/>
    <w:rsid w:val="00AC21D2"/>
    <w:rsid w:val="00AC5265"/>
    <w:rsid w:val="00AC568D"/>
    <w:rsid w:val="00AC6605"/>
    <w:rsid w:val="00AD03C4"/>
    <w:rsid w:val="00AD116F"/>
    <w:rsid w:val="00AD4C87"/>
    <w:rsid w:val="00AE0DC6"/>
    <w:rsid w:val="00AE19E7"/>
    <w:rsid w:val="00AE7A13"/>
    <w:rsid w:val="00AF08C1"/>
    <w:rsid w:val="00AF5A2E"/>
    <w:rsid w:val="00AF6A0A"/>
    <w:rsid w:val="00B01105"/>
    <w:rsid w:val="00B02044"/>
    <w:rsid w:val="00B05F90"/>
    <w:rsid w:val="00B12283"/>
    <w:rsid w:val="00B13C36"/>
    <w:rsid w:val="00B14BF0"/>
    <w:rsid w:val="00B235D6"/>
    <w:rsid w:val="00B371D1"/>
    <w:rsid w:val="00B40F44"/>
    <w:rsid w:val="00B464F5"/>
    <w:rsid w:val="00B50AD0"/>
    <w:rsid w:val="00B645EF"/>
    <w:rsid w:val="00B76CEE"/>
    <w:rsid w:val="00B80D18"/>
    <w:rsid w:val="00B85B50"/>
    <w:rsid w:val="00B85DCC"/>
    <w:rsid w:val="00B903D8"/>
    <w:rsid w:val="00B917D7"/>
    <w:rsid w:val="00B93D20"/>
    <w:rsid w:val="00B95429"/>
    <w:rsid w:val="00B96DAA"/>
    <w:rsid w:val="00BA2F6A"/>
    <w:rsid w:val="00BA4151"/>
    <w:rsid w:val="00BB020B"/>
    <w:rsid w:val="00BB3A9B"/>
    <w:rsid w:val="00BC1EB4"/>
    <w:rsid w:val="00BC3C7B"/>
    <w:rsid w:val="00BC3C9A"/>
    <w:rsid w:val="00BC48D2"/>
    <w:rsid w:val="00BC798B"/>
    <w:rsid w:val="00BD1DD7"/>
    <w:rsid w:val="00BE0154"/>
    <w:rsid w:val="00BE4825"/>
    <w:rsid w:val="00BE4F2F"/>
    <w:rsid w:val="00BF3B05"/>
    <w:rsid w:val="00BF48D7"/>
    <w:rsid w:val="00C00FE0"/>
    <w:rsid w:val="00C045D5"/>
    <w:rsid w:val="00C11EAA"/>
    <w:rsid w:val="00C12180"/>
    <w:rsid w:val="00C177CA"/>
    <w:rsid w:val="00C20E47"/>
    <w:rsid w:val="00C23BE1"/>
    <w:rsid w:val="00C247B0"/>
    <w:rsid w:val="00C27BA9"/>
    <w:rsid w:val="00C27C88"/>
    <w:rsid w:val="00C3281D"/>
    <w:rsid w:val="00C37EFC"/>
    <w:rsid w:val="00C429C3"/>
    <w:rsid w:val="00C455B7"/>
    <w:rsid w:val="00C51CDE"/>
    <w:rsid w:val="00C547E1"/>
    <w:rsid w:val="00C55945"/>
    <w:rsid w:val="00C612B0"/>
    <w:rsid w:val="00C6202F"/>
    <w:rsid w:val="00C621EC"/>
    <w:rsid w:val="00C65B63"/>
    <w:rsid w:val="00C66EF5"/>
    <w:rsid w:val="00C70E1E"/>
    <w:rsid w:val="00C71145"/>
    <w:rsid w:val="00C72AC0"/>
    <w:rsid w:val="00C80F7D"/>
    <w:rsid w:val="00C82289"/>
    <w:rsid w:val="00C961C3"/>
    <w:rsid w:val="00CA472C"/>
    <w:rsid w:val="00CA6C8A"/>
    <w:rsid w:val="00CB0E0A"/>
    <w:rsid w:val="00CB2C8A"/>
    <w:rsid w:val="00CB4008"/>
    <w:rsid w:val="00CB591D"/>
    <w:rsid w:val="00CB76AF"/>
    <w:rsid w:val="00CB7AC3"/>
    <w:rsid w:val="00CC16C4"/>
    <w:rsid w:val="00CD0124"/>
    <w:rsid w:val="00CD1C21"/>
    <w:rsid w:val="00CD2660"/>
    <w:rsid w:val="00CD3565"/>
    <w:rsid w:val="00CF2AB0"/>
    <w:rsid w:val="00CF5038"/>
    <w:rsid w:val="00CF7CC0"/>
    <w:rsid w:val="00D0119F"/>
    <w:rsid w:val="00D02D6C"/>
    <w:rsid w:val="00D04730"/>
    <w:rsid w:val="00D05D14"/>
    <w:rsid w:val="00D07848"/>
    <w:rsid w:val="00D15B6B"/>
    <w:rsid w:val="00D163D2"/>
    <w:rsid w:val="00D20171"/>
    <w:rsid w:val="00D206C5"/>
    <w:rsid w:val="00D21D46"/>
    <w:rsid w:val="00D267FA"/>
    <w:rsid w:val="00D31FD6"/>
    <w:rsid w:val="00D365B4"/>
    <w:rsid w:val="00D43782"/>
    <w:rsid w:val="00D54430"/>
    <w:rsid w:val="00D56F58"/>
    <w:rsid w:val="00D56F5A"/>
    <w:rsid w:val="00D71160"/>
    <w:rsid w:val="00D71AF9"/>
    <w:rsid w:val="00D7310C"/>
    <w:rsid w:val="00D7622B"/>
    <w:rsid w:val="00D77213"/>
    <w:rsid w:val="00D84292"/>
    <w:rsid w:val="00D8708B"/>
    <w:rsid w:val="00D9355B"/>
    <w:rsid w:val="00D97B04"/>
    <w:rsid w:val="00D97CCA"/>
    <w:rsid w:val="00DA2918"/>
    <w:rsid w:val="00DA6318"/>
    <w:rsid w:val="00DA768C"/>
    <w:rsid w:val="00DB3C5B"/>
    <w:rsid w:val="00DB3E44"/>
    <w:rsid w:val="00DC21F8"/>
    <w:rsid w:val="00DC4134"/>
    <w:rsid w:val="00DC65B6"/>
    <w:rsid w:val="00DD1297"/>
    <w:rsid w:val="00DD5228"/>
    <w:rsid w:val="00DD52A9"/>
    <w:rsid w:val="00DF1207"/>
    <w:rsid w:val="00DF67BC"/>
    <w:rsid w:val="00DF7413"/>
    <w:rsid w:val="00DF7E10"/>
    <w:rsid w:val="00E00993"/>
    <w:rsid w:val="00E02580"/>
    <w:rsid w:val="00E05B39"/>
    <w:rsid w:val="00E06F30"/>
    <w:rsid w:val="00E1105B"/>
    <w:rsid w:val="00E16118"/>
    <w:rsid w:val="00E171F9"/>
    <w:rsid w:val="00E20F6B"/>
    <w:rsid w:val="00E2515F"/>
    <w:rsid w:val="00E26995"/>
    <w:rsid w:val="00E30684"/>
    <w:rsid w:val="00E41AAC"/>
    <w:rsid w:val="00E42AF1"/>
    <w:rsid w:val="00E43C57"/>
    <w:rsid w:val="00E46C5B"/>
    <w:rsid w:val="00E477F6"/>
    <w:rsid w:val="00E51EFB"/>
    <w:rsid w:val="00E549A9"/>
    <w:rsid w:val="00E56A82"/>
    <w:rsid w:val="00E61558"/>
    <w:rsid w:val="00E63BE0"/>
    <w:rsid w:val="00E648B5"/>
    <w:rsid w:val="00E73223"/>
    <w:rsid w:val="00E73A73"/>
    <w:rsid w:val="00E74794"/>
    <w:rsid w:val="00E821D3"/>
    <w:rsid w:val="00E82C6C"/>
    <w:rsid w:val="00E915C3"/>
    <w:rsid w:val="00E935C9"/>
    <w:rsid w:val="00E947A9"/>
    <w:rsid w:val="00EA0035"/>
    <w:rsid w:val="00EA1257"/>
    <w:rsid w:val="00EA55DF"/>
    <w:rsid w:val="00EB0827"/>
    <w:rsid w:val="00EB0FA8"/>
    <w:rsid w:val="00EC1C7E"/>
    <w:rsid w:val="00EC1F57"/>
    <w:rsid w:val="00EC388C"/>
    <w:rsid w:val="00ED1DE0"/>
    <w:rsid w:val="00ED2EFF"/>
    <w:rsid w:val="00ED3C30"/>
    <w:rsid w:val="00ED51BE"/>
    <w:rsid w:val="00EE3DDC"/>
    <w:rsid w:val="00EE4282"/>
    <w:rsid w:val="00EE7085"/>
    <w:rsid w:val="00EF4178"/>
    <w:rsid w:val="00EF4FD7"/>
    <w:rsid w:val="00F054F9"/>
    <w:rsid w:val="00F059F9"/>
    <w:rsid w:val="00F0625E"/>
    <w:rsid w:val="00F066A7"/>
    <w:rsid w:val="00F14A48"/>
    <w:rsid w:val="00F14F5F"/>
    <w:rsid w:val="00F42641"/>
    <w:rsid w:val="00F432E5"/>
    <w:rsid w:val="00F44521"/>
    <w:rsid w:val="00F45DD9"/>
    <w:rsid w:val="00F566A9"/>
    <w:rsid w:val="00F61F31"/>
    <w:rsid w:val="00F7152A"/>
    <w:rsid w:val="00F71746"/>
    <w:rsid w:val="00F730EC"/>
    <w:rsid w:val="00F81E8B"/>
    <w:rsid w:val="00F90F30"/>
    <w:rsid w:val="00F91D4F"/>
    <w:rsid w:val="00F9356E"/>
    <w:rsid w:val="00F95283"/>
    <w:rsid w:val="00FA0859"/>
    <w:rsid w:val="00FA49E7"/>
    <w:rsid w:val="00FA5ED6"/>
    <w:rsid w:val="00FA637A"/>
    <w:rsid w:val="00FB7F13"/>
    <w:rsid w:val="00FC34B8"/>
    <w:rsid w:val="00FC555B"/>
    <w:rsid w:val="00FD13AA"/>
    <w:rsid w:val="00FD52FA"/>
    <w:rsid w:val="00FD7488"/>
    <w:rsid w:val="00FE1A2A"/>
    <w:rsid w:val="00FF0C0C"/>
    <w:rsid w:val="00FF0E49"/>
    <w:rsid w:val="05E03B29"/>
    <w:rsid w:val="068A7DD8"/>
    <w:rsid w:val="08612430"/>
    <w:rsid w:val="0A8F1E15"/>
    <w:rsid w:val="0BCC37ED"/>
    <w:rsid w:val="0BEF2FF5"/>
    <w:rsid w:val="0D8629C5"/>
    <w:rsid w:val="0E3E1FEC"/>
    <w:rsid w:val="0F1F4302"/>
    <w:rsid w:val="0FC51E1E"/>
    <w:rsid w:val="149E2FBD"/>
    <w:rsid w:val="152F6795"/>
    <w:rsid w:val="1A4B63D6"/>
    <w:rsid w:val="1B0F078A"/>
    <w:rsid w:val="1C9B4312"/>
    <w:rsid w:val="1EB65F7E"/>
    <w:rsid w:val="22AE3235"/>
    <w:rsid w:val="23C467E0"/>
    <w:rsid w:val="23D7319D"/>
    <w:rsid w:val="24C56527"/>
    <w:rsid w:val="2F622F2B"/>
    <w:rsid w:val="31D84AB0"/>
    <w:rsid w:val="342D630A"/>
    <w:rsid w:val="361E77A1"/>
    <w:rsid w:val="392E6C5D"/>
    <w:rsid w:val="3DD96725"/>
    <w:rsid w:val="4330025C"/>
    <w:rsid w:val="4B8E7A1D"/>
    <w:rsid w:val="4DB567ED"/>
    <w:rsid w:val="4EEB49FB"/>
    <w:rsid w:val="58166813"/>
    <w:rsid w:val="616C25FF"/>
    <w:rsid w:val="61B94062"/>
    <w:rsid w:val="66C106AE"/>
    <w:rsid w:val="675D681C"/>
    <w:rsid w:val="701C279F"/>
    <w:rsid w:val="719C141B"/>
    <w:rsid w:val="757B03A1"/>
    <w:rsid w:val="75B06657"/>
    <w:rsid w:val="771912A8"/>
    <w:rsid w:val="7BB95CAA"/>
    <w:rsid w:val="7E1D045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name="header"/>
    <w:lsdException w:qFormat="1" w:unhideWhenUsed="0" w:uiPriority="0"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0" w:semiHidden="0" w:name="Plain Text"/>
    <w:lsdException w:uiPriority="99" w:name="E-mail Signature" w:locked="1"/>
    <w:lsdException w:qFormat="1" w:unhideWhenUsed="0" w:uiPriority="99"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8"/>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9"/>
    <w:qFormat/>
    <w:uiPriority w:val="99"/>
    <w:pPr>
      <w:keepNext/>
      <w:keepLines/>
      <w:spacing w:before="260" w:after="260" w:line="416" w:lineRule="auto"/>
      <w:outlineLvl w:val="1"/>
    </w:pPr>
    <w:rPr>
      <w:rFonts w:ascii="Cambria" w:hAnsi="Cambria" w:cs="Cambria"/>
      <w:b/>
      <w:bCs/>
      <w:sz w:val="32"/>
      <w:szCs w:val="32"/>
    </w:rPr>
  </w:style>
  <w:style w:type="paragraph" w:styleId="4">
    <w:name w:val="heading 3"/>
    <w:basedOn w:val="1"/>
    <w:next w:val="1"/>
    <w:link w:val="20"/>
    <w:qFormat/>
    <w:uiPriority w:val="99"/>
    <w:pPr>
      <w:keepNext/>
      <w:keepLines/>
      <w:spacing w:before="260" w:after="260" w:line="416" w:lineRule="auto"/>
      <w:outlineLvl w:val="2"/>
    </w:pPr>
    <w:rPr>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21"/>
    <w:semiHidden/>
    <w:qFormat/>
    <w:uiPriority w:val="99"/>
    <w:rPr>
      <w:rFonts w:ascii="宋体" w:cs="宋体"/>
      <w:sz w:val="18"/>
      <w:szCs w:val="18"/>
    </w:rPr>
  </w:style>
  <w:style w:type="paragraph" w:styleId="6">
    <w:name w:val="Plain Text"/>
    <w:basedOn w:val="1"/>
    <w:link w:val="22"/>
    <w:qFormat/>
    <w:uiPriority w:val="0"/>
    <w:rPr>
      <w:rFonts w:ascii="宋体" w:hAnsi="Courier New" w:cs="宋体"/>
    </w:rPr>
  </w:style>
  <w:style w:type="paragraph" w:styleId="7">
    <w:name w:val="Balloon Text"/>
    <w:basedOn w:val="1"/>
    <w:link w:val="23"/>
    <w:semiHidden/>
    <w:qFormat/>
    <w:uiPriority w:val="99"/>
    <w:rPr>
      <w:sz w:val="18"/>
      <w:szCs w:val="18"/>
    </w:rPr>
  </w:style>
  <w:style w:type="paragraph" w:styleId="8">
    <w:name w:val="footer"/>
    <w:basedOn w:val="1"/>
    <w:link w:val="24"/>
    <w:qFormat/>
    <w:uiPriority w:val="0"/>
    <w:pPr>
      <w:tabs>
        <w:tab w:val="center" w:pos="4153"/>
        <w:tab w:val="right" w:pos="8306"/>
      </w:tabs>
      <w:snapToGrid w:val="0"/>
      <w:jc w:val="left"/>
    </w:pPr>
    <w:rPr>
      <w:sz w:val="18"/>
      <w:szCs w:val="18"/>
    </w:rPr>
  </w:style>
  <w:style w:type="paragraph" w:styleId="9">
    <w:name w:val="header"/>
    <w:basedOn w:val="1"/>
    <w:link w:val="25"/>
    <w:semiHidden/>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qFormat/>
    <w:uiPriority w:val="99"/>
    <w:pPr>
      <w:tabs>
        <w:tab w:val="right" w:leader="dot" w:pos="8296"/>
      </w:tabs>
    </w:pPr>
    <w:rPr>
      <w:rFonts w:ascii="黑体" w:hAnsi="黑体" w:eastAsia="黑体" w:cs="黑体"/>
      <w:sz w:val="30"/>
      <w:szCs w:val="30"/>
    </w:rPr>
  </w:style>
  <w:style w:type="paragraph" w:styleId="11">
    <w:name w:val="Subtitle"/>
    <w:basedOn w:val="1"/>
    <w:next w:val="1"/>
    <w:link w:val="34"/>
    <w:qFormat/>
    <w:uiPriority w:val="0"/>
    <w:pPr>
      <w:spacing w:before="240" w:after="60" w:line="312" w:lineRule="auto"/>
      <w:jc w:val="center"/>
      <w:outlineLvl w:val="1"/>
    </w:pPr>
    <w:rPr>
      <w:rFonts w:ascii="Cambria" w:hAnsi="Cambria" w:cs="Times New Roman" w:eastAsiaTheme="minorEastAsia"/>
      <w:b/>
      <w:bCs/>
      <w:kern w:val="28"/>
      <w:sz w:val="32"/>
      <w:szCs w:val="32"/>
    </w:rPr>
  </w:style>
  <w:style w:type="paragraph" w:styleId="12">
    <w:name w:val="toc 2"/>
    <w:basedOn w:val="1"/>
    <w:next w:val="1"/>
    <w:semiHidden/>
    <w:qFormat/>
    <w:uiPriority w:val="99"/>
    <w:pPr>
      <w:ind w:left="420" w:leftChars="200"/>
    </w:pPr>
  </w:style>
  <w:style w:type="paragraph" w:styleId="13">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table" w:styleId="15">
    <w:name w:val="Table Grid"/>
    <w:basedOn w:val="1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Hyperlink"/>
    <w:basedOn w:val="16"/>
    <w:qFormat/>
    <w:uiPriority w:val="99"/>
    <w:rPr>
      <w:color w:val="0000FF"/>
      <w:u w:val="single"/>
    </w:rPr>
  </w:style>
  <w:style w:type="character" w:customStyle="1" w:styleId="18">
    <w:name w:val="标题 1 Char"/>
    <w:basedOn w:val="16"/>
    <w:link w:val="2"/>
    <w:qFormat/>
    <w:locked/>
    <w:uiPriority w:val="99"/>
    <w:rPr>
      <w:b/>
      <w:bCs/>
      <w:kern w:val="44"/>
      <w:sz w:val="44"/>
      <w:szCs w:val="44"/>
    </w:rPr>
  </w:style>
  <w:style w:type="character" w:customStyle="1" w:styleId="19">
    <w:name w:val="标题 2 Char"/>
    <w:basedOn w:val="16"/>
    <w:link w:val="3"/>
    <w:qFormat/>
    <w:locked/>
    <w:uiPriority w:val="99"/>
    <w:rPr>
      <w:rFonts w:ascii="Cambria" w:hAnsi="Cambria" w:eastAsia="宋体" w:cs="Cambria"/>
      <w:b/>
      <w:bCs/>
      <w:sz w:val="32"/>
      <w:szCs w:val="32"/>
    </w:rPr>
  </w:style>
  <w:style w:type="character" w:customStyle="1" w:styleId="20">
    <w:name w:val="标题 3 Char"/>
    <w:basedOn w:val="16"/>
    <w:link w:val="4"/>
    <w:semiHidden/>
    <w:qFormat/>
    <w:locked/>
    <w:uiPriority w:val="99"/>
    <w:rPr>
      <w:b/>
      <w:bCs/>
      <w:sz w:val="32"/>
      <w:szCs w:val="32"/>
    </w:rPr>
  </w:style>
  <w:style w:type="character" w:customStyle="1" w:styleId="21">
    <w:name w:val="文档结构图 Char"/>
    <w:basedOn w:val="16"/>
    <w:link w:val="5"/>
    <w:semiHidden/>
    <w:qFormat/>
    <w:locked/>
    <w:uiPriority w:val="99"/>
    <w:rPr>
      <w:rFonts w:ascii="宋体" w:eastAsia="宋体" w:cs="宋体"/>
      <w:sz w:val="18"/>
      <w:szCs w:val="18"/>
    </w:rPr>
  </w:style>
  <w:style w:type="character" w:customStyle="1" w:styleId="22">
    <w:name w:val="纯文本 Char"/>
    <w:basedOn w:val="16"/>
    <w:link w:val="6"/>
    <w:qFormat/>
    <w:locked/>
    <w:uiPriority w:val="99"/>
    <w:rPr>
      <w:rFonts w:ascii="宋体" w:hAnsi="Courier New" w:eastAsia="宋体" w:cs="宋体"/>
      <w:sz w:val="21"/>
      <w:szCs w:val="21"/>
    </w:rPr>
  </w:style>
  <w:style w:type="character" w:customStyle="1" w:styleId="23">
    <w:name w:val="批注框文本 Char"/>
    <w:basedOn w:val="16"/>
    <w:link w:val="7"/>
    <w:semiHidden/>
    <w:qFormat/>
    <w:locked/>
    <w:uiPriority w:val="99"/>
    <w:rPr>
      <w:sz w:val="18"/>
      <w:szCs w:val="18"/>
    </w:rPr>
  </w:style>
  <w:style w:type="character" w:customStyle="1" w:styleId="24">
    <w:name w:val="页脚 Char"/>
    <w:basedOn w:val="16"/>
    <w:link w:val="8"/>
    <w:qFormat/>
    <w:locked/>
    <w:uiPriority w:val="99"/>
    <w:rPr>
      <w:sz w:val="18"/>
      <w:szCs w:val="18"/>
    </w:rPr>
  </w:style>
  <w:style w:type="character" w:customStyle="1" w:styleId="25">
    <w:name w:val="页眉 Char"/>
    <w:basedOn w:val="16"/>
    <w:link w:val="9"/>
    <w:semiHidden/>
    <w:qFormat/>
    <w:locked/>
    <w:uiPriority w:val="99"/>
    <w:rPr>
      <w:sz w:val="18"/>
      <w:szCs w:val="18"/>
    </w:rPr>
  </w:style>
  <w:style w:type="paragraph" w:customStyle="1" w:styleId="26">
    <w:name w:val="列出段落1"/>
    <w:basedOn w:val="1"/>
    <w:qFormat/>
    <w:uiPriority w:val="99"/>
    <w:pPr>
      <w:ind w:firstLine="420" w:firstLineChars="200"/>
    </w:pPr>
    <w:rPr>
      <w:rFonts w:ascii="Times New Roman" w:hAnsi="Times New Roman" w:cs="Times New Roman"/>
    </w:rPr>
  </w:style>
  <w:style w:type="paragraph" w:customStyle="1" w:styleId="27">
    <w:name w:val="Char Char"/>
    <w:basedOn w:val="1"/>
    <w:qFormat/>
    <w:uiPriority w:val="99"/>
    <w:pPr>
      <w:tabs>
        <w:tab w:val="left" w:pos="980"/>
      </w:tabs>
      <w:ind w:left="980" w:hanging="420"/>
    </w:pPr>
    <w:rPr>
      <w:rFonts w:ascii="Times New Roman" w:hAnsi="Times New Roman" w:cs="Times New Roman"/>
      <w:sz w:val="24"/>
      <w:szCs w:val="24"/>
    </w:rPr>
  </w:style>
  <w:style w:type="paragraph" w:customStyle="1" w:styleId="28">
    <w:name w:val="列出段落2"/>
    <w:basedOn w:val="1"/>
    <w:qFormat/>
    <w:uiPriority w:val="99"/>
    <w:pPr>
      <w:ind w:firstLine="420" w:firstLineChars="200"/>
    </w:pPr>
    <w:rPr>
      <w:rFonts w:ascii="Times New Roman" w:hAnsi="Times New Roman" w:cs="Times New Roman"/>
    </w:rPr>
  </w:style>
  <w:style w:type="paragraph" w:customStyle="1" w:styleId="29">
    <w:name w:val="Char Char Char Char Char Char"/>
    <w:basedOn w:val="1"/>
    <w:qFormat/>
    <w:uiPriority w:val="99"/>
    <w:rPr>
      <w:rFonts w:ascii="Times New Roman" w:hAnsi="Times New Roman" w:eastAsia="仿宋_GB2312" w:cs="Times New Roman"/>
      <w:sz w:val="32"/>
      <w:szCs w:val="32"/>
    </w:rPr>
  </w:style>
  <w:style w:type="paragraph" w:customStyle="1" w:styleId="30">
    <w:name w:val="列出段落3"/>
    <w:basedOn w:val="1"/>
    <w:qFormat/>
    <w:uiPriority w:val="99"/>
    <w:pPr>
      <w:ind w:firstLine="420" w:firstLineChars="200"/>
    </w:pPr>
    <w:rPr>
      <w:rFonts w:ascii="Times New Roman" w:hAnsi="Times New Roman" w:cs="Times New Roman"/>
    </w:rPr>
  </w:style>
  <w:style w:type="paragraph" w:customStyle="1" w:styleId="31">
    <w:name w:val="列出段落4"/>
    <w:basedOn w:val="1"/>
    <w:qFormat/>
    <w:uiPriority w:val="99"/>
    <w:pPr>
      <w:ind w:firstLine="420" w:firstLineChars="200"/>
    </w:pPr>
    <w:rPr>
      <w:rFonts w:ascii="Times New Roman" w:hAnsi="Times New Roman" w:cs="Times New Roman"/>
    </w:rPr>
  </w:style>
  <w:style w:type="paragraph" w:styleId="32">
    <w:name w:val="List Paragraph"/>
    <w:basedOn w:val="1"/>
    <w:qFormat/>
    <w:uiPriority w:val="99"/>
    <w:pPr>
      <w:ind w:firstLine="420" w:firstLineChars="200"/>
    </w:pPr>
    <w:rPr>
      <w:rFonts w:ascii="Times New Roman" w:hAnsi="Times New Roman" w:cs="Times New Roman"/>
    </w:rPr>
  </w:style>
  <w:style w:type="paragraph" w:customStyle="1" w:styleId="33">
    <w:name w:val="TOC Heading1"/>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character" w:customStyle="1" w:styleId="34">
    <w:name w:val="副标题 Char"/>
    <w:basedOn w:val="16"/>
    <w:link w:val="11"/>
    <w:qFormat/>
    <w:uiPriority w:val="0"/>
    <w:rPr>
      <w:rFonts w:ascii="Cambria" w:hAnsi="Cambria" w:eastAsiaTheme="minorEastAsia"/>
      <w:b/>
      <w:bCs/>
      <w:kern w:val="28"/>
      <w:sz w:val="32"/>
      <w:szCs w:val="32"/>
    </w:rPr>
  </w:style>
  <w:style w:type="paragraph" w:customStyle="1" w:styleId="35">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431</Words>
  <Characters>2461</Characters>
  <Lines>20</Lines>
  <Paragraphs>5</Paragraphs>
  <TotalTime>295</TotalTime>
  <ScaleCrop>false</ScaleCrop>
  <LinksUpToDate>false</LinksUpToDate>
  <CharactersWithSpaces>2887</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2019-01-08T08:47:00Z</dcterms:created>
  <dc:creator>blic</dc:creator>
  <cp:lastModifiedBy>Administrator</cp:lastModifiedBy>
  <dcterms:modified xsi:type="dcterms:W3CDTF">2022-11-01T03:56:49Z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