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0" w:firstLineChars="0"/>
        <w:jc w:val="both"/>
        <w:rPr>
          <w:rFonts w:hint="eastAsia" w:ascii="黑体" w:hAnsi="黑体" w:eastAsia="黑体" w:cs="Times New Roman"/>
          <w:sz w:val="36"/>
          <w:szCs w:val="32"/>
          <w:lang w:val="en-US" w:eastAsia="zh-CN"/>
        </w:rPr>
      </w:pPr>
      <w:bookmarkStart w:id="2" w:name="_GoBack"/>
      <w:bookmarkEnd w:id="2"/>
    </w:p>
    <w:p>
      <w:pPr>
        <w:spacing w:line="800" w:lineRule="exact"/>
        <w:ind w:left="482" w:leftChars="0" w:hanging="482" w:hangingChars="100"/>
        <w:jc w:val="both"/>
        <w:rPr>
          <w:rFonts w:hint="eastAsia" w:ascii="黑体" w:eastAsia="黑体" w:cs="黑体"/>
          <w:b/>
          <w:bCs/>
          <w:sz w:val="48"/>
          <w:szCs w:val="48"/>
        </w:rPr>
      </w:pPr>
      <w:r>
        <w:rPr>
          <w:rFonts w:hint="eastAsia" w:ascii="黑体" w:eastAsia="黑体" w:cs="黑体"/>
          <w:b/>
          <w:bCs/>
          <w:sz w:val="48"/>
          <w:szCs w:val="48"/>
        </w:rPr>
        <w:t>2021年度建宁县</w:t>
      </w:r>
      <w:r>
        <w:rPr>
          <w:rFonts w:hint="eastAsia" w:ascii="黑体" w:eastAsia="黑体" w:cs="黑体"/>
          <w:b/>
          <w:bCs/>
          <w:sz w:val="48"/>
          <w:szCs w:val="48"/>
          <w:lang w:eastAsia="zh-CN"/>
        </w:rPr>
        <w:t>水利</w:t>
      </w:r>
      <w:r>
        <w:rPr>
          <w:rFonts w:hint="eastAsia" w:ascii="黑体" w:eastAsia="黑体" w:cs="黑体"/>
          <w:b/>
          <w:bCs/>
          <w:sz w:val="48"/>
          <w:szCs w:val="48"/>
        </w:rPr>
        <w:t>局</w:t>
      </w:r>
      <w:r>
        <w:rPr>
          <w:rFonts w:hint="eastAsia" w:ascii="黑体" w:eastAsia="黑体" w:cs="黑体"/>
          <w:b/>
          <w:bCs/>
          <w:sz w:val="48"/>
          <w:szCs w:val="48"/>
          <w:lang w:val="en-US" w:eastAsia="zh-CN"/>
        </w:rPr>
        <w:t>水土流失综合治理配套专项资金</w:t>
      </w:r>
      <w:r>
        <w:rPr>
          <w:rFonts w:hint="eastAsia" w:ascii="黑体" w:eastAsia="黑体" w:cs="黑体"/>
          <w:b/>
          <w:bCs/>
          <w:sz w:val="48"/>
          <w:szCs w:val="48"/>
        </w:rPr>
        <w:t>绩效评价报告</w:t>
      </w:r>
    </w:p>
    <w:p>
      <w:pPr>
        <w:spacing w:line="360" w:lineRule="auto"/>
        <w:jc w:val="center"/>
        <w:rPr>
          <w:rFonts w:ascii="黑体" w:eastAsia="黑体" w:cs="Times New Roman"/>
          <w:b/>
          <w:bCs/>
          <w:sz w:val="48"/>
          <w:szCs w:val="48"/>
        </w:rPr>
      </w:pPr>
    </w:p>
    <w:p>
      <w:pPr>
        <w:jc w:val="center"/>
        <w:rPr>
          <w:rFonts w:ascii="黑体" w:hAnsi="黑体" w:eastAsia="黑体" w:cs="Times New Roman"/>
          <w:b/>
          <w:bCs/>
          <w:sz w:val="48"/>
          <w:szCs w:val="48"/>
        </w:rPr>
      </w:pPr>
    </w:p>
    <w:p>
      <w:pPr>
        <w:ind w:left="0" w:leftChars="0" w:firstLine="0" w:firstLineChars="0"/>
        <w:jc w:val="both"/>
        <w:rPr>
          <w:rFonts w:ascii="黑体" w:eastAsia="黑体" w:cs="Times New Roman"/>
          <w:b/>
          <w:bCs/>
          <w:sz w:val="48"/>
          <w:szCs w:val="48"/>
        </w:rPr>
      </w:pPr>
    </w:p>
    <w:p>
      <w:pPr>
        <w:jc w:val="center"/>
        <w:rPr>
          <w:rFonts w:ascii="黑体" w:eastAsia="黑体" w:cs="Times New Roman"/>
          <w:b/>
          <w:bCs/>
          <w:sz w:val="48"/>
          <w:szCs w:val="48"/>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项目承担单位：</w:t>
      </w:r>
      <w:r>
        <w:rPr>
          <w:rFonts w:ascii="黑体" w:eastAsia="黑体" w:cs="黑体"/>
          <w:sz w:val="32"/>
          <w:szCs w:val="32"/>
          <w:u w:val="single"/>
        </w:rPr>
        <w:t xml:space="preserve">    </w:t>
      </w:r>
      <w:r>
        <w:rPr>
          <w:rFonts w:hint="eastAsia" w:ascii="黑体" w:eastAsia="黑体" w:cs="黑体"/>
          <w:sz w:val="32"/>
          <w:szCs w:val="32"/>
          <w:u w:val="single"/>
        </w:rPr>
        <w:t>建宁县</w:t>
      </w:r>
      <w:r>
        <w:rPr>
          <w:rFonts w:hint="eastAsia" w:ascii="黑体" w:eastAsia="黑体" w:cs="黑体"/>
          <w:sz w:val="32"/>
          <w:szCs w:val="32"/>
          <w:u w:val="single"/>
          <w:lang w:eastAsia="zh-CN"/>
        </w:rPr>
        <w:t>水利局</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项</w:t>
      </w:r>
      <w:r>
        <w:rPr>
          <w:rFonts w:ascii="黑体" w:eastAsia="黑体" w:cs="黑体"/>
          <w:sz w:val="13"/>
          <w:szCs w:val="13"/>
        </w:rPr>
        <w:t xml:space="preserve"> </w:t>
      </w:r>
      <w:r>
        <w:rPr>
          <w:rFonts w:hint="eastAsia" w:ascii="黑体" w:eastAsia="黑体" w:cs="黑体"/>
          <w:sz w:val="32"/>
          <w:szCs w:val="32"/>
        </w:rPr>
        <w:t>目</w:t>
      </w:r>
      <w:r>
        <w:rPr>
          <w:rFonts w:ascii="黑体" w:eastAsia="黑体" w:cs="黑体"/>
          <w:sz w:val="13"/>
          <w:szCs w:val="13"/>
        </w:rPr>
        <w:t xml:space="preserve"> </w:t>
      </w:r>
      <w:r>
        <w:rPr>
          <w:rFonts w:hint="eastAsia" w:ascii="黑体" w:eastAsia="黑体" w:cs="黑体"/>
          <w:sz w:val="32"/>
          <w:szCs w:val="32"/>
        </w:rPr>
        <w:t>负</w:t>
      </w:r>
      <w:r>
        <w:rPr>
          <w:rFonts w:ascii="黑体" w:eastAsia="黑体" w:cs="黑体"/>
          <w:sz w:val="13"/>
          <w:szCs w:val="13"/>
        </w:rPr>
        <w:t xml:space="preserve"> </w:t>
      </w:r>
      <w:r>
        <w:rPr>
          <w:rFonts w:hint="eastAsia" w:ascii="黑体" w:eastAsia="黑体" w:cs="黑体"/>
          <w:sz w:val="32"/>
          <w:szCs w:val="32"/>
        </w:rPr>
        <w:t>责</w:t>
      </w:r>
      <w:r>
        <w:rPr>
          <w:rFonts w:ascii="黑体" w:eastAsia="黑体" w:cs="黑体"/>
          <w:sz w:val="13"/>
          <w:szCs w:val="13"/>
        </w:rPr>
        <w:t xml:space="preserve"> </w:t>
      </w:r>
      <w:r>
        <w:rPr>
          <w:rFonts w:hint="eastAsia" w:ascii="黑体" w:eastAsia="黑体" w:cs="黑体"/>
          <w:sz w:val="32"/>
          <w:szCs w:val="32"/>
        </w:rPr>
        <w:t>人：</w:t>
      </w:r>
      <w:r>
        <w:rPr>
          <w:rFonts w:ascii="黑体" w:eastAsia="黑体" w:cs="黑体"/>
          <w:sz w:val="32"/>
          <w:szCs w:val="32"/>
          <w:u w:val="single"/>
        </w:rPr>
        <w:t xml:space="preserve">    </w:t>
      </w:r>
      <w:r>
        <w:rPr>
          <w:rFonts w:hint="eastAsia" w:ascii="黑体" w:eastAsia="黑体" w:cs="黑体"/>
          <w:sz w:val="32"/>
          <w:szCs w:val="32"/>
          <w:u w:val="single"/>
        </w:rPr>
        <w:t xml:space="preserve"> 柯国华 </w:t>
      </w:r>
      <w:r>
        <w:rPr>
          <w:rFonts w:ascii="黑体" w:eastAsia="黑体" w:cs="黑体"/>
          <w:sz w:val="32"/>
          <w:szCs w:val="32"/>
          <w:u w:val="single"/>
        </w:rPr>
        <w:t xml:space="preserve">      </w:t>
      </w:r>
      <w:r>
        <w:rPr>
          <w:rFonts w:hint="eastAsia" w:ascii="黑体" w:eastAsia="黑体" w:cs="黑体"/>
          <w:sz w:val="32"/>
          <w:szCs w:val="32"/>
          <w:u w:val="single"/>
        </w:rPr>
        <w:t xml:space="preserve">  </w:t>
      </w:r>
    </w:p>
    <w:p>
      <w:pPr>
        <w:spacing w:line="360" w:lineRule="auto"/>
        <w:ind w:firstLine="1104" w:firstLineChars="345"/>
        <w:rPr>
          <w:rFonts w:ascii="黑体" w:eastAsia="黑体" w:cs="Times New Roman"/>
          <w:sz w:val="32"/>
          <w:szCs w:val="32"/>
        </w:rPr>
      </w:pPr>
    </w:p>
    <w:p>
      <w:pPr>
        <w:spacing w:line="360" w:lineRule="auto"/>
        <w:ind w:firstLine="1104" w:firstLineChars="345"/>
        <w:rPr>
          <w:rFonts w:ascii="黑体" w:eastAsia="黑体" w:cs="黑体"/>
          <w:sz w:val="32"/>
          <w:szCs w:val="32"/>
          <w:u w:val="single"/>
        </w:rPr>
      </w:pPr>
      <w:r>
        <w:rPr>
          <w:rFonts w:hint="eastAsia" w:ascii="黑体" w:eastAsia="黑体" w:cs="黑体"/>
          <w:sz w:val="32"/>
          <w:szCs w:val="32"/>
        </w:rPr>
        <w:t>联</w:t>
      </w:r>
      <w:r>
        <w:rPr>
          <w:rFonts w:ascii="黑体" w:eastAsia="黑体" w:cs="黑体"/>
          <w:sz w:val="18"/>
          <w:szCs w:val="18"/>
        </w:rPr>
        <w:t xml:space="preserve">  </w:t>
      </w:r>
      <w:r>
        <w:rPr>
          <w:rFonts w:hint="eastAsia" w:ascii="黑体" w:eastAsia="黑体" w:cs="黑体"/>
          <w:sz w:val="32"/>
          <w:szCs w:val="32"/>
        </w:rPr>
        <w:t>系</w:t>
      </w:r>
      <w:r>
        <w:rPr>
          <w:rFonts w:ascii="黑体" w:eastAsia="黑体" w:cs="黑体"/>
          <w:sz w:val="18"/>
          <w:szCs w:val="18"/>
        </w:rPr>
        <w:t xml:space="preserve">  </w:t>
      </w:r>
      <w:r>
        <w:rPr>
          <w:rFonts w:hint="eastAsia" w:ascii="黑体" w:eastAsia="黑体" w:cs="黑体"/>
          <w:sz w:val="32"/>
          <w:szCs w:val="32"/>
        </w:rPr>
        <w:t>电</w:t>
      </w:r>
      <w:r>
        <w:rPr>
          <w:rFonts w:ascii="黑体" w:eastAsia="黑体" w:cs="黑体"/>
          <w:sz w:val="18"/>
          <w:szCs w:val="18"/>
        </w:rPr>
        <w:t xml:space="preserve">  </w:t>
      </w:r>
      <w:r>
        <w:rPr>
          <w:rFonts w:hint="eastAsia" w:ascii="黑体" w:eastAsia="黑体" w:cs="黑体"/>
          <w:sz w:val="32"/>
          <w:szCs w:val="32"/>
        </w:rPr>
        <w:t>话：</w:t>
      </w:r>
      <w:r>
        <w:rPr>
          <w:rFonts w:ascii="黑体" w:eastAsia="黑体" w:cs="黑体"/>
          <w:sz w:val="32"/>
          <w:szCs w:val="32"/>
          <w:u w:val="single"/>
        </w:rPr>
        <w:t xml:space="preserve">   </w:t>
      </w:r>
      <w:r>
        <w:rPr>
          <w:rFonts w:hint="eastAsia" w:ascii="黑体" w:eastAsia="黑体" w:cs="黑体"/>
          <w:sz w:val="32"/>
          <w:szCs w:val="32"/>
          <w:u w:val="single"/>
        </w:rPr>
        <w:t xml:space="preserve">  15059002333  </w:t>
      </w:r>
    </w:p>
    <w:p>
      <w:pPr>
        <w:spacing w:line="360" w:lineRule="auto"/>
        <w:ind w:firstLine="1104" w:firstLineChars="345"/>
        <w:rPr>
          <w:rFonts w:ascii="黑体" w:eastAsia="黑体" w:cs="Times New Roman"/>
          <w:sz w:val="32"/>
          <w:szCs w:val="32"/>
        </w:rPr>
      </w:pPr>
    </w:p>
    <w:p>
      <w:pPr>
        <w:ind w:firstLine="1120" w:firstLineChars="350"/>
        <w:rPr>
          <w:rFonts w:ascii="黑体" w:eastAsia="黑体" w:cs="Times New Roman"/>
          <w:sz w:val="32"/>
          <w:szCs w:val="32"/>
          <w:u w:val="single"/>
        </w:rPr>
      </w:pPr>
      <w:r>
        <w:rPr>
          <w:rFonts w:hint="eastAsia" w:ascii="黑体" w:eastAsia="黑体" w:cs="黑体"/>
          <w:sz w:val="32"/>
          <w:szCs w:val="32"/>
        </w:rPr>
        <w:t>项目起止时间：</w:t>
      </w:r>
      <w:r>
        <w:rPr>
          <w:rFonts w:hint="eastAsia" w:ascii="黑体" w:eastAsia="黑体" w:cs="黑体"/>
          <w:sz w:val="32"/>
          <w:szCs w:val="32"/>
          <w:u w:val="single"/>
        </w:rPr>
        <w:t>2021年1月1日--12月31日</w:t>
      </w: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ascii="黑体" w:eastAsia="黑体" w:cs="Times New Roman"/>
          <w:b/>
          <w:bCs/>
          <w:sz w:val="32"/>
          <w:szCs w:val="32"/>
          <w:u w:val="single"/>
        </w:rPr>
      </w:pPr>
    </w:p>
    <w:p>
      <w:pPr>
        <w:jc w:val="center"/>
        <w:rPr>
          <w:rFonts w:eastAsia="黑体" w:cs="Times New Roman"/>
          <w:b/>
          <w:bCs/>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黑体" w:eastAsia="黑体" w:cs="黑体"/>
          <w:b/>
          <w:bCs/>
          <w:sz w:val="32"/>
          <w:szCs w:val="32"/>
        </w:rPr>
        <w:t>2022年10月19日</w:t>
      </w:r>
    </w:p>
    <w:p>
      <w:pPr>
        <w:spacing w:line="560" w:lineRule="exact"/>
        <w:jc w:val="center"/>
        <w:rPr>
          <w:rFonts w:ascii="宋体" w:cs="宋体"/>
          <w:b/>
          <w:bCs/>
          <w:sz w:val="32"/>
          <w:szCs w:val="32"/>
        </w:rPr>
      </w:pPr>
      <w:bookmarkStart w:id="0" w:name="_Toc495352545"/>
      <w:r>
        <w:rPr>
          <w:rFonts w:hint="eastAsia" w:ascii="宋体" w:hAnsi="宋体" w:cs="宋体"/>
          <w:b/>
          <w:bCs/>
          <w:sz w:val="32"/>
          <w:szCs w:val="32"/>
        </w:rPr>
        <w:t>引</w:t>
      </w:r>
      <w:r>
        <w:rPr>
          <w:rFonts w:ascii="宋体" w:hAnsi="宋体" w:cs="宋体"/>
          <w:b/>
          <w:bCs/>
          <w:sz w:val="32"/>
          <w:szCs w:val="32"/>
        </w:rPr>
        <w:t xml:space="preserve">   </w:t>
      </w:r>
      <w:r>
        <w:rPr>
          <w:rFonts w:hint="eastAsia" w:ascii="宋体" w:hAnsi="宋体" w:cs="宋体"/>
          <w:b/>
          <w:bCs/>
          <w:sz w:val="32"/>
          <w:szCs w:val="32"/>
        </w:rPr>
        <w:t>言</w:t>
      </w:r>
      <w:bookmarkEnd w:id="0"/>
    </w:p>
    <w:p>
      <w:pPr>
        <w:spacing w:line="560" w:lineRule="exact"/>
        <w:ind w:firstLine="640" w:firstLineChars="200"/>
        <w:rPr>
          <w:rFonts w:cs="Times New Roman"/>
          <w:sz w:val="32"/>
          <w:szCs w:val="32"/>
        </w:rPr>
      </w:pPr>
      <w:r>
        <w:rPr>
          <w:rFonts w:hint="eastAsia" w:ascii="仿宋_GB2312" w:hAnsi="仿宋" w:eastAsia="仿宋_GB2312"/>
          <w:sz w:val="32"/>
          <w:szCs w:val="32"/>
        </w:rPr>
        <w:t>为提高</w:t>
      </w:r>
      <w:r>
        <w:rPr>
          <w:rFonts w:hint="eastAsia" w:ascii="仿宋_GB2312" w:hAnsi="仿宋" w:eastAsia="仿宋_GB2312"/>
          <w:sz w:val="32"/>
          <w:szCs w:val="32"/>
          <w:lang w:val="en-US" w:eastAsia="zh-CN"/>
        </w:rPr>
        <w:t>水土流失综合治理配套专项资金</w:t>
      </w:r>
      <w:r>
        <w:rPr>
          <w:rFonts w:hint="eastAsia" w:ascii="仿宋_GB2312" w:hAnsi="仿宋" w:eastAsia="仿宋_GB2312"/>
          <w:sz w:val="32"/>
          <w:szCs w:val="32"/>
        </w:rPr>
        <w:t>使用绩效，近期财政局组织对2021年度</w:t>
      </w:r>
      <w:r>
        <w:rPr>
          <w:rFonts w:hint="eastAsia" w:ascii="仿宋_GB2312" w:hAnsi="仿宋" w:eastAsia="仿宋_GB2312"/>
          <w:sz w:val="32"/>
          <w:szCs w:val="32"/>
          <w:lang w:val="en-US" w:eastAsia="zh-CN"/>
        </w:rPr>
        <w:t>水</w:t>
      </w:r>
      <w:r>
        <w:rPr>
          <w:rFonts w:hint="eastAsia"/>
          <w:sz w:val="32"/>
          <w:szCs w:val="32"/>
          <w:lang w:val="en-US" w:eastAsia="zh-CN"/>
        </w:rPr>
        <w:t>土流失</w:t>
      </w:r>
      <w:r>
        <w:rPr>
          <w:rFonts w:hint="eastAsia" w:ascii="仿宋_GB2312" w:hAnsi="仿宋" w:eastAsia="仿宋_GB2312"/>
          <w:sz w:val="32"/>
          <w:szCs w:val="32"/>
          <w:lang w:val="en-US" w:eastAsia="zh-CN"/>
        </w:rPr>
        <w:t>综合治理配套专项</w:t>
      </w:r>
      <w:r>
        <w:rPr>
          <w:rFonts w:hint="eastAsia" w:ascii="仿宋_GB2312" w:hAnsi="仿宋" w:eastAsia="仿宋_GB2312"/>
          <w:sz w:val="32"/>
          <w:szCs w:val="32"/>
        </w:rPr>
        <w:t>开展绩效评价。评价围绕投入、过程、产出和效益等环节关键绩效指标，采取收集数据、实地调研、座谈了解等形式，对专项资金管理、使用、效益等情况进行分析，并借鉴</w:t>
      </w:r>
      <w:r>
        <w:rPr>
          <w:rFonts w:hint="eastAsia"/>
          <w:sz w:val="32"/>
          <w:szCs w:val="32"/>
          <w:lang w:val="en-US" w:eastAsia="zh-CN"/>
        </w:rPr>
        <w:t>好的做法和经</w:t>
      </w:r>
      <w:r>
        <w:rPr>
          <w:rFonts w:hint="eastAsia" w:ascii="仿宋_GB2312" w:hAnsi="仿宋" w:eastAsia="仿宋_GB2312"/>
          <w:sz w:val="32"/>
          <w:szCs w:val="32"/>
        </w:rPr>
        <w:t>验，提出改进绩效的有关建议。</w:t>
      </w:r>
    </w:p>
    <w:p>
      <w:pPr>
        <w:pStyle w:val="2"/>
        <w:spacing w:line="580" w:lineRule="exact"/>
        <w:ind w:firstLine="640"/>
        <w:rPr>
          <w:rFonts w:ascii="黑体" w:hAnsi="黑体" w:eastAsia="黑体" w:cs="Times New Roman"/>
          <w:b w:val="0"/>
          <w:bCs w:val="0"/>
          <w:sz w:val="32"/>
        </w:rPr>
      </w:pPr>
      <w:r>
        <w:rPr>
          <w:rFonts w:hint="eastAsia" w:ascii="黑体" w:hAnsi="黑体" w:eastAsia="黑体" w:cs="Times New Roman"/>
          <w:b w:val="0"/>
          <w:bCs w:val="0"/>
          <w:sz w:val="32"/>
        </w:rPr>
        <w:t>一、概述</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（一）资金预算和绩效目标情况</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建宁县2021年水土流失综合治理工程配套资金</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为2020年度国家水土保持重点建设工程建宁县里心（三期）、靖安、放柏元小流域水土流失综合治理项目、福建省重点县水土流失综合治理工程建宁县2020年水土流失综合治理项目配套资金</w:t>
      </w:r>
      <w:r>
        <w:rPr>
          <w:rFonts w:hint="eastAsia" w:ascii="仿宋_GB2312" w:hAnsi="仿宋" w:eastAsia="仿宋_GB2312"/>
          <w:sz w:val="32"/>
          <w:szCs w:val="32"/>
          <w:lang w:eastAsia="zh-CN"/>
        </w:rPr>
        <w:t>，该</w:t>
      </w:r>
      <w:r>
        <w:rPr>
          <w:rFonts w:hint="eastAsia" w:ascii="仿宋_GB2312" w:hAnsi="仿宋" w:eastAsia="仿宋_GB2312"/>
          <w:sz w:val="32"/>
          <w:szCs w:val="32"/>
          <w:lang w:val="en-US" w:eastAsia="zh-CN"/>
        </w:rPr>
        <w:t>配套资金</w:t>
      </w:r>
      <w:r>
        <w:rPr>
          <w:rFonts w:hint="eastAsia" w:ascii="仿宋_GB2312" w:hAnsi="仿宋" w:eastAsia="仿宋_GB2312"/>
          <w:sz w:val="32"/>
          <w:szCs w:val="32"/>
          <w:lang w:eastAsia="zh-CN"/>
        </w:rPr>
        <w:t>项目建设内容：综合治理水土流失面积</w:t>
      </w:r>
      <w:r>
        <w:rPr>
          <w:rFonts w:hint="eastAsia" w:ascii="仿宋_GB2312" w:hAnsi="仿宋" w:eastAsia="仿宋_GB2312"/>
          <w:sz w:val="32"/>
          <w:szCs w:val="32"/>
          <w:lang w:val="en-US" w:eastAsia="zh-CN"/>
        </w:rPr>
        <w:t>2394.89</w:t>
      </w:r>
      <w:r>
        <w:rPr>
          <w:rFonts w:hint="eastAsia" w:ascii="仿宋_GB2312" w:hAnsi="仿宋" w:eastAsia="仿宋_GB2312"/>
          <w:sz w:val="32"/>
          <w:szCs w:val="32"/>
          <w:lang w:eastAsia="zh-CN"/>
        </w:rPr>
        <w:t>hm2。</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项目总投资</w:t>
      </w:r>
      <w:r>
        <w:rPr>
          <w:rFonts w:hint="eastAsia" w:ascii="仿宋_GB2312" w:hAnsi="仿宋" w:eastAsia="仿宋_GB2312"/>
          <w:sz w:val="32"/>
          <w:szCs w:val="32"/>
          <w:lang w:val="en-US" w:eastAsia="zh-CN"/>
        </w:rPr>
        <w:t>1358.6</w:t>
      </w:r>
      <w:r>
        <w:rPr>
          <w:rFonts w:hint="eastAsia" w:ascii="仿宋_GB2312" w:hAnsi="仿宋" w:eastAsia="仿宋_GB2312"/>
          <w:sz w:val="32"/>
          <w:szCs w:val="32"/>
          <w:lang w:eastAsia="zh-CN"/>
        </w:rPr>
        <w:t>万元，其中上级补助资金</w:t>
      </w:r>
      <w:r>
        <w:rPr>
          <w:rFonts w:hint="eastAsia" w:ascii="仿宋_GB2312" w:hAnsi="仿宋" w:eastAsia="仿宋_GB2312"/>
          <w:sz w:val="32"/>
          <w:szCs w:val="32"/>
          <w:lang w:val="en-US" w:eastAsia="zh-CN"/>
        </w:rPr>
        <w:t>1000</w:t>
      </w:r>
      <w:r>
        <w:rPr>
          <w:rFonts w:hint="eastAsia" w:ascii="仿宋_GB2312" w:hAnsi="仿宋" w:eastAsia="仿宋_GB2312"/>
          <w:sz w:val="32"/>
          <w:szCs w:val="32"/>
          <w:lang w:eastAsia="zh-CN"/>
        </w:rPr>
        <w:t>万元，</w:t>
      </w:r>
      <w:r>
        <w:rPr>
          <w:rFonts w:hint="eastAsia" w:ascii="仿宋_GB2312" w:hAnsi="仿宋" w:eastAsia="仿宋_GB2312"/>
          <w:sz w:val="32"/>
          <w:szCs w:val="32"/>
          <w:lang w:val="en-US" w:eastAsia="zh-CN"/>
        </w:rPr>
        <w:t>县级配套56.68万，其他资金301.92</w:t>
      </w:r>
      <w:r>
        <w:rPr>
          <w:rFonts w:hint="eastAsia" w:ascii="仿宋_GB2312" w:hAnsi="仿宋" w:eastAsia="仿宋_GB2312"/>
          <w:sz w:val="32"/>
          <w:szCs w:val="32"/>
          <w:lang w:eastAsia="zh-CN"/>
        </w:rPr>
        <w:t>万元。</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（二）预算和绩效目标分解情况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1.资金分配情况</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规范工程资金管理，严格按照《水利部关于印发中央财政水利发展资金水土保持工程建设管理办法的通知》（水保〔2018〕60号）</w:t>
      </w:r>
      <w:r>
        <w:rPr>
          <w:rFonts w:hint="eastAsia" w:ascii="仿宋_GB2312" w:hAnsi="仿宋" w:eastAsia="仿宋_GB2312"/>
          <w:sz w:val="32"/>
          <w:szCs w:val="32"/>
          <w:lang w:eastAsia="zh-CN"/>
        </w:rPr>
        <w:t>、</w:t>
      </w:r>
      <w:r>
        <w:rPr>
          <w:rFonts w:hint="eastAsia" w:ascii="仿宋_GB2312" w:hAnsi="仿宋" w:eastAsia="仿宋_GB2312"/>
          <w:sz w:val="32"/>
          <w:szCs w:val="32"/>
        </w:rPr>
        <w:t>《福建省水土保持综合治理项目管理暂行办法》（闽水水保【2011】8号）文件规范资金使用。实际到位资金56.68万元</w:t>
      </w:r>
      <w:r>
        <w:rPr>
          <w:rFonts w:hint="eastAsia" w:ascii="仿宋_GB2312" w:hAnsi="仿宋" w:eastAsia="仿宋_GB2312"/>
          <w:sz w:val="32"/>
          <w:szCs w:val="32"/>
          <w:lang w:val="en-US" w:eastAsia="zh-CN"/>
        </w:rPr>
        <w:t>为配套资金，</w:t>
      </w:r>
      <w:r>
        <w:rPr>
          <w:rFonts w:hint="eastAsia" w:ascii="仿宋_GB2312" w:hAnsi="仿宋" w:eastAsia="仿宋_GB2312"/>
          <w:sz w:val="32"/>
          <w:szCs w:val="32"/>
        </w:rPr>
        <w:t>用于2020年度国家水土保持重点建设工程建宁县里心（三期）、靖安、放柏元小流域</w:t>
      </w:r>
      <w:r>
        <w:rPr>
          <w:rFonts w:hint="eastAsia" w:cs="Times New Roman"/>
          <w:sz w:val="32"/>
        </w:rPr>
        <w:t>水土流失综合治理</w:t>
      </w:r>
      <w:r>
        <w:rPr>
          <w:rFonts w:hint="eastAsia" w:ascii="仿宋_GB2312" w:hAnsi="仿宋" w:eastAsia="仿宋_GB2312"/>
          <w:sz w:val="32"/>
          <w:szCs w:val="32"/>
        </w:rPr>
        <w:t>项目、福建省重点县水土流失综合治理工程建宁县2020年水土流失综合治理项目</w:t>
      </w:r>
      <w:r>
        <w:rPr>
          <w:rFonts w:hint="eastAsia" w:ascii="仿宋_GB2312" w:hAnsi="仿宋" w:eastAsia="仿宋_GB2312"/>
          <w:sz w:val="32"/>
          <w:szCs w:val="32"/>
          <w:lang w:eastAsia="zh-CN"/>
        </w:rPr>
        <w:t>。</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2.预算和绩效目标</w:t>
      </w:r>
      <w:r>
        <w:rPr>
          <w:rFonts w:hint="eastAsia" w:ascii="仿宋_GB2312" w:hAnsi="仿宋" w:eastAsia="仿宋_GB2312"/>
          <w:sz w:val="32"/>
          <w:szCs w:val="32"/>
          <w:lang w:eastAsia="zh-CN"/>
        </w:rPr>
        <w:t>县</w:t>
      </w:r>
      <w:r>
        <w:rPr>
          <w:rFonts w:hint="eastAsia" w:ascii="仿宋_GB2312" w:hAnsi="仿宋" w:eastAsia="仿宋_GB2312"/>
          <w:sz w:val="32"/>
          <w:szCs w:val="32"/>
        </w:rPr>
        <w:t>内分解下达情况</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本单位</w:t>
      </w:r>
      <w:r>
        <w:rPr>
          <w:rFonts w:hint="eastAsia" w:ascii="仿宋_GB2312" w:hAnsi="仿宋" w:eastAsia="仿宋_GB2312"/>
          <w:sz w:val="32"/>
          <w:szCs w:val="32"/>
          <w:lang w:val="en-US" w:eastAsia="zh-CN"/>
        </w:rPr>
        <w:t>实际到位配套</w:t>
      </w:r>
      <w:r>
        <w:rPr>
          <w:rFonts w:hint="eastAsia" w:ascii="仿宋_GB2312" w:hAnsi="仿宋" w:eastAsia="仿宋_GB2312"/>
          <w:sz w:val="32"/>
          <w:szCs w:val="32"/>
        </w:rPr>
        <w:t>资金</w:t>
      </w:r>
      <w:r>
        <w:rPr>
          <w:rFonts w:hint="eastAsia" w:ascii="仿宋_GB2312" w:hAnsi="仿宋" w:eastAsia="仿宋_GB2312"/>
          <w:sz w:val="32"/>
          <w:szCs w:val="32"/>
          <w:lang w:val="en-US" w:eastAsia="zh-CN"/>
        </w:rPr>
        <w:t>56.68</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其中配套</w:t>
      </w:r>
      <w:r>
        <w:rPr>
          <w:rFonts w:hint="eastAsia" w:ascii="仿宋_GB2312" w:hAnsi="仿宋" w:eastAsia="仿宋_GB2312"/>
          <w:sz w:val="32"/>
          <w:szCs w:val="32"/>
        </w:rPr>
        <w:t>用于2020年度国家水土保持重点建设工程</w:t>
      </w:r>
      <w:r>
        <w:rPr>
          <w:rFonts w:hint="eastAsia" w:ascii="仿宋_GB2312" w:hAnsi="仿宋" w:eastAsia="仿宋_GB2312"/>
          <w:sz w:val="32"/>
          <w:szCs w:val="32"/>
          <w:lang w:val="en-US" w:eastAsia="zh-CN"/>
        </w:rPr>
        <w:t>33万元，配套</w:t>
      </w:r>
      <w:r>
        <w:rPr>
          <w:rFonts w:hint="eastAsia" w:ascii="仿宋_GB2312" w:hAnsi="仿宋" w:eastAsia="仿宋_GB2312"/>
          <w:sz w:val="32"/>
          <w:szCs w:val="32"/>
        </w:rPr>
        <w:t>用于福建省重点县水土流失综合治理工程</w:t>
      </w:r>
      <w:r>
        <w:rPr>
          <w:rFonts w:hint="eastAsia" w:ascii="仿宋_GB2312" w:hAnsi="仿宋" w:eastAsia="仿宋_GB2312"/>
          <w:sz w:val="32"/>
          <w:szCs w:val="32"/>
          <w:lang w:val="en-US" w:eastAsia="zh-CN"/>
        </w:rPr>
        <w:t>23.68万元</w:t>
      </w:r>
      <w:r>
        <w:rPr>
          <w:rFonts w:hint="eastAsia" w:ascii="仿宋_GB2312" w:hAnsi="仿宋" w:eastAsia="仿宋_GB2312"/>
          <w:sz w:val="32"/>
          <w:szCs w:val="32"/>
          <w:lang w:eastAsia="zh-CN"/>
        </w:rPr>
        <w:t>。</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（三）实施项目情况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完成综合治理水土流失面积2394.89hm2。</w:t>
      </w:r>
    </w:p>
    <w:p>
      <w:pPr>
        <w:numPr>
          <w:ilvl w:val="0"/>
          <w:numId w:val="1"/>
        </w:numPr>
        <w:spacing w:line="240" w:lineRule="auto"/>
        <w:ind w:firstLine="640" w:firstLineChars="200"/>
        <w:rPr>
          <w:rFonts w:hint="eastAsia" w:ascii="黑体" w:hAnsi="黑体" w:eastAsia="黑体" w:cs="Times New Roman"/>
          <w:b w:val="0"/>
          <w:bCs w:val="0"/>
          <w:sz w:val="32"/>
        </w:rPr>
      </w:pPr>
      <w:r>
        <w:rPr>
          <w:rFonts w:hint="eastAsia" w:ascii="黑体" w:hAnsi="黑体" w:eastAsia="黑体" w:cs="Times New Roman"/>
          <w:b w:val="0"/>
          <w:bCs w:val="0"/>
          <w:sz w:val="32"/>
        </w:rPr>
        <w:t>项目重点评估工作开展情况</w:t>
      </w:r>
    </w:p>
    <w:p>
      <w:pPr>
        <w:numPr>
          <w:ilvl w:val="0"/>
          <w:numId w:val="0"/>
        </w:numPr>
        <w:spacing w:line="240" w:lineRule="auto"/>
        <w:ind w:firstLine="643" w:firstLineChars="200"/>
        <w:rPr>
          <w:rFonts w:ascii="楷体_GB2312" w:hAnsi="楷体" w:eastAsia="楷体_GB2312" w:cs="Times New Roman"/>
          <w:b/>
          <w:bCs w:val="0"/>
          <w:sz w:val="32"/>
        </w:rPr>
      </w:pPr>
      <w:r>
        <w:rPr>
          <w:rFonts w:hint="eastAsia" w:ascii="楷体_GB2312" w:hAnsi="楷体" w:eastAsia="楷体_GB2312" w:cs="Times New Roman"/>
          <w:b/>
          <w:bCs w:val="0"/>
          <w:sz w:val="32"/>
        </w:rPr>
        <w:t>（一）</w:t>
      </w:r>
      <w:r>
        <w:rPr>
          <w:rFonts w:hint="eastAsia" w:ascii="楷体_GB2312" w:hAnsi="楷体" w:eastAsia="楷体_GB2312" w:cs="Times New Roman"/>
          <w:b/>
          <w:bCs w:val="0"/>
          <w:sz w:val="32"/>
          <w:lang w:val="en-US" w:eastAsia="zh-CN"/>
        </w:rPr>
        <w:t>评估</w:t>
      </w:r>
      <w:r>
        <w:rPr>
          <w:rFonts w:hint="eastAsia" w:ascii="楷体_GB2312" w:hAnsi="楷体" w:eastAsia="楷体_GB2312" w:cs="Times New Roman"/>
          <w:b/>
          <w:bCs w:val="0"/>
          <w:sz w:val="32"/>
        </w:rPr>
        <w:t>依据</w:t>
      </w:r>
    </w:p>
    <w:p>
      <w:pPr>
        <w:spacing w:line="580" w:lineRule="exact"/>
        <w:ind w:firstLine="640"/>
        <w:rPr>
          <w:rFonts w:cs="Times New Roman"/>
          <w:sz w:val="32"/>
        </w:rPr>
      </w:pPr>
      <w:r>
        <w:rPr>
          <w:rFonts w:hint="eastAsia" w:cs="Times New Roman"/>
          <w:sz w:val="32"/>
        </w:rPr>
        <w:t>简述</w:t>
      </w:r>
      <w:r>
        <w:rPr>
          <w:rFonts w:hint="eastAsia" w:cs="Times New Roman"/>
          <w:sz w:val="32"/>
          <w:lang w:val="en-US" w:eastAsia="zh-CN"/>
        </w:rPr>
        <w:t>评估</w:t>
      </w:r>
      <w:r>
        <w:rPr>
          <w:rFonts w:hint="eastAsia" w:cs="Times New Roman"/>
          <w:sz w:val="32"/>
        </w:rPr>
        <w:t>依据文件：</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财政部、水利部印发《水利发展资金使用管理办法》（财农〔2019〕54号）；</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省财政厅、省水利厅印发的《中央财政水利发展资金管理办法》（闽财农〔2017〕14号）、《福建省省级以上水利财政</w:t>
      </w:r>
      <w:r>
        <w:rPr>
          <w:rFonts w:hint="eastAsia" w:cs="Times New Roman"/>
          <w:sz w:val="32"/>
        </w:rPr>
        <w:t>资金绩效管理暂行办</w:t>
      </w:r>
      <w:r>
        <w:rPr>
          <w:rFonts w:hint="eastAsia" w:ascii="仿宋_GB2312" w:hAnsi="仿宋" w:eastAsia="仿宋_GB2312"/>
          <w:sz w:val="32"/>
          <w:szCs w:val="32"/>
        </w:rPr>
        <w:t>法》（闽财农〔2019〕30号）</w:t>
      </w:r>
      <w:r>
        <w:rPr>
          <w:rFonts w:hint="eastAsia" w:ascii="仿宋_GB2312" w:hAnsi="仿宋" w:eastAsia="仿宋_GB2312"/>
          <w:sz w:val="32"/>
          <w:szCs w:val="32"/>
          <w:lang w:eastAsia="zh-CN"/>
        </w:rPr>
        <w:t>、</w:t>
      </w:r>
      <w:r>
        <w:rPr>
          <w:rFonts w:hint="eastAsia" w:ascii="仿宋_GB2312" w:hAnsi="仿宋" w:eastAsia="仿宋_GB2312"/>
          <w:sz w:val="32"/>
          <w:szCs w:val="32"/>
        </w:rPr>
        <w:t>《福建省水土保持综合治理项目管理暂行办法》（闽水水保【2011】8号）；</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市县资金管理及绩效管理相关文件；</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各级水利发展资金分解下达文件。</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（二）</w:t>
      </w:r>
      <w:r>
        <w:rPr>
          <w:rFonts w:hint="eastAsia" w:ascii="楷体_GB2312" w:hAnsi="楷体" w:eastAsia="楷体_GB2312" w:cs="Times New Roman"/>
          <w:b/>
          <w:bCs w:val="0"/>
          <w:sz w:val="32"/>
          <w:lang w:val="en-US" w:eastAsia="zh-CN"/>
        </w:rPr>
        <w:t>评估</w:t>
      </w:r>
      <w:r>
        <w:rPr>
          <w:rFonts w:hint="eastAsia" w:ascii="楷体_GB2312" w:hAnsi="楷体" w:eastAsia="楷体_GB2312" w:cs="Times New Roman"/>
          <w:b/>
          <w:bCs w:val="0"/>
          <w:sz w:val="32"/>
        </w:rPr>
        <w:t>方式</w:t>
      </w:r>
    </w:p>
    <w:p>
      <w:pPr>
        <w:spacing w:line="580" w:lineRule="exact"/>
        <w:ind w:firstLine="640"/>
        <w:rPr>
          <w:rFonts w:hint="eastAsia" w:cs="Times New Roman"/>
          <w:sz w:val="32"/>
        </w:rPr>
      </w:pPr>
      <w:r>
        <w:rPr>
          <w:rFonts w:hint="eastAsia" w:cs="Times New Roman"/>
          <w:sz w:val="32"/>
        </w:rPr>
        <w:t>县级项目重点评估报告材料填报、盖章。</w:t>
      </w:r>
    </w:p>
    <w:p>
      <w:pPr>
        <w:spacing w:line="580" w:lineRule="exact"/>
        <w:ind w:firstLine="640"/>
        <w:rPr>
          <w:rFonts w:ascii="黑体" w:hAnsi="黑体" w:eastAsia="黑体" w:cs="Times New Roman"/>
          <w:sz w:val="32"/>
        </w:rPr>
      </w:pPr>
      <w:r>
        <w:rPr>
          <w:rFonts w:ascii="黑体" w:hAnsi="黑体" w:eastAsia="黑体" w:cs="Times New Roman"/>
          <w:sz w:val="32"/>
        </w:rPr>
        <w:t>三</w:t>
      </w:r>
      <w:r>
        <w:rPr>
          <w:rFonts w:hint="eastAsia" w:ascii="黑体" w:hAnsi="黑体" w:eastAsia="黑体" w:cs="Times New Roman"/>
          <w:sz w:val="32"/>
        </w:rPr>
        <w:t>、项目重点评估</w:t>
      </w:r>
      <w:r>
        <w:rPr>
          <w:rFonts w:ascii="黑体" w:hAnsi="黑体" w:eastAsia="黑体" w:cs="Times New Roman"/>
          <w:sz w:val="32"/>
        </w:rPr>
        <w:t>分析</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（一）项目资金情况分析</w:t>
      </w:r>
    </w:p>
    <w:p>
      <w:pPr>
        <w:spacing w:line="560" w:lineRule="exact"/>
        <w:ind w:firstLine="640" w:firstLineChars="200"/>
        <w:rPr>
          <w:rFonts w:hint="eastAsia"/>
          <w:sz w:val="32"/>
          <w:szCs w:val="32"/>
          <w:lang w:val="en-US" w:eastAsia="zh-CN"/>
        </w:rPr>
      </w:pPr>
      <w:r>
        <w:rPr>
          <w:rFonts w:hint="eastAsia"/>
          <w:sz w:val="32"/>
          <w:szCs w:val="32"/>
          <w:lang w:val="en-US" w:eastAsia="zh-CN"/>
        </w:rPr>
        <w:t>1.资金到位情况</w:t>
      </w:r>
    </w:p>
    <w:p>
      <w:pPr>
        <w:spacing w:line="580" w:lineRule="exact"/>
        <w:ind w:firstLine="0" w:firstLineChars="0"/>
        <w:jc w:val="center"/>
        <w:rPr>
          <w:rFonts w:hint="eastAsia" w:cs="Times New Roman"/>
        </w:rPr>
      </w:pPr>
    </w:p>
    <w:p>
      <w:pPr>
        <w:spacing w:line="580" w:lineRule="exact"/>
        <w:ind w:firstLine="0" w:firstLineChars="0"/>
        <w:jc w:val="center"/>
        <w:rPr>
          <w:rFonts w:cs="Times New Roman"/>
        </w:rPr>
      </w:pPr>
      <w:r>
        <w:rPr>
          <w:rFonts w:hint="eastAsia" w:cs="Times New Roman"/>
        </w:rPr>
        <w:t>建宁</w:t>
      </w:r>
      <w:r>
        <w:rPr>
          <w:rFonts w:hint="eastAsia" w:ascii="仿宋_GB2312" w:hAnsi="仿宋" w:eastAsia="仿宋_GB2312"/>
          <w:sz w:val="28"/>
          <w:szCs w:val="28"/>
        </w:rPr>
        <w:t>县2021年</w:t>
      </w:r>
      <w:r>
        <w:rPr>
          <w:rFonts w:hint="eastAsia" w:cs="Times New Roman"/>
          <w:sz w:val="28"/>
          <w:szCs w:val="28"/>
        </w:rPr>
        <w:t>水土</w:t>
      </w:r>
      <w:r>
        <w:rPr>
          <w:rFonts w:hint="eastAsia" w:cs="Times New Roman"/>
        </w:rPr>
        <w:t>流失综合治理工程配套资金财政资金到位情况表</w:t>
      </w:r>
    </w:p>
    <w:p>
      <w:pPr>
        <w:spacing w:line="580" w:lineRule="exact"/>
        <w:ind w:firstLine="0" w:firstLineChars="0"/>
        <w:jc w:val="left"/>
        <w:rPr>
          <w:rFonts w:cs="Times New Roman"/>
          <w:sz w:val="21"/>
          <w:szCs w:val="21"/>
        </w:rPr>
      </w:pPr>
      <w:r>
        <w:rPr>
          <w:rFonts w:hint="eastAsia" w:cs="Times New Roman"/>
          <w:sz w:val="21"/>
          <w:szCs w:val="21"/>
        </w:rPr>
        <w:t>表</w:t>
      </w:r>
      <w:r>
        <w:rPr>
          <w:rFonts w:cs="Times New Roman"/>
          <w:sz w:val="21"/>
          <w:szCs w:val="21"/>
        </w:rPr>
        <w:t>3-1</w:t>
      </w:r>
    </w:p>
    <w:tbl>
      <w:tblPr>
        <w:tblStyle w:val="6"/>
        <w:tblW w:w="84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1" w:type="dxa"/>
          <w:bottom w:w="0" w:type="dxa"/>
          <w:right w:w="51" w:type="dxa"/>
        </w:tblCellMar>
      </w:tblPr>
      <w:tblGrid>
        <w:gridCol w:w="1887"/>
        <w:gridCol w:w="972"/>
        <w:gridCol w:w="887"/>
        <w:gridCol w:w="1284"/>
        <w:gridCol w:w="705"/>
        <w:gridCol w:w="1682"/>
        <w:gridCol w:w="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410" w:hRule="atLeast"/>
          <w:tblHeader/>
        </w:trPr>
        <w:tc>
          <w:tcPr>
            <w:tcW w:w="1887" w:type="dxa"/>
            <w:vMerge w:val="restart"/>
            <w:tcBorders>
              <w:tl2br w:val="nil"/>
              <w:tr2bl w:val="nil"/>
            </w:tcBorders>
            <w:shd w:val="clear" w:color="auto" w:fill="auto"/>
            <w:vAlign w:val="center"/>
          </w:tcPr>
          <w:p>
            <w:pPr>
              <w:spacing w:line="400" w:lineRule="exact"/>
              <w:ind w:firstLine="0" w:firstLineChars="0"/>
              <w:jc w:val="center"/>
              <w:rPr>
                <w:rFonts w:ascii="仿宋_GB2312" w:cs="Times New Roman"/>
                <w:kern w:val="0"/>
                <w:sz w:val="20"/>
                <w:szCs w:val="20"/>
              </w:rPr>
            </w:pPr>
            <w:r>
              <w:rPr>
                <w:rFonts w:hint="eastAsia" w:ascii="仿宋_GB2312" w:cs="Times New Roman"/>
                <w:color w:val="000000"/>
                <w:kern w:val="0"/>
                <w:sz w:val="20"/>
                <w:szCs w:val="20"/>
              </w:rPr>
              <w:t>分类</w:t>
            </w:r>
          </w:p>
        </w:tc>
        <w:tc>
          <w:tcPr>
            <w:tcW w:w="972" w:type="dxa"/>
            <w:vMerge w:val="restart"/>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批复预算数（万元）</w:t>
            </w:r>
          </w:p>
        </w:tc>
        <w:tc>
          <w:tcPr>
            <w:tcW w:w="2171" w:type="dxa"/>
            <w:gridSpan w:val="2"/>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预算数（万元）</w:t>
            </w:r>
          </w:p>
        </w:tc>
        <w:tc>
          <w:tcPr>
            <w:tcW w:w="2387" w:type="dxa"/>
            <w:gridSpan w:val="2"/>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财政到位资金（万元）</w:t>
            </w:r>
          </w:p>
        </w:tc>
        <w:tc>
          <w:tcPr>
            <w:tcW w:w="991" w:type="dxa"/>
            <w:vMerge w:val="restart"/>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lang w:val="en-US" w:eastAsia="zh-CN"/>
              </w:rPr>
              <w:t>县级</w:t>
            </w:r>
            <w:r>
              <w:rPr>
                <w:rFonts w:hint="eastAsia" w:ascii="仿宋_GB2312" w:cs="Times New Roman"/>
                <w:color w:val="000000"/>
                <w:kern w:val="0"/>
                <w:sz w:val="20"/>
                <w:szCs w:val="20"/>
              </w:rPr>
              <w:t>财政资金到位率（%）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1023" w:hRule="atLeast"/>
          <w:tblHeader/>
        </w:trPr>
        <w:tc>
          <w:tcPr>
            <w:tcW w:w="1887" w:type="dxa"/>
            <w:vMerge w:val="continue"/>
            <w:tcBorders>
              <w:tl2br w:val="nil"/>
              <w:tr2bl w:val="nil"/>
            </w:tcBorders>
            <w:vAlign w:val="center"/>
          </w:tcPr>
          <w:p>
            <w:pPr>
              <w:spacing w:line="580" w:lineRule="exact"/>
              <w:ind w:firstLine="0" w:firstLineChars="0"/>
              <w:jc w:val="center"/>
              <w:rPr>
                <w:rFonts w:cs="Times New Roman"/>
                <w:kern w:val="0"/>
                <w:sz w:val="21"/>
                <w:szCs w:val="21"/>
              </w:rPr>
            </w:pPr>
          </w:p>
        </w:tc>
        <w:tc>
          <w:tcPr>
            <w:tcW w:w="972" w:type="dxa"/>
            <w:vMerge w:val="continue"/>
            <w:tcBorders>
              <w:tl2br w:val="nil"/>
              <w:tr2bl w:val="nil"/>
            </w:tcBorders>
            <w:vAlign w:val="center"/>
          </w:tcPr>
          <w:p>
            <w:pPr>
              <w:spacing w:line="580" w:lineRule="exact"/>
              <w:ind w:firstLine="0" w:firstLineChars="0"/>
              <w:jc w:val="center"/>
              <w:rPr>
                <w:rFonts w:cs="Times New Roman"/>
                <w:kern w:val="0"/>
                <w:sz w:val="21"/>
                <w:szCs w:val="21"/>
              </w:rPr>
            </w:pPr>
          </w:p>
        </w:tc>
        <w:tc>
          <w:tcPr>
            <w:tcW w:w="887" w:type="dxa"/>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总投资</w:t>
            </w:r>
          </w:p>
        </w:tc>
        <w:tc>
          <w:tcPr>
            <w:tcW w:w="1284" w:type="dxa"/>
            <w:tcBorders>
              <w:tl2br w:val="nil"/>
              <w:tr2bl w:val="nil"/>
            </w:tcBorders>
            <w:vAlign w:val="center"/>
          </w:tcPr>
          <w:p>
            <w:pPr>
              <w:spacing w:line="400" w:lineRule="exact"/>
              <w:ind w:firstLine="0" w:firstLineChars="0"/>
              <w:jc w:val="center"/>
              <w:rPr>
                <w:rFonts w:hint="eastAsia" w:ascii="仿宋_GB2312" w:eastAsia="仿宋_GB2312" w:cs="Times New Roman"/>
                <w:color w:val="000000"/>
                <w:kern w:val="0"/>
                <w:sz w:val="20"/>
                <w:szCs w:val="20"/>
                <w:lang w:val="en-US" w:eastAsia="zh-CN"/>
              </w:rPr>
            </w:pPr>
            <w:r>
              <w:rPr>
                <w:rFonts w:hint="eastAsia" w:ascii="仿宋_GB2312" w:cs="Times New Roman"/>
                <w:color w:val="000000"/>
                <w:kern w:val="0"/>
                <w:sz w:val="20"/>
                <w:szCs w:val="20"/>
              </w:rPr>
              <w:t>其中：</w:t>
            </w:r>
            <w:r>
              <w:rPr>
                <w:rFonts w:hint="eastAsia" w:ascii="仿宋_GB2312" w:cs="Times New Roman"/>
                <w:color w:val="000000"/>
                <w:kern w:val="0"/>
                <w:sz w:val="20"/>
                <w:szCs w:val="20"/>
                <w:lang w:val="en-US" w:eastAsia="zh-CN"/>
              </w:rPr>
              <w:t>县级</w:t>
            </w:r>
          </w:p>
        </w:tc>
        <w:tc>
          <w:tcPr>
            <w:tcW w:w="705"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小计</w:t>
            </w:r>
          </w:p>
        </w:tc>
        <w:tc>
          <w:tcPr>
            <w:tcW w:w="1682" w:type="dxa"/>
            <w:tcBorders>
              <w:tl2br w:val="nil"/>
              <w:tr2bl w:val="nil"/>
            </w:tcBorders>
            <w:shd w:val="clear" w:color="auto" w:fill="auto"/>
            <w:vAlign w:val="center"/>
          </w:tcPr>
          <w:p>
            <w:pPr>
              <w:spacing w:line="400" w:lineRule="exact"/>
              <w:ind w:firstLine="0" w:firstLineChars="0"/>
              <w:jc w:val="center"/>
              <w:rPr>
                <w:rFonts w:hint="eastAsia" w:ascii="仿宋_GB2312" w:eastAsia="仿宋_GB2312" w:cs="Times New Roman"/>
                <w:color w:val="000000"/>
                <w:kern w:val="0"/>
                <w:sz w:val="20"/>
                <w:szCs w:val="20"/>
                <w:lang w:val="en-US" w:eastAsia="zh-CN"/>
              </w:rPr>
            </w:pPr>
            <w:r>
              <w:rPr>
                <w:rFonts w:hint="eastAsia" w:ascii="仿宋_GB2312" w:cs="Times New Roman"/>
                <w:color w:val="000000"/>
                <w:kern w:val="0"/>
                <w:sz w:val="20"/>
                <w:szCs w:val="20"/>
              </w:rPr>
              <w:t>其中：</w:t>
            </w:r>
            <w:r>
              <w:rPr>
                <w:rFonts w:hint="eastAsia" w:ascii="仿宋_GB2312" w:cs="Times New Roman"/>
                <w:color w:val="000000"/>
                <w:kern w:val="0"/>
                <w:sz w:val="20"/>
                <w:szCs w:val="20"/>
                <w:lang w:val="en-US" w:eastAsia="zh-CN"/>
              </w:rPr>
              <w:t>县级</w:t>
            </w:r>
          </w:p>
        </w:tc>
        <w:tc>
          <w:tcPr>
            <w:tcW w:w="991" w:type="dxa"/>
            <w:vMerge w:val="continue"/>
            <w:tcBorders>
              <w:tl2br w:val="nil"/>
              <w:tr2bl w:val="nil"/>
            </w:tcBorders>
            <w:shd w:val="clear" w:color="auto" w:fill="auto"/>
            <w:vAlign w:val="center"/>
          </w:tcPr>
          <w:p>
            <w:pPr>
              <w:spacing w:line="580" w:lineRule="exact"/>
              <w:ind w:firstLine="0" w:firstLineChars="0"/>
              <w:rPr>
                <w:rFonts w:cs="Times New Roman"/>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97" w:hRule="atLeast"/>
        </w:trPr>
        <w:tc>
          <w:tcPr>
            <w:tcW w:w="1887" w:type="dxa"/>
            <w:tcBorders>
              <w:tl2br w:val="nil"/>
              <w:tr2bl w:val="nil"/>
            </w:tcBorders>
            <w:shd w:val="clear" w:color="auto" w:fill="auto"/>
            <w:vAlign w:val="center"/>
          </w:tcPr>
          <w:p>
            <w:pPr>
              <w:spacing w:line="580" w:lineRule="exact"/>
              <w:ind w:firstLine="0" w:firstLineChars="0"/>
              <w:jc w:val="center"/>
              <w:rPr>
                <w:rFonts w:cs="Times New Roman"/>
                <w:kern w:val="0"/>
                <w:sz w:val="21"/>
                <w:szCs w:val="21"/>
              </w:rPr>
            </w:pPr>
            <w:r>
              <w:rPr>
                <w:rFonts w:hint="eastAsia" w:cs="Times New Roman"/>
                <w:kern w:val="0"/>
                <w:sz w:val="21"/>
                <w:szCs w:val="21"/>
              </w:rPr>
              <w:t>合计</w:t>
            </w:r>
          </w:p>
        </w:tc>
        <w:tc>
          <w:tcPr>
            <w:tcW w:w="972" w:type="dxa"/>
            <w:tcBorders>
              <w:tl2br w:val="nil"/>
              <w:tr2bl w:val="nil"/>
            </w:tcBorders>
            <w:shd w:val="clear" w:color="auto" w:fill="auto"/>
            <w:vAlign w:val="center"/>
          </w:tcPr>
          <w:p>
            <w:pPr>
              <w:spacing w:line="580" w:lineRule="exact"/>
              <w:ind w:firstLine="0" w:firstLineChars="0"/>
              <w:jc w:val="center"/>
              <w:rPr>
                <w:rFonts w:hint="default" w:eastAsia="仿宋_GB2312" w:cs="Times New Roman"/>
                <w:kern w:val="0"/>
                <w:sz w:val="21"/>
                <w:szCs w:val="21"/>
                <w:lang w:val="en-US" w:eastAsia="zh-CN"/>
              </w:rPr>
            </w:pPr>
            <w:r>
              <w:rPr>
                <w:rFonts w:hint="eastAsia" w:cs="Times New Roman"/>
                <w:kern w:val="0"/>
                <w:sz w:val="21"/>
                <w:szCs w:val="21"/>
                <w:lang w:val="en-US" w:eastAsia="zh-CN"/>
              </w:rPr>
              <w:t>120</w:t>
            </w:r>
          </w:p>
        </w:tc>
        <w:tc>
          <w:tcPr>
            <w:tcW w:w="887" w:type="dxa"/>
            <w:tcBorders>
              <w:tl2br w:val="nil"/>
              <w:tr2bl w:val="nil"/>
            </w:tcBorders>
            <w:shd w:val="clear" w:color="auto" w:fill="auto"/>
            <w:vAlign w:val="center"/>
          </w:tcPr>
          <w:p>
            <w:pPr>
              <w:spacing w:line="580" w:lineRule="exact"/>
              <w:ind w:firstLine="0" w:firstLineChars="0"/>
              <w:jc w:val="center"/>
              <w:rPr>
                <w:rFonts w:hint="default" w:eastAsia="仿宋_GB2312" w:cs="Times New Roman"/>
                <w:kern w:val="0"/>
                <w:sz w:val="21"/>
                <w:szCs w:val="21"/>
                <w:lang w:val="en-US" w:eastAsia="zh-CN"/>
              </w:rPr>
            </w:pPr>
            <w:r>
              <w:rPr>
                <w:rFonts w:hint="eastAsia" w:cs="Times New Roman"/>
                <w:kern w:val="0"/>
                <w:sz w:val="21"/>
                <w:szCs w:val="21"/>
                <w:lang w:val="en-US" w:eastAsia="zh-CN"/>
              </w:rPr>
              <w:t>56.68</w:t>
            </w:r>
          </w:p>
        </w:tc>
        <w:tc>
          <w:tcPr>
            <w:tcW w:w="1284" w:type="dxa"/>
            <w:tcBorders>
              <w:tl2br w:val="nil"/>
              <w:tr2bl w:val="nil"/>
            </w:tcBorders>
            <w:shd w:val="clear" w:color="auto" w:fill="auto"/>
            <w:vAlign w:val="center"/>
          </w:tcPr>
          <w:p>
            <w:pPr>
              <w:spacing w:line="580" w:lineRule="exact"/>
              <w:ind w:firstLine="0" w:firstLineChars="0"/>
              <w:jc w:val="center"/>
              <w:rPr>
                <w:rFonts w:hint="default" w:eastAsia="仿宋_GB2312" w:cs="Times New Roman"/>
                <w:kern w:val="0"/>
                <w:sz w:val="21"/>
                <w:szCs w:val="21"/>
                <w:lang w:val="en-US" w:eastAsia="zh-CN"/>
              </w:rPr>
            </w:pPr>
            <w:r>
              <w:rPr>
                <w:rFonts w:hint="eastAsia" w:cs="Times New Roman"/>
                <w:kern w:val="0"/>
                <w:sz w:val="21"/>
                <w:szCs w:val="21"/>
                <w:lang w:val="en-US" w:eastAsia="zh-CN"/>
              </w:rPr>
              <w:t>56.68</w:t>
            </w:r>
          </w:p>
        </w:tc>
        <w:tc>
          <w:tcPr>
            <w:tcW w:w="705" w:type="dxa"/>
            <w:tcBorders>
              <w:tl2br w:val="nil"/>
              <w:tr2bl w:val="nil"/>
            </w:tcBorders>
            <w:shd w:val="clear" w:color="auto" w:fill="auto"/>
            <w:vAlign w:val="center"/>
          </w:tcPr>
          <w:p>
            <w:pPr>
              <w:spacing w:line="580" w:lineRule="exact"/>
              <w:ind w:firstLine="0" w:firstLineChars="0"/>
              <w:jc w:val="center"/>
              <w:rPr>
                <w:rFonts w:hint="default" w:eastAsia="仿宋_GB2312" w:cs="Times New Roman"/>
                <w:kern w:val="0"/>
                <w:sz w:val="21"/>
                <w:szCs w:val="21"/>
                <w:lang w:val="en-US" w:eastAsia="zh-CN"/>
              </w:rPr>
            </w:pPr>
            <w:r>
              <w:rPr>
                <w:rFonts w:hint="eastAsia" w:cs="Times New Roman"/>
                <w:kern w:val="0"/>
                <w:sz w:val="21"/>
                <w:szCs w:val="21"/>
                <w:lang w:val="en-US" w:eastAsia="zh-CN"/>
              </w:rPr>
              <w:t>56.68</w:t>
            </w:r>
          </w:p>
        </w:tc>
        <w:tc>
          <w:tcPr>
            <w:tcW w:w="1682" w:type="dxa"/>
            <w:tcBorders>
              <w:tl2br w:val="nil"/>
              <w:tr2bl w:val="nil"/>
            </w:tcBorders>
            <w:shd w:val="clear" w:color="auto" w:fill="auto"/>
            <w:vAlign w:val="center"/>
          </w:tcPr>
          <w:p>
            <w:pPr>
              <w:spacing w:line="580" w:lineRule="exact"/>
              <w:ind w:firstLine="0" w:firstLineChars="0"/>
              <w:jc w:val="center"/>
              <w:rPr>
                <w:rFonts w:hint="default" w:eastAsia="仿宋_GB2312" w:cs="Times New Roman"/>
                <w:kern w:val="0"/>
                <w:sz w:val="21"/>
                <w:szCs w:val="21"/>
                <w:lang w:val="en-US" w:eastAsia="zh-CN"/>
              </w:rPr>
            </w:pPr>
            <w:r>
              <w:rPr>
                <w:rFonts w:hint="eastAsia" w:cs="Times New Roman"/>
                <w:kern w:val="0"/>
                <w:sz w:val="21"/>
                <w:szCs w:val="21"/>
                <w:lang w:val="en-US" w:eastAsia="zh-CN"/>
              </w:rPr>
              <w:t>56.68</w:t>
            </w:r>
          </w:p>
        </w:tc>
        <w:tc>
          <w:tcPr>
            <w:tcW w:w="991" w:type="dxa"/>
            <w:tcBorders>
              <w:tl2br w:val="nil"/>
              <w:tr2bl w:val="nil"/>
            </w:tcBorders>
            <w:shd w:val="clear" w:color="auto" w:fill="auto"/>
            <w:vAlign w:val="center"/>
          </w:tcPr>
          <w:p>
            <w:pPr>
              <w:spacing w:line="580" w:lineRule="exact"/>
              <w:ind w:firstLine="0" w:firstLineChars="0"/>
              <w:jc w:val="center"/>
              <w:rPr>
                <w:rFonts w:hint="default" w:eastAsia="仿宋_GB2312" w:cs="Times New Roman"/>
                <w:color w:val="000000"/>
                <w:kern w:val="0"/>
                <w:sz w:val="21"/>
                <w:szCs w:val="21"/>
                <w:highlight w:val="yellow"/>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50" w:hRule="atLeast"/>
        </w:trPr>
        <w:tc>
          <w:tcPr>
            <w:tcW w:w="1887"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w:t>
            </w:r>
          </w:p>
        </w:tc>
        <w:tc>
          <w:tcPr>
            <w:tcW w:w="972"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887"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1284"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705"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1682"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991" w:type="dxa"/>
            <w:tcBorders>
              <w:tl2br w:val="nil"/>
              <w:tr2bl w:val="nil"/>
            </w:tcBorders>
            <w:shd w:val="clear" w:color="auto" w:fill="auto"/>
            <w:vAlign w:val="center"/>
          </w:tcPr>
          <w:p>
            <w:pPr>
              <w:spacing w:line="580" w:lineRule="exact"/>
              <w:ind w:firstLine="0" w:firstLineChars="0"/>
              <w:jc w:val="center"/>
              <w:rPr>
                <w:rFonts w:cs="Times New Roman"/>
                <w:kern w:val="0"/>
                <w:sz w:val="21"/>
                <w:szCs w:val="21"/>
              </w:rPr>
            </w:pPr>
          </w:p>
        </w:tc>
      </w:tr>
    </w:tbl>
    <w:p>
      <w:pPr>
        <w:spacing w:line="580" w:lineRule="exact"/>
        <w:ind w:firstLine="0" w:firstLineChars="0"/>
        <w:rPr>
          <w:rFonts w:ascii="仿宋_GB2312" w:cs="Times New Roman"/>
          <w:sz w:val="18"/>
          <w:szCs w:val="18"/>
        </w:rPr>
      </w:pPr>
      <w:r>
        <w:rPr>
          <w:rFonts w:hint="eastAsia" w:ascii="仿宋_GB2312" w:cs="Times New Roman"/>
          <w:sz w:val="18"/>
          <w:szCs w:val="18"/>
        </w:rPr>
        <w:t>注：财政资金到位率=</w:t>
      </w:r>
      <w:r>
        <w:rPr>
          <w:rFonts w:hint="eastAsia" w:ascii="仿宋_GB2312" w:cs="Times New Roman"/>
          <w:sz w:val="18"/>
          <w:szCs w:val="18"/>
          <w:lang w:val="en-US" w:eastAsia="zh-CN"/>
        </w:rPr>
        <w:t>省级</w:t>
      </w:r>
      <w:r>
        <w:rPr>
          <w:rFonts w:hint="eastAsia" w:ascii="仿宋_GB2312" w:cs="Times New Roman"/>
          <w:sz w:val="18"/>
          <w:szCs w:val="18"/>
        </w:rPr>
        <w:t>财政到位资金/</w:t>
      </w:r>
      <w:r>
        <w:rPr>
          <w:rFonts w:hint="eastAsia" w:ascii="仿宋_GB2312" w:cs="Times New Roman"/>
          <w:sz w:val="18"/>
          <w:szCs w:val="18"/>
          <w:lang w:val="en-US" w:eastAsia="zh-CN"/>
        </w:rPr>
        <w:t>省级</w:t>
      </w:r>
      <w:r>
        <w:rPr>
          <w:rFonts w:hint="eastAsia" w:ascii="仿宋_GB2312" w:cs="Times New Roman"/>
          <w:sz w:val="18"/>
          <w:szCs w:val="18"/>
        </w:rPr>
        <w:t>资金预算数</w:t>
      </w:r>
    </w:p>
    <w:p>
      <w:pPr>
        <w:spacing w:line="580" w:lineRule="exact"/>
        <w:ind w:firstLine="0" w:firstLineChars="0"/>
        <w:rPr>
          <w:rFonts w:ascii="仿宋_GB2312" w:cs="Times New Roman"/>
          <w:sz w:val="32"/>
          <w:szCs w:val="32"/>
        </w:rPr>
      </w:pPr>
      <w:r>
        <w:rPr>
          <w:rFonts w:hint="eastAsia" w:ascii="仿宋_GB2312" w:cs="Times New Roman"/>
          <w:sz w:val="32"/>
          <w:szCs w:val="32"/>
        </w:rPr>
        <w:t>2.资金执行情况</w:t>
      </w:r>
    </w:p>
    <w:p>
      <w:pPr>
        <w:spacing w:line="580" w:lineRule="exact"/>
        <w:ind w:firstLine="640"/>
        <w:rPr>
          <w:rFonts w:hint="eastAsia" w:ascii="仿宋_GB2312" w:eastAsia="仿宋_GB2312" w:cs="Times New Roman"/>
          <w:sz w:val="32"/>
          <w:szCs w:val="32"/>
          <w:lang w:val="en-US" w:eastAsia="zh-CN"/>
        </w:rPr>
      </w:pPr>
      <w:r>
        <w:rPr>
          <w:rFonts w:hint="eastAsia" w:ascii="仿宋_GB2312" w:cs="Times New Roman"/>
          <w:sz w:val="32"/>
          <w:szCs w:val="32"/>
          <w:lang w:val="en-US" w:eastAsia="zh-CN"/>
        </w:rPr>
        <w:t>该项目</w:t>
      </w:r>
      <w:r>
        <w:rPr>
          <w:rFonts w:hint="eastAsia" w:ascii="仿宋_GB2312" w:cs="Times New Roman"/>
          <w:sz w:val="32"/>
          <w:szCs w:val="32"/>
        </w:rPr>
        <w:t>截至202</w:t>
      </w:r>
      <w:r>
        <w:rPr>
          <w:rFonts w:hint="eastAsia" w:ascii="仿宋_GB2312" w:cs="Times New Roman"/>
          <w:sz w:val="32"/>
          <w:szCs w:val="32"/>
          <w:lang w:val="en-US" w:eastAsia="zh-CN"/>
        </w:rPr>
        <w:t>2</w:t>
      </w:r>
      <w:r>
        <w:rPr>
          <w:rFonts w:hint="eastAsia" w:ascii="仿宋_GB2312" w:cs="Times New Roman"/>
          <w:sz w:val="32"/>
          <w:szCs w:val="32"/>
        </w:rPr>
        <w:t>年</w:t>
      </w:r>
      <w:r>
        <w:rPr>
          <w:rFonts w:hint="eastAsia" w:ascii="仿宋_GB2312" w:cs="Times New Roman"/>
          <w:sz w:val="32"/>
          <w:szCs w:val="32"/>
          <w:lang w:val="en-US" w:eastAsia="zh-CN"/>
        </w:rPr>
        <w:t>6</w:t>
      </w:r>
      <w:r>
        <w:rPr>
          <w:rFonts w:hint="eastAsia" w:ascii="仿宋_GB2312" w:cs="Times New Roman"/>
          <w:sz w:val="32"/>
          <w:szCs w:val="32"/>
        </w:rPr>
        <w:t>月</w:t>
      </w:r>
      <w:r>
        <w:rPr>
          <w:rFonts w:hint="eastAsia" w:ascii="仿宋_GB2312" w:cs="Times New Roman"/>
          <w:sz w:val="32"/>
          <w:szCs w:val="32"/>
          <w:lang w:val="en-US" w:eastAsia="zh-CN"/>
        </w:rPr>
        <w:t>实际到位配套</w:t>
      </w:r>
      <w:r>
        <w:rPr>
          <w:rFonts w:hint="eastAsia" w:ascii="仿宋_GB2312" w:cs="Times New Roman"/>
          <w:sz w:val="32"/>
          <w:szCs w:val="32"/>
        </w:rPr>
        <w:t>资金</w:t>
      </w:r>
      <w:r>
        <w:rPr>
          <w:rFonts w:hint="eastAsia" w:ascii="仿宋_GB2312" w:cs="Times New Roman"/>
          <w:sz w:val="32"/>
          <w:szCs w:val="32"/>
          <w:lang w:val="en-US" w:eastAsia="zh-CN"/>
        </w:rPr>
        <w:t>56.68万</w:t>
      </w:r>
      <w:r>
        <w:rPr>
          <w:rFonts w:hint="eastAsia" w:ascii="仿宋_GB2312" w:cs="Times New Roman"/>
          <w:sz w:val="32"/>
          <w:szCs w:val="32"/>
        </w:rPr>
        <w:t>已全部完成，占任务的100%，</w:t>
      </w:r>
      <w:r>
        <w:rPr>
          <w:rFonts w:hint="eastAsia" w:ascii="仿宋_GB2312" w:cs="Times New Roman"/>
          <w:sz w:val="32"/>
          <w:szCs w:val="32"/>
          <w:lang w:val="en-US" w:eastAsia="zh-CN"/>
        </w:rPr>
        <w:t>配套项目</w:t>
      </w:r>
      <w:r>
        <w:rPr>
          <w:rFonts w:hint="eastAsia" w:ascii="仿宋_GB2312" w:cs="Times New Roman"/>
          <w:sz w:val="32"/>
          <w:szCs w:val="32"/>
        </w:rPr>
        <w:t>主体工程已完成</w:t>
      </w:r>
      <w:r>
        <w:rPr>
          <w:rFonts w:hint="eastAsia" w:ascii="仿宋_GB2312" w:cs="Times New Roman"/>
          <w:sz w:val="32"/>
          <w:szCs w:val="32"/>
          <w:lang w:val="en-US" w:eastAsia="zh-CN"/>
        </w:rPr>
        <w:t>建设。</w:t>
      </w:r>
    </w:p>
    <w:p>
      <w:pPr>
        <w:spacing w:line="580" w:lineRule="exact"/>
        <w:ind w:firstLine="0" w:firstLineChars="0"/>
        <w:jc w:val="center"/>
        <w:rPr>
          <w:rFonts w:cs="Times New Roman"/>
        </w:rPr>
      </w:pPr>
      <w:r>
        <w:rPr>
          <w:rFonts w:hint="eastAsia" w:cs="Times New Roman"/>
        </w:rPr>
        <w:t>建宁</w:t>
      </w:r>
      <w:r>
        <w:rPr>
          <w:rFonts w:hint="eastAsia" w:ascii="仿宋_GB2312" w:hAnsi="仿宋" w:eastAsia="仿宋_GB2312"/>
          <w:sz w:val="28"/>
          <w:szCs w:val="28"/>
        </w:rPr>
        <w:t>县2021年</w:t>
      </w:r>
      <w:r>
        <w:rPr>
          <w:rFonts w:hint="eastAsia" w:cs="Times New Roman"/>
        </w:rPr>
        <w:t>水土流失综合治理工程配套资金执行情况表</w:t>
      </w:r>
    </w:p>
    <w:p>
      <w:pPr>
        <w:spacing w:line="580" w:lineRule="exact"/>
        <w:ind w:firstLine="0" w:firstLineChars="0"/>
        <w:jc w:val="left"/>
        <w:rPr>
          <w:rFonts w:cs="Times New Roman"/>
          <w:sz w:val="21"/>
          <w:szCs w:val="21"/>
        </w:rPr>
      </w:pPr>
      <w:r>
        <w:rPr>
          <w:rFonts w:hint="eastAsia" w:cs="Times New Roman"/>
          <w:sz w:val="21"/>
          <w:szCs w:val="21"/>
        </w:rPr>
        <w:t>表</w:t>
      </w:r>
      <w:r>
        <w:rPr>
          <w:rFonts w:cs="Times New Roman"/>
          <w:sz w:val="21"/>
          <w:szCs w:val="21"/>
        </w:rPr>
        <w:t>3-</w:t>
      </w:r>
      <w:r>
        <w:rPr>
          <w:rFonts w:hint="eastAsia" w:cs="Times New Roman"/>
          <w:sz w:val="21"/>
          <w:szCs w:val="21"/>
        </w:rPr>
        <w:t>2</w:t>
      </w:r>
    </w:p>
    <w:tbl>
      <w:tblPr>
        <w:tblStyle w:val="6"/>
        <w:tblW w:w="84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1" w:type="dxa"/>
          <w:bottom w:w="0" w:type="dxa"/>
          <w:right w:w="51" w:type="dxa"/>
        </w:tblCellMar>
      </w:tblPr>
      <w:tblGrid>
        <w:gridCol w:w="2481"/>
        <w:gridCol w:w="1339"/>
        <w:gridCol w:w="1147"/>
        <w:gridCol w:w="1149"/>
        <w:gridCol w:w="1147"/>
        <w:gridCol w:w="11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400" w:hRule="atLeast"/>
          <w:tblHeader/>
        </w:trPr>
        <w:tc>
          <w:tcPr>
            <w:tcW w:w="2481" w:type="dxa"/>
            <w:vMerge w:val="restart"/>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分  类</w:t>
            </w:r>
          </w:p>
        </w:tc>
        <w:tc>
          <w:tcPr>
            <w:tcW w:w="1339" w:type="dxa"/>
            <w:vMerge w:val="restart"/>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投资</w:t>
            </w:r>
          </w:p>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（万元）</w:t>
            </w:r>
          </w:p>
        </w:tc>
        <w:tc>
          <w:tcPr>
            <w:tcW w:w="2296" w:type="dxa"/>
            <w:gridSpan w:val="2"/>
            <w:vMerge w:val="restart"/>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完成投资</w:t>
            </w:r>
          </w:p>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（万元）</w:t>
            </w:r>
          </w:p>
        </w:tc>
        <w:tc>
          <w:tcPr>
            <w:tcW w:w="2292" w:type="dxa"/>
            <w:gridSpan w:val="2"/>
            <w:vMerge w:val="restart"/>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投资完成率</w:t>
            </w:r>
          </w:p>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400" w:hRule="atLeast"/>
          <w:tblHeader/>
        </w:trPr>
        <w:tc>
          <w:tcPr>
            <w:tcW w:w="2481" w:type="dxa"/>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c>
          <w:tcPr>
            <w:tcW w:w="1339" w:type="dxa"/>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c>
          <w:tcPr>
            <w:tcW w:w="2296" w:type="dxa"/>
            <w:gridSpan w:val="2"/>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c>
          <w:tcPr>
            <w:tcW w:w="2292" w:type="dxa"/>
            <w:gridSpan w:val="2"/>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blHeader/>
        </w:trPr>
        <w:tc>
          <w:tcPr>
            <w:tcW w:w="2481" w:type="dxa"/>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c>
          <w:tcPr>
            <w:tcW w:w="1339" w:type="dxa"/>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c>
          <w:tcPr>
            <w:tcW w:w="1147"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截至202</w:t>
            </w:r>
            <w:r>
              <w:rPr>
                <w:rFonts w:hint="eastAsia" w:ascii="仿宋_GB2312" w:cs="Times New Roman"/>
                <w:color w:val="000000"/>
                <w:kern w:val="0"/>
                <w:sz w:val="20"/>
                <w:szCs w:val="20"/>
                <w:lang w:val="en-US" w:eastAsia="zh-CN"/>
              </w:rPr>
              <w:t>1</w:t>
            </w:r>
            <w:r>
              <w:rPr>
                <w:rFonts w:hint="eastAsia" w:ascii="仿宋_GB2312" w:cs="Times New Roman"/>
                <w:color w:val="000000"/>
                <w:kern w:val="0"/>
                <w:sz w:val="20"/>
                <w:szCs w:val="20"/>
              </w:rPr>
              <w:t>年12月底</w:t>
            </w:r>
          </w:p>
        </w:tc>
        <w:tc>
          <w:tcPr>
            <w:tcW w:w="1149"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截至202</w:t>
            </w:r>
            <w:r>
              <w:rPr>
                <w:rFonts w:hint="eastAsia" w:ascii="仿宋_GB2312" w:cs="Times New Roman"/>
                <w:color w:val="000000"/>
                <w:kern w:val="0"/>
                <w:sz w:val="20"/>
                <w:szCs w:val="20"/>
                <w:lang w:val="en-US" w:eastAsia="zh-CN"/>
              </w:rPr>
              <w:t>2</w:t>
            </w:r>
            <w:r>
              <w:rPr>
                <w:rFonts w:hint="eastAsia" w:ascii="仿宋_GB2312" w:cs="Times New Roman"/>
                <w:color w:val="000000"/>
                <w:kern w:val="0"/>
                <w:sz w:val="20"/>
                <w:szCs w:val="20"/>
              </w:rPr>
              <w:t>年</w:t>
            </w:r>
            <w:r>
              <w:rPr>
                <w:rFonts w:hint="eastAsia" w:ascii="仿宋_GB2312" w:cs="Times New Roman"/>
                <w:color w:val="000000"/>
                <w:kern w:val="0"/>
                <w:sz w:val="20"/>
                <w:szCs w:val="20"/>
                <w:lang w:val="en-US" w:eastAsia="zh-CN"/>
              </w:rPr>
              <w:t>6</w:t>
            </w:r>
            <w:r>
              <w:rPr>
                <w:rFonts w:hint="eastAsia" w:ascii="仿宋_GB2312" w:cs="Times New Roman"/>
                <w:color w:val="000000"/>
                <w:kern w:val="0"/>
                <w:sz w:val="20"/>
                <w:szCs w:val="20"/>
              </w:rPr>
              <w:t>月底</w:t>
            </w:r>
          </w:p>
        </w:tc>
        <w:tc>
          <w:tcPr>
            <w:tcW w:w="1147"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截至202</w:t>
            </w:r>
            <w:r>
              <w:rPr>
                <w:rFonts w:hint="eastAsia" w:ascii="仿宋_GB2312" w:cs="Times New Roman"/>
                <w:color w:val="000000"/>
                <w:kern w:val="0"/>
                <w:sz w:val="20"/>
                <w:szCs w:val="20"/>
                <w:lang w:val="en-US" w:eastAsia="zh-CN"/>
              </w:rPr>
              <w:t>1</w:t>
            </w:r>
            <w:r>
              <w:rPr>
                <w:rFonts w:hint="eastAsia" w:ascii="仿宋_GB2312" w:cs="Times New Roman"/>
                <w:color w:val="000000"/>
                <w:kern w:val="0"/>
                <w:sz w:val="20"/>
                <w:szCs w:val="20"/>
              </w:rPr>
              <w:t>年12月底</w:t>
            </w:r>
          </w:p>
        </w:tc>
        <w:tc>
          <w:tcPr>
            <w:tcW w:w="1145"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rPr>
              <w:t>截至202</w:t>
            </w:r>
            <w:r>
              <w:rPr>
                <w:rFonts w:hint="eastAsia" w:ascii="仿宋_GB2312" w:cs="Times New Roman"/>
                <w:color w:val="000000"/>
                <w:kern w:val="0"/>
                <w:sz w:val="20"/>
                <w:szCs w:val="20"/>
                <w:lang w:val="en-US" w:eastAsia="zh-CN"/>
              </w:rPr>
              <w:t>2</w:t>
            </w:r>
            <w:r>
              <w:rPr>
                <w:rFonts w:hint="eastAsia" w:ascii="仿宋_GB2312" w:cs="Times New Roman"/>
                <w:color w:val="000000"/>
                <w:kern w:val="0"/>
                <w:sz w:val="20"/>
                <w:szCs w:val="20"/>
              </w:rPr>
              <w:t>年</w:t>
            </w:r>
            <w:r>
              <w:rPr>
                <w:rFonts w:hint="eastAsia" w:ascii="仿宋_GB2312" w:cs="Times New Roman"/>
                <w:color w:val="000000"/>
                <w:kern w:val="0"/>
                <w:sz w:val="20"/>
                <w:szCs w:val="20"/>
                <w:lang w:val="en-US" w:eastAsia="zh-CN"/>
              </w:rPr>
              <w:t>6</w:t>
            </w:r>
            <w:r>
              <w:rPr>
                <w:rFonts w:hint="eastAsia" w:ascii="仿宋_GB2312" w:cs="Times New Roman"/>
                <w:color w:val="000000"/>
                <w:kern w:val="0"/>
                <w:sz w:val="20"/>
                <w:szCs w:val="20"/>
              </w:rPr>
              <w:t>月底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rPr>
        <w:tc>
          <w:tcPr>
            <w:tcW w:w="2481" w:type="dxa"/>
            <w:tcBorders>
              <w:tl2br w:val="nil"/>
              <w:tr2bl w:val="nil"/>
            </w:tcBorders>
            <w:shd w:val="clear" w:color="auto" w:fill="auto"/>
            <w:vAlign w:val="center"/>
          </w:tcPr>
          <w:p>
            <w:pPr>
              <w:spacing w:line="580" w:lineRule="exact"/>
              <w:ind w:firstLine="0" w:firstLineChars="0"/>
              <w:jc w:val="center"/>
              <w:rPr>
                <w:rFonts w:ascii="仿宋_GB2312" w:cs="Times New Roman"/>
                <w:kern w:val="0"/>
                <w:sz w:val="20"/>
                <w:szCs w:val="20"/>
              </w:rPr>
            </w:pPr>
            <w:r>
              <w:rPr>
                <w:rFonts w:hint="eastAsia" w:cs="Times New Roman"/>
                <w:kern w:val="0"/>
                <w:sz w:val="21"/>
                <w:szCs w:val="21"/>
              </w:rPr>
              <w:t>合计</w:t>
            </w:r>
          </w:p>
        </w:tc>
        <w:tc>
          <w:tcPr>
            <w:tcW w:w="1339"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7"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9"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7"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5"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1117" w:hRule="atLeast"/>
        </w:trPr>
        <w:tc>
          <w:tcPr>
            <w:tcW w:w="2481" w:type="dxa"/>
            <w:tcBorders>
              <w:tl2br w:val="nil"/>
              <w:tr2bl w:val="nil"/>
            </w:tcBorders>
            <w:shd w:val="clear" w:color="auto" w:fill="auto"/>
            <w:vAlign w:val="center"/>
          </w:tcPr>
          <w:p>
            <w:pPr>
              <w:spacing w:line="580" w:lineRule="exact"/>
              <w:ind w:firstLine="0" w:firstLineChars="0"/>
              <w:jc w:val="center"/>
              <w:rPr>
                <w:rFonts w:ascii="仿宋_GB2312" w:cs="Times New Roman"/>
                <w:kern w:val="0"/>
                <w:sz w:val="20"/>
                <w:szCs w:val="20"/>
              </w:rPr>
            </w:pPr>
            <w:r>
              <w:rPr>
                <w:rFonts w:hint="eastAsia" w:ascii="仿宋_GB2312" w:cs="Times New Roman"/>
                <w:kern w:val="0"/>
                <w:sz w:val="20"/>
                <w:szCs w:val="20"/>
              </w:rPr>
              <w:t>建宁县2021年水土流失综合治理工程配套资金</w:t>
            </w:r>
          </w:p>
        </w:tc>
        <w:tc>
          <w:tcPr>
            <w:tcW w:w="1339" w:type="dxa"/>
            <w:tcBorders>
              <w:tl2br w:val="nil"/>
              <w:tr2bl w:val="nil"/>
            </w:tcBorders>
            <w:shd w:val="clear" w:color="auto" w:fill="auto"/>
            <w:vAlign w:val="center"/>
          </w:tcPr>
          <w:p>
            <w:pPr>
              <w:spacing w:line="580" w:lineRule="exact"/>
              <w:ind w:firstLine="0" w:firstLineChars="0"/>
              <w:jc w:val="center"/>
              <w:rPr>
                <w:rFonts w:hint="default" w:ascii="仿宋_GB2312" w:eastAsia="仿宋_GB2312" w:cs="Times New Roman"/>
                <w:color w:val="000000"/>
                <w:kern w:val="0"/>
                <w:sz w:val="20"/>
                <w:szCs w:val="20"/>
                <w:lang w:val="en-US" w:eastAsia="zh-CN"/>
              </w:rPr>
            </w:pPr>
            <w:r>
              <w:rPr>
                <w:rFonts w:hint="eastAsia" w:ascii="仿宋_GB2312" w:cs="Times New Roman"/>
                <w:color w:val="000000"/>
                <w:kern w:val="0"/>
                <w:sz w:val="20"/>
                <w:szCs w:val="20"/>
                <w:lang w:val="en-US" w:eastAsia="zh-CN"/>
              </w:rPr>
              <w:t>56.68</w:t>
            </w:r>
          </w:p>
        </w:tc>
        <w:tc>
          <w:tcPr>
            <w:tcW w:w="1147" w:type="dxa"/>
            <w:tcBorders>
              <w:tl2br w:val="nil"/>
              <w:tr2bl w:val="nil"/>
            </w:tcBorders>
            <w:shd w:val="clear" w:color="auto" w:fill="auto"/>
            <w:vAlign w:val="center"/>
          </w:tcPr>
          <w:p>
            <w:pPr>
              <w:spacing w:line="580" w:lineRule="exact"/>
              <w:ind w:firstLine="0" w:firstLineChars="0"/>
              <w:jc w:val="center"/>
              <w:rPr>
                <w:rFonts w:hint="default" w:ascii="仿宋_GB2312" w:eastAsia="仿宋_GB2312" w:cs="Times New Roman"/>
                <w:color w:val="000000"/>
                <w:kern w:val="0"/>
                <w:sz w:val="20"/>
                <w:szCs w:val="20"/>
                <w:lang w:val="en-US" w:eastAsia="zh-CN"/>
              </w:rPr>
            </w:pPr>
            <w:r>
              <w:rPr>
                <w:rFonts w:hint="eastAsia" w:ascii="仿宋_GB2312" w:cs="Times New Roman"/>
                <w:color w:val="000000"/>
                <w:kern w:val="0"/>
                <w:sz w:val="20"/>
                <w:szCs w:val="20"/>
                <w:lang w:val="en-US" w:eastAsia="zh-CN"/>
              </w:rPr>
              <w:t>56.68</w:t>
            </w:r>
          </w:p>
        </w:tc>
        <w:tc>
          <w:tcPr>
            <w:tcW w:w="1149" w:type="dxa"/>
            <w:tcBorders>
              <w:tl2br w:val="nil"/>
              <w:tr2bl w:val="nil"/>
            </w:tcBorders>
            <w:shd w:val="clear" w:color="auto" w:fill="auto"/>
            <w:vAlign w:val="center"/>
          </w:tcPr>
          <w:p>
            <w:pPr>
              <w:spacing w:line="580" w:lineRule="exact"/>
              <w:ind w:firstLine="0" w:firstLineChars="0"/>
              <w:jc w:val="center"/>
              <w:rPr>
                <w:rFonts w:hint="default" w:ascii="仿宋_GB2312" w:eastAsia="仿宋_GB2312" w:cs="Times New Roman"/>
                <w:color w:val="000000"/>
                <w:kern w:val="0"/>
                <w:sz w:val="20"/>
                <w:szCs w:val="20"/>
                <w:lang w:val="en-US" w:eastAsia="zh-CN"/>
              </w:rPr>
            </w:pPr>
            <w:r>
              <w:rPr>
                <w:rFonts w:hint="eastAsia" w:ascii="仿宋_GB2312" w:cs="Times New Roman"/>
                <w:color w:val="000000"/>
                <w:kern w:val="0"/>
                <w:sz w:val="20"/>
                <w:szCs w:val="20"/>
                <w:lang w:val="en-US" w:eastAsia="zh-CN"/>
              </w:rPr>
              <w:t>56.68</w:t>
            </w:r>
          </w:p>
        </w:tc>
        <w:tc>
          <w:tcPr>
            <w:tcW w:w="1147"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r>
              <w:rPr>
                <w:rFonts w:hint="eastAsia" w:ascii="仿宋_GB2312" w:cs="Times New Roman"/>
                <w:color w:val="000000"/>
                <w:kern w:val="0"/>
                <w:sz w:val="20"/>
                <w:szCs w:val="20"/>
                <w:lang w:val="en-US" w:eastAsia="zh-CN"/>
              </w:rPr>
              <w:t>100%</w:t>
            </w:r>
          </w:p>
        </w:tc>
        <w:tc>
          <w:tcPr>
            <w:tcW w:w="1145" w:type="dxa"/>
            <w:tcBorders>
              <w:tl2br w:val="nil"/>
              <w:tr2bl w:val="nil"/>
            </w:tcBorders>
            <w:shd w:val="clear" w:color="auto" w:fill="auto"/>
            <w:vAlign w:val="center"/>
          </w:tcPr>
          <w:p>
            <w:pPr>
              <w:spacing w:line="580" w:lineRule="exact"/>
              <w:ind w:firstLine="0" w:firstLineChars="0"/>
              <w:jc w:val="center"/>
              <w:rPr>
                <w:rFonts w:ascii="仿宋_GB2312" w:cs="Times New Roman"/>
                <w:b/>
                <w:bCs/>
                <w:color w:val="000000"/>
                <w:kern w:val="0"/>
                <w:sz w:val="20"/>
                <w:szCs w:val="20"/>
              </w:rPr>
            </w:pPr>
            <w:r>
              <w:rPr>
                <w:rFonts w:hint="eastAsia" w:ascii="仿宋_GB2312" w:cs="Times New Roman"/>
                <w:color w:val="000000"/>
                <w:kern w:val="0"/>
                <w:sz w:val="20"/>
                <w:szCs w:val="20"/>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rPr>
        <w:tc>
          <w:tcPr>
            <w:tcW w:w="2481" w:type="dxa"/>
            <w:tcBorders>
              <w:tl2br w:val="nil"/>
              <w:tr2bl w:val="nil"/>
            </w:tcBorders>
            <w:shd w:val="clear" w:color="auto" w:fill="auto"/>
            <w:vAlign w:val="center"/>
          </w:tcPr>
          <w:p>
            <w:pPr>
              <w:spacing w:line="580" w:lineRule="exact"/>
              <w:ind w:firstLine="0" w:firstLineChars="0"/>
              <w:jc w:val="center"/>
              <w:rPr>
                <w:rFonts w:ascii="仿宋_GB2312" w:cs="Times New Roman"/>
                <w:kern w:val="0"/>
                <w:sz w:val="20"/>
                <w:szCs w:val="20"/>
              </w:rPr>
            </w:pPr>
            <w:r>
              <w:rPr>
                <w:rFonts w:hint="eastAsia" w:ascii="仿宋_GB2312" w:cs="Times New Roman"/>
                <w:kern w:val="0"/>
                <w:sz w:val="20"/>
                <w:szCs w:val="20"/>
              </w:rPr>
              <w:t>……</w:t>
            </w:r>
          </w:p>
        </w:tc>
        <w:tc>
          <w:tcPr>
            <w:tcW w:w="1339"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7"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9"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7"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c>
          <w:tcPr>
            <w:tcW w:w="1145"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0"/>
                <w:szCs w:val="20"/>
              </w:rPr>
            </w:pPr>
          </w:p>
        </w:tc>
      </w:tr>
    </w:tbl>
    <w:p>
      <w:pPr>
        <w:spacing w:line="580" w:lineRule="exact"/>
        <w:ind w:firstLine="0" w:firstLineChars="0"/>
        <w:rPr>
          <w:rFonts w:ascii="仿宋_GB2312" w:cs="Times New Roman"/>
          <w:sz w:val="18"/>
          <w:szCs w:val="18"/>
        </w:rPr>
      </w:pPr>
      <w:r>
        <w:rPr>
          <w:rFonts w:hint="eastAsia" w:ascii="仿宋_GB2312" w:cs="Times New Roman"/>
          <w:sz w:val="18"/>
          <w:szCs w:val="18"/>
        </w:rPr>
        <w:t>注：根据投资（A）、完成投资（B）（包括</w:t>
      </w:r>
      <w:r>
        <w:rPr>
          <w:rFonts w:hint="eastAsia" w:ascii="仿宋_GB2312" w:cs="Times New Roman"/>
          <w:sz w:val="18"/>
          <w:szCs w:val="18"/>
          <w:lang w:val="en-US" w:eastAsia="zh-CN"/>
        </w:rPr>
        <w:t>省级</w:t>
      </w:r>
      <w:r>
        <w:rPr>
          <w:rFonts w:hint="eastAsia" w:ascii="仿宋_GB2312" w:cs="Times New Roman"/>
          <w:sz w:val="18"/>
          <w:szCs w:val="18"/>
        </w:rPr>
        <w:t>财政资金、地方财政资金和其他资金）计算投资完成率（B/A）；</w:t>
      </w:r>
    </w:p>
    <w:p>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sz w:val="32"/>
          <w:szCs w:val="32"/>
          <w:lang w:val="en-US" w:eastAsia="zh-CN"/>
        </w:rPr>
        <w:t>3.</w:t>
      </w:r>
      <w:r>
        <w:rPr>
          <w:rFonts w:hint="eastAsia" w:ascii="仿宋_GB2312" w:hAnsi="仿宋" w:eastAsia="仿宋_GB2312"/>
          <w:sz w:val="32"/>
          <w:szCs w:val="32"/>
          <w:lang w:val="en-US" w:eastAsia="zh-CN"/>
        </w:rPr>
        <w:t>资金管理情况</w:t>
      </w:r>
    </w:p>
    <w:p>
      <w:pPr>
        <w:spacing w:line="560" w:lineRule="exact"/>
        <w:ind w:firstLine="640" w:firstLineChars="200"/>
        <w:rPr>
          <w:rFonts w:hint="eastAsia" w:cs="Times New Roman"/>
          <w:sz w:val="32"/>
          <w:szCs w:val="32"/>
        </w:rPr>
      </w:pPr>
      <w:r>
        <w:rPr>
          <w:rFonts w:hint="eastAsia" w:ascii="仿宋_GB2312" w:hAnsi="仿宋" w:eastAsia="仿宋_GB2312"/>
          <w:sz w:val="32"/>
          <w:szCs w:val="32"/>
          <w:lang w:val="en-US" w:eastAsia="zh-CN"/>
        </w:rPr>
        <w:t>规范工程资金管</w:t>
      </w:r>
      <w:r>
        <w:rPr>
          <w:rFonts w:hint="eastAsia" w:cs="Times New Roman"/>
          <w:sz w:val="32"/>
          <w:szCs w:val="32"/>
        </w:rPr>
        <w:t>理，不</w:t>
      </w:r>
      <w:r>
        <w:rPr>
          <w:rFonts w:hint="eastAsia" w:ascii="仿宋_GB2312" w:hAnsi="仿宋" w:eastAsia="仿宋_GB2312"/>
          <w:sz w:val="32"/>
          <w:szCs w:val="32"/>
          <w:lang w:val="en-US" w:eastAsia="zh-CN"/>
        </w:rPr>
        <w:t>挪用</w:t>
      </w:r>
      <w:r>
        <w:rPr>
          <w:rFonts w:hint="eastAsia" w:cs="Times New Roman"/>
          <w:sz w:val="32"/>
          <w:szCs w:val="32"/>
        </w:rPr>
        <w:t>占用项目资金，严格按照资金管理办法管理项目资金，建立健全资金使用全过程监管机制，管好用好专项资金，做到资金使用合规、高效、廉洁。严格按照省水利厅、省财政厅出台的管理办法的要求，认真落实项目法人制、招投标制、监理制、合同制、验收制和公示制等“六项制度”，明确了建设单位、施工单位和监理单位各方的职责和权利，规范了项目建设管理。在阶段性验收和施工中发现有不符合技术质量标准的，则要求施工队无条件返工，确保工程质量全面达标。</w:t>
      </w:r>
    </w:p>
    <w:p>
      <w:pPr>
        <w:pStyle w:val="3"/>
        <w:spacing w:line="580" w:lineRule="exact"/>
        <w:ind w:firstLine="643"/>
        <w:rPr>
          <w:rFonts w:hint="eastAsia" w:cs="Times New Roman"/>
          <w:sz w:val="32"/>
          <w:szCs w:val="32"/>
        </w:rPr>
      </w:pPr>
      <w:r>
        <w:rPr>
          <w:rFonts w:hint="eastAsia" w:cs="Times New Roman"/>
          <w:sz w:val="32"/>
          <w:szCs w:val="32"/>
        </w:rPr>
        <w:t xml:space="preserve"> 对于项目的进展情况和资金情况，我们按月对上填写提交月度报表，施行报账制。</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（二）项目管理情况分析</w:t>
      </w:r>
    </w:p>
    <w:p>
      <w:pPr>
        <w:spacing w:line="580" w:lineRule="exact"/>
        <w:ind w:firstLine="640"/>
        <w:rPr>
          <w:rFonts w:cs="Times New Roman"/>
          <w:sz w:val="32"/>
          <w:szCs w:val="32"/>
        </w:rPr>
      </w:pPr>
      <w:r>
        <w:rPr>
          <w:rFonts w:hint="eastAsia" w:ascii="仿宋_GB2312" w:hAnsi="仿宋" w:eastAsia="仿宋_GB2312"/>
          <w:sz w:val="32"/>
          <w:szCs w:val="32"/>
        </w:rPr>
        <w:t>1.组织</w:t>
      </w:r>
      <w:r>
        <w:rPr>
          <w:rFonts w:hint="eastAsia" w:cs="Times New Roman"/>
          <w:sz w:val="32"/>
          <w:szCs w:val="32"/>
        </w:rPr>
        <w:t>实施</w:t>
      </w:r>
    </w:p>
    <w:p>
      <w:pPr>
        <w:spacing w:line="580" w:lineRule="exact"/>
        <w:ind w:firstLine="640"/>
        <w:rPr>
          <w:sz w:val="32"/>
          <w:szCs w:val="32"/>
        </w:rPr>
      </w:pPr>
      <w:r>
        <w:rPr>
          <w:rFonts w:hint="eastAsia"/>
          <w:sz w:val="32"/>
          <w:szCs w:val="32"/>
        </w:rPr>
        <w:t>严格按照省水利厅、省财政厅出台的管理办法的要求，认真落实项目法人制、招投标制、监理制、合同制、验收制和公示制等“六项制度”，明确了建设单位、施工单位和监理单位各方的职责和权利，规范了项目建设管理。</w:t>
      </w:r>
    </w:p>
    <w:p>
      <w:pPr>
        <w:spacing w:line="580" w:lineRule="exact"/>
        <w:ind w:firstLine="640"/>
        <w:rPr>
          <w:rFonts w:hint="eastAsia"/>
          <w:sz w:val="32"/>
          <w:szCs w:val="32"/>
          <w:lang w:val="en-US" w:eastAsia="zh-CN"/>
        </w:rPr>
      </w:pPr>
      <w:r>
        <w:rPr>
          <w:rFonts w:hint="eastAsia" w:ascii="仿宋_GB2312" w:hAnsi="仿宋" w:eastAsia="仿宋_GB2312"/>
          <w:sz w:val="32"/>
          <w:szCs w:val="32"/>
          <w:lang w:val="en-US" w:eastAsia="zh-CN"/>
        </w:rPr>
        <w:t>2.绩效</w:t>
      </w:r>
      <w:r>
        <w:rPr>
          <w:rFonts w:hint="eastAsia"/>
          <w:sz w:val="32"/>
          <w:szCs w:val="32"/>
          <w:lang w:val="en-US" w:eastAsia="zh-CN"/>
        </w:rPr>
        <w:t>管理</w:t>
      </w:r>
    </w:p>
    <w:p>
      <w:pPr>
        <w:spacing w:line="580" w:lineRule="exact"/>
        <w:ind w:firstLine="640"/>
        <w:rPr>
          <w:rFonts w:cs="Times New Roman"/>
          <w:sz w:val="32"/>
          <w:szCs w:val="32"/>
        </w:rPr>
      </w:pPr>
      <w:r>
        <w:rPr>
          <w:rFonts w:hint="eastAsia" w:cs="Times New Roman"/>
          <w:sz w:val="32"/>
          <w:szCs w:val="32"/>
        </w:rPr>
        <w:t>对被评价项目绩效情况、完成的程度和存在问题与建议加以综合分析，填写形成评</w:t>
      </w:r>
      <w:r>
        <w:rPr>
          <w:rFonts w:hint="eastAsia" w:cs="Times New Roman"/>
          <w:sz w:val="32"/>
          <w:szCs w:val="32"/>
          <w:lang w:val="en-US" w:eastAsia="zh-CN"/>
        </w:rPr>
        <w:t>估</w:t>
      </w:r>
      <w:r>
        <w:rPr>
          <w:rFonts w:hint="eastAsia" w:cs="Times New Roman"/>
          <w:sz w:val="32"/>
          <w:szCs w:val="32"/>
        </w:rPr>
        <w:t>报告，以及相关材料。</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（三）产出指标完成情况分析</w:t>
      </w:r>
    </w:p>
    <w:p>
      <w:pPr>
        <w:spacing w:line="580" w:lineRule="exact"/>
        <w:ind w:firstLine="640"/>
        <w:rPr>
          <w:rFonts w:cs="Times New Roman"/>
          <w:sz w:val="32"/>
          <w:szCs w:val="32"/>
        </w:rPr>
      </w:pPr>
      <w:r>
        <w:rPr>
          <w:rFonts w:hint="eastAsia" w:ascii="仿宋_GB2312" w:hAnsi="仿宋" w:eastAsia="仿宋_GB2312"/>
          <w:sz w:val="32"/>
          <w:szCs w:val="32"/>
          <w:lang w:val="en-US" w:eastAsia="zh-CN"/>
        </w:rPr>
        <w:t>1.项目</w:t>
      </w:r>
      <w:r>
        <w:rPr>
          <w:rFonts w:hint="eastAsia"/>
          <w:sz w:val="32"/>
          <w:szCs w:val="32"/>
          <w:lang w:val="en-US" w:eastAsia="zh-CN"/>
        </w:rPr>
        <w:t>数量</w:t>
      </w:r>
      <w:r>
        <w:rPr>
          <w:rFonts w:hint="eastAsia" w:cs="Times New Roman"/>
          <w:sz w:val="32"/>
          <w:szCs w:val="32"/>
        </w:rPr>
        <w:t>指标</w:t>
      </w:r>
    </w:p>
    <w:p>
      <w:pPr>
        <w:spacing w:line="580" w:lineRule="exact"/>
        <w:ind w:firstLine="640"/>
        <w:rPr>
          <w:rFonts w:hint="eastAsia"/>
          <w:sz w:val="32"/>
          <w:szCs w:val="32"/>
          <w:lang w:val="en-US" w:eastAsia="zh-CN"/>
        </w:rPr>
      </w:pPr>
      <w:r>
        <w:rPr>
          <w:rFonts w:hint="eastAsia" w:cs="Times New Roman"/>
          <w:sz w:val="32"/>
          <w:szCs w:val="32"/>
          <w:lang w:val="en-US" w:eastAsia="zh-CN"/>
        </w:rPr>
        <w:t>配套完成</w:t>
      </w:r>
      <w:r>
        <w:rPr>
          <w:rFonts w:hint="eastAsia"/>
          <w:sz w:val="32"/>
          <w:szCs w:val="32"/>
          <w:lang w:val="en-US" w:eastAsia="zh-CN"/>
        </w:rPr>
        <w:t>综合治理</w:t>
      </w:r>
      <w:r>
        <w:rPr>
          <w:rFonts w:hint="eastAsia" w:cs="Times New Roman"/>
          <w:sz w:val="32"/>
          <w:szCs w:val="32"/>
          <w:lang w:val="en-US" w:eastAsia="zh-CN"/>
        </w:rPr>
        <w:t>水土流</w:t>
      </w:r>
      <w:r>
        <w:rPr>
          <w:rFonts w:hint="eastAsia"/>
          <w:sz w:val="32"/>
          <w:szCs w:val="32"/>
          <w:lang w:val="en-US" w:eastAsia="zh-CN"/>
        </w:rPr>
        <w:t>失面</w:t>
      </w:r>
      <w:r>
        <w:rPr>
          <w:rFonts w:hint="eastAsia" w:ascii="仿宋_GB2312" w:hAnsi="仿宋" w:eastAsia="仿宋_GB2312"/>
          <w:sz w:val="32"/>
          <w:szCs w:val="32"/>
          <w:lang w:val="en-US" w:eastAsia="zh-CN"/>
        </w:rPr>
        <w:t>积2394.89hm2。</w:t>
      </w:r>
    </w:p>
    <w:p>
      <w:pPr>
        <w:spacing w:line="580" w:lineRule="exact"/>
        <w:ind w:firstLine="640"/>
        <w:rPr>
          <w:rFonts w:cs="Times New Roman"/>
          <w:sz w:val="32"/>
          <w:szCs w:val="32"/>
        </w:rPr>
      </w:pPr>
      <w:r>
        <w:rPr>
          <w:rFonts w:hint="eastAsia" w:ascii="仿宋_GB2312" w:hAnsi="仿宋" w:eastAsia="仿宋_GB2312"/>
          <w:sz w:val="32"/>
          <w:szCs w:val="32"/>
        </w:rPr>
        <w:t>2.项目质量</w:t>
      </w:r>
      <w:r>
        <w:rPr>
          <w:rFonts w:hint="eastAsia" w:cs="Times New Roman"/>
          <w:sz w:val="32"/>
          <w:szCs w:val="32"/>
        </w:rPr>
        <w:t>指标</w:t>
      </w:r>
    </w:p>
    <w:p>
      <w:pPr>
        <w:spacing w:line="580" w:lineRule="exact"/>
        <w:ind w:firstLine="640"/>
        <w:rPr>
          <w:rFonts w:hint="eastAsia" w:cs="Times New Roman"/>
          <w:sz w:val="32"/>
          <w:szCs w:val="32"/>
        </w:rPr>
      </w:pPr>
      <w:r>
        <w:rPr>
          <w:rFonts w:hint="eastAsia" w:cs="Times New Roman"/>
          <w:sz w:val="32"/>
          <w:szCs w:val="32"/>
        </w:rPr>
        <w:t>①截至2</w:t>
      </w:r>
      <w:r>
        <w:rPr>
          <w:rFonts w:hint="eastAsia" w:cs="Times New Roman"/>
          <w:sz w:val="32"/>
          <w:szCs w:val="32"/>
          <w:lang w:val="en-US" w:eastAsia="zh-CN"/>
        </w:rPr>
        <w:t>022</w:t>
      </w:r>
      <w:r>
        <w:rPr>
          <w:rFonts w:hint="eastAsia" w:cs="Times New Roman"/>
          <w:sz w:val="32"/>
          <w:szCs w:val="32"/>
        </w:rPr>
        <w:t>年</w:t>
      </w:r>
      <w:r>
        <w:rPr>
          <w:rFonts w:hint="eastAsia" w:cs="Times New Roman"/>
          <w:sz w:val="32"/>
          <w:szCs w:val="32"/>
          <w:lang w:val="en-US" w:eastAsia="zh-CN"/>
        </w:rPr>
        <w:t>5</w:t>
      </w:r>
      <w:r>
        <w:rPr>
          <w:rFonts w:hint="eastAsia" w:cs="Times New Roman"/>
          <w:sz w:val="32"/>
          <w:szCs w:val="32"/>
        </w:rPr>
        <w:t>月，完工项目初步验收</w:t>
      </w:r>
      <w:r>
        <w:rPr>
          <w:rFonts w:hint="eastAsia" w:ascii="仿宋_GB2312" w:hAnsi="仿宋" w:eastAsia="仿宋_GB2312"/>
          <w:sz w:val="32"/>
          <w:szCs w:val="32"/>
        </w:rPr>
        <w:t>率100%。</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②工程验收合格率100%</w:t>
      </w:r>
      <w:r>
        <w:rPr>
          <w:rFonts w:hint="eastAsia" w:ascii="仿宋_GB2312" w:hAnsi="仿宋" w:eastAsia="仿宋_GB2312"/>
          <w:sz w:val="32"/>
          <w:szCs w:val="32"/>
        </w:rPr>
        <w:tab/>
      </w:r>
    </w:p>
    <w:p>
      <w:pPr>
        <w:spacing w:line="580" w:lineRule="exact"/>
        <w:ind w:firstLine="640"/>
        <w:rPr>
          <w:rFonts w:hint="eastAsia" w:cs="Times New Roman"/>
          <w:sz w:val="32"/>
          <w:szCs w:val="32"/>
        </w:rPr>
      </w:pPr>
      <w:r>
        <w:rPr>
          <w:rFonts w:hint="eastAsia" w:cs="Times New Roman"/>
          <w:sz w:val="32"/>
          <w:szCs w:val="32"/>
        </w:rPr>
        <w:t>③已建工程是否存在质量问题，否。</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3.项目时效指标</w:t>
      </w:r>
    </w:p>
    <w:p>
      <w:pPr>
        <w:spacing w:line="580" w:lineRule="exact"/>
        <w:ind w:firstLine="640"/>
        <w:rPr>
          <w:rFonts w:hint="eastAsia" w:cs="Times New Roman"/>
          <w:sz w:val="32"/>
          <w:szCs w:val="32"/>
        </w:rPr>
      </w:pPr>
      <w:r>
        <w:rPr>
          <w:rFonts w:hint="eastAsia" w:cs="Times New Roman"/>
          <w:sz w:val="32"/>
          <w:szCs w:val="32"/>
        </w:rPr>
        <w:t>截</w:t>
      </w:r>
      <w:r>
        <w:rPr>
          <w:rFonts w:hint="eastAsia" w:ascii="仿宋_GB2312" w:hAnsi="仿宋" w:eastAsia="仿宋_GB2312"/>
          <w:sz w:val="32"/>
          <w:szCs w:val="32"/>
        </w:rPr>
        <w:t>至202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5</w:t>
      </w:r>
      <w:r>
        <w:rPr>
          <w:rFonts w:hint="eastAsia" w:ascii="仿宋_GB2312" w:hAnsi="仿宋" w:eastAsia="仿宋_GB2312"/>
          <w:sz w:val="32"/>
          <w:szCs w:val="32"/>
        </w:rPr>
        <w:t>月，投资完成比例100%</w:t>
      </w:r>
    </w:p>
    <w:p>
      <w:pPr>
        <w:spacing w:line="580" w:lineRule="exact"/>
        <w:ind w:firstLine="0" w:firstLineChars="0"/>
        <w:jc w:val="center"/>
        <w:rPr>
          <w:rFonts w:hint="eastAsia" w:cs="Times New Roman"/>
        </w:rPr>
      </w:pPr>
    </w:p>
    <w:p>
      <w:pPr>
        <w:spacing w:line="580" w:lineRule="exact"/>
        <w:ind w:firstLine="0" w:firstLineChars="0"/>
        <w:jc w:val="center"/>
        <w:rPr>
          <w:rFonts w:hint="eastAsia" w:cs="Times New Roman"/>
          <w:sz w:val="21"/>
          <w:szCs w:val="21"/>
        </w:rPr>
      </w:pPr>
      <w:r>
        <w:rPr>
          <w:rFonts w:hint="eastAsia" w:cs="Times New Roman"/>
        </w:rPr>
        <w:t>建宁</w:t>
      </w:r>
      <w:r>
        <w:rPr>
          <w:rFonts w:hint="eastAsia" w:ascii="仿宋_GB2312" w:hAnsi="仿宋" w:eastAsia="仿宋_GB2312"/>
          <w:sz w:val="32"/>
          <w:szCs w:val="32"/>
        </w:rPr>
        <w:t>县2021年水</w:t>
      </w:r>
      <w:r>
        <w:rPr>
          <w:rFonts w:hint="eastAsia" w:cs="Times New Roman"/>
        </w:rPr>
        <w:t>土流失综合治理工程配套资金实施情况表</w:t>
      </w:r>
    </w:p>
    <w:p>
      <w:pPr>
        <w:spacing w:line="580" w:lineRule="exact"/>
        <w:ind w:firstLine="0" w:firstLineChars="0"/>
        <w:jc w:val="left"/>
        <w:rPr>
          <w:rFonts w:cs="Times New Roman"/>
          <w:sz w:val="21"/>
          <w:szCs w:val="21"/>
        </w:rPr>
      </w:pPr>
      <w:r>
        <w:rPr>
          <w:rFonts w:hint="eastAsia" w:cs="Times New Roman"/>
          <w:sz w:val="21"/>
          <w:szCs w:val="21"/>
        </w:rPr>
        <w:t>表</w:t>
      </w:r>
      <w:r>
        <w:rPr>
          <w:rFonts w:cs="Times New Roman"/>
          <w:sz w:val="21"/>
          <w:szCs w:val="21"/>
        </w:rPr>
        <w:t>3-</w:t>
      </w:r>
      <w:r>
        <w:rPr>
          <w:rFonts w:hint="eastAsia" w:cs="Times New Roman"/>
          <w:sz w:val="21"/>
          <w:szCs w:val="21"/>
        </w:rPr>
        <w:t>3</w:t>
      </w:r>
    </w:p>
    <w:tbl>
      <w:tblPr>
        <w:tblStyle w:val="6"/>
        <w:tblW w:w="84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1" w:type="dxa"/>
          <w:bottom w:w="0" w:type="dxa"/>
          <w:right w:w="51" w:type="dxa"/>
        </w:tblCellMar>
      </w:tblPr>
      <w:tblGrid>
        <w:gridCol w:w="2750"/>
        <w:gridCol w:w="1375"/>
        <w:gridCol w:w="713"/>
        <w:gridCol w:w="713"/>
        <w:gridCol w:w="713"/>
        <w:gridCol w:w="718"/>
        <w:gridCol w:w="713"/>
        <w:gridCol w:w="71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436" w:hRule="atLeast"/>
          <w:tblHeader/>
        </w:trPr>
        <w:tc>
          <w:tcPr>
            <w:tcW w:w="2750" w:type="dxa"/>
            <w:vMerge w:val="restart"/>
            <w:tcBorders>
              <w:tl2br w:val="nil"/>
              <w:tr2bl w:val="nil"/>
            </w:tcBorders>
            <w:shd w:val="clear" w:color="auto" w:fill="auto"/>
            <w:vAlign w:val="center"/>
          </w:tcPr>
          <w:p>
            <w:pPr>
              <w:spacing w:line="58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  类</w:t>
            </w:r>
          </w:p>
        </w:tc>
        <w:tc>
          <w:tcPr>
            <w:tcW w:w="4232" w:type="dxa"/>
            <w:gridSpan w:val="5"/>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实施项目数（个）</w:t>
            </w:r>
          </w:p>
        </w:tc>
        <w:tc>
          <w:tcPr>
            <w:tcW w:w="713" w:type="dxa"/>
            <w:vMerge w:val="restart"/>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完工率（%）</w:t>
            </w:r>
          </w:p>
        </w:tc>
        <w:tc>
          <w:tcPr>
            <w:tcW w:w="713" w:type="dxa"/>
            <w:vMerge w:val="restart"/>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验收率（%）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blHeader/>
        </w:trPr>
        <w:tc>
          <w:tcPr>
            <w:tcW w:w="2750" w:type="dxa"/>
            <w:vMerge w:val="continue"/>
            <w:tcBorders>
              <w:tl2br w:val="nil"/>
              <w:tr2bl w:val="nil"/>
            </w:tcBorders>
            <w:vAlign w:val="center"/>
          </w:tcPr>
          <w:p>
            <w:pPr>
              <w:spacing w:line="580" w:lineRule="exact"/>
              <w:ind w:firstLine="0" w:firstLineChars="0"/>
              <w:jc w:val="center"/>
              <w:rPr>
                <w:rFonts w:ascii="仿宋_GB2312" w:cs="Times New Roman"/>
                <w:color w:val="000000"/>
                <w:kern w:val="0"/>
                <w:sz w:val="20"/>
                <w:szCs w:val="20"/>
              </w:rPr>
            </w:pPr>
          </w:p>
        </w:tc>
        <w:tc>
          <w:tcPr>
            <w:tcW w:w="1375" w:type="dxa"/>
            <w:tcBorders>
              <w:tl2br w:val="nil"/>
              <w:tr2bl w:val="nil"/>
            </w:tcBorders>
            <w:shd w:val="clear" w:color="auto" w:fill="auto"/>
            <w:vAlign w:val="center"/>
          </w:tcPr>
          <w:p>
            <w:pPr>
              <w:spacing w:line="58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总数</w:t>
            </w:r>
          </w:p>
        </w:tc>
        <w:tc>
          <w:tcPr>
            <w:tcW w:w="713" w:type="dxa"/>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开工</w:t>
            </w:r>
          </w:p>
        </w:tc>
        <w:tc>
          <w:tcPr>
            <w:tcW w:w="713" w:type="dxa"/>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完工</w:t>
            </w:r>
          </w:p>
        </w:tc>
        <w:tc>
          <w:tcPr>
            <w:tcW w:w="713" w:type="dxa"/>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完工</w:t>
            </w:r>
          </w:p>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验收</w:t>
            </w:r>
          </w:p>
        </w:tc>
        <w:tc>
          <w:tcPr>
            <w:tcW w:w="718" w:type="dxa"/>
            <w:tcBorders>
              <w:tl2br w:val="nil"/>
              <w:tr2bl w:val="nil"/>
            </w:tcBorders>
            <w:shd w:val="clear" w:color="auto" w:fill="auto"/>
            <w:vAlign w:val="center"/>
          </w:tcPr>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验收</w:t>
            </w:r>
          </w:p>
          <w:p>
            <w:pPr>
              <w:spacing w:line="400" w:lineRule="exact"/>
              <w:ind w:firstLine="0" w:firstLineChars="0"/>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合格</w:t>
            </w:r>
          </w:p>
        </w:tc>
        <w:tc>
          <w:tcPr>
            <w:tcW w:w="713" w:type="dxa"/>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c>
          <w:tcPr>
            <w:tcW w:w="713" w:type="dxa"/>
            <w:vMerge w:val="continue"/>
            <w:tcBorders>
              <w:tl2br w:val="nil"/>
              <w:tr2bl w:val="nil"/>
            </w:tcBorders>
            <w:vAlign w:val="center"/>
          </w:tcPr>
          <w:p>
            <w:pPr>
              <w:spacing w:line="400" w:lineRule="exact"/>
              <w:ind w:firstLine="0" w:firstLineChars="0"/>
              <w:jc w:val="center"/>
              <w:rPr>
                <w:rFonts w:ascii="仿宋_GB2312" w:cs="Times New Roman"/>
                <w:color w:val="000000"/>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rPr>
        <w:tc>
          <w:tcPr>
            <w:tcW w:w="2750" w:type="dxa"/>
            <w:tcBorders>
              <w:tl2br w:val="nil"/>
              <w:tr2bl w:val="nil"/>
            </w:tcBorders>
            <w:shd w:val="clear" w:color="auto" w:fill="auto"/>
            <w:vAlign w:val="center"/>
          </w:tcPr>
          <w:p>
            <w:pPr>
              <w:spacing w:line="580" w:lineRule="exact"/>
              <w:ind w:firstLine="0" w:firstLineChars="0"/>
              <w:jc w:val="center"/>
              <w:rPr>
                <w:rFonts w:ascii="仿宋_GB2312" w:cs="Times New Roman"/>
                <w:kern w:val="0"/>
                <w:sz w:val="20"/>
                <w:szCs w:val="20"/>
              </w:rPr>
            </w:pPr>
            <w:r>
              <w:rPr>
                <w:rFonts w:hint="eastAsia" w:ascii="宋体" w:hAnsi="宋体" w:eastAsia="宋体" w:cs="宋体"/>
                <w:kern w:val="0"/>
                <w:sz w:val="20"/>
                <w:szCs w:val="20"/>
              </w:rPr>
              <w:t>合计</w:t>
            </w:r>
          </w:p>
        </w:tc>
        <w:tc>
          <w:tcPr>
            <w:tcW w:w="1375"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8"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rPr>
        <w:tc>
          <w:tcPr>
            <w:tcW w:w="2750" w:type="dxa"/>
            <w:tcBorders>
              <w:tl2br w:val="nil"/>
              <w:tr2bl w:val="nil"/>
            </w:tcBorders>
            <w:shd w:val="clear" w:color="auto" w:fill="auto"/>
            <w:vAlign w:val="center"/>
          </w:tcPr>
          <w:p>
            <w:pPr>
              <w:spacing w:line="580" w:lineRule="exact"/>
              <w:ind w:firstLine="0" w:firstLineChars="0"/>
              <w:jc w:val="center"/>
              <w:rPr>
                <w:rFonts w:hint="eastAsia" w:ascii="仿宋_GB2312" w:eastAsia="仿宋_GB2312" w:cs="Times New Roman"/>
                <w:kern w:val="0"/>
                <w:sz w:val="20"/>
                <w:szCs w:val="20"/>
                <w:lang w:val="en-US" w:eastAsia="zh-CN"/>
              </w:rPr>
            </w:pPr>
            <w:r>
              <w:rPr>
                <w:rFonts w:hint="eastAsia" w:ascii="仿宋_GB2312" w:cs="Times New Roman"/>
                <w:kern w:val="0"/>
                <w:sz w:val="20"/>
                <w:szCs w:val="20"/>
              </w:rPr>
              <w:t>建宁县2021年水土流失综合治理工程配套资金</w:t>
            </w:r>
            <w:r>
              <w:rPr>
                <w:rFonts w:hint="eastAsia" w:ascii="仿宋_GB2312" w:cs="Times New Roman"/>
                <w:kern w:val="0"/>
                <w:sz w:val="20"/>
                <w:szCs w:val="20"/>
                <w:lang w:val="en-US" w:eastAsia="zh-CN"/>
              </w:rPr>
              <w:t>项目</w:t>
            </w:r>
          </w:p>
        </w:tc>
        <w:tc>
          <w:tcPr>
            <w:tcW w:w="1375" w:type="dxa"/>
            <w:tcBorders>
              <w:tl2br w:val="nil"/>
              <w:tr2bl w:val="nil"/>
            </w:tcBorders>
            <w:shd w:val="clear" w:color="auto" w:fill="auto"/>
            <w:vAlign w:val="center"/>
          </w:tcPr>
          <w:p>
            <w:pPr>
              <w:spacing w:line="580" w:lineRule="exact"/>
              <w:ind w:firstLine="0" w:firstLineChars="0"/>
              <w:jc w:val="center"/>
              <w:rPr>
                <w:rFonts w:hint="eastAsia" w:ascii="仿宋_GB2312" w:eastAsia="仿宋_GB2312" w:cs="Times New Roman"/>
                <w:color w:val="000000"/>
                <w:kern w:val="0"/>
                <w:sz w:val="22"/>
                <w:lang w:val="en-US" w:eastAsia="zh-CN"/>
              </w:rPr>
            </w:pPr>
            <w:r>
              <w:rPr>
                <w:rFonts w:hint="eastAsia" w:ascii="仿宋_GB2312" w:cs="Times New Roman"/>
                <w:color w:val="000000"/>
                <w:kern w:val="0"/>
                <w:sz w:val="22"/>
                <w:lang w:val="en-US" w:eastAsia="zh-CN"/>
              </w:rPr>
              <w:t>1</w:t>
            </w:r>
          </w:p>
        </w:tc>
        <w:tc>
          <w:tcPr>
            <w:tcW w:w="713" w:type="dxa"/>
            <w:tcBorders>
              <w:tl2br w:val="nil"/>
              <w:tr2bl w:val="nil"/>
            </w:tcBorders>
            <w:shd w:val="clear" w:color="auto" w:fill="auto"/>
            <w:vAlign w:val="center"/>
          </w:tcPr>
          <w:p>
            <w:pPr>
              <w:spacing w:line="580" w:lineRule="exact"/>
              <w:ind w:firstLine="0" w:firstLineChars="0"/>
              <w:jc w:val="center"/>
              <w:rPr>
                <w:rFonts w:hint="eastAsia" w:ascii="仿宋_GB2312" w:eastAsia="仿宋_GB2312" w:cs="Times New Roman"/>
                <w:color w:val="000000"/>
                <w:kern w:val="0"/>
                <w:sz w:val="22"/>
                <w:lang w:val="en-US" w:eastAsia="zh-CN"/>
              </w:rPr>
            </w:pPr>
            <w:r>
              <w:rPr>
                <w:rFonts w:hint="eastAsia" w:ascii="仿宋_GB2312" w:cs="Times New Roman"/>
                <w:color w:val="000000"/>
                <w:kern w:val="0"/>
                <w:sz w:val="22"/>
                <w:lang w:val="en-US" w:eastAsia="zh-CN"/>
              </w:rPr>
              <w:t>1</w:t>
            </w:r>
          </w:p>
        </w:tc>
        <w:tc>
          <w:tcPr>
            <w:tcW w:w="713" w:type="dxa"/>
            <w:tcBorders>
              <w:tl2br w:val="nil"/>
              <w:tr2bl w:val="nil"/>
            </w:tcBorders>
            <w:shd w:val="clear" w:color="auto" w:fill="auto"/>
            <w:vAlign w:val="center"/>
          </w:tcPr>
          <w:p>
            <w:pPr>
              <w:spacing w:line="580" w:lineRule="exact"/>
              <w:ind w:firstLine="0" w:firstLineChars="0"/>
              <w:jc w:val="center"/>
              <w:rPr>
                <w:rFonts w:hint="eastAsia" w:ascii="仿宋_GB2312" w:eastAsia="仿宋_GB2312" w:cs="Times New Roman"/>
                <w:color w:val="000000"/>
                <w:kern w:val="0"/>
                <w:sz w:val="22"/>
                <w:lang w:val="en-US" w:eastAsia="zh-CN"/>
              </w:rPr>
            </w:pPr>
            <w:r>
              <w:rPr>
                <w:rFonts w:hint="eastAsia" w:ascii="仿宋_GB2312" w:cs="Times New Roman"/>
                <w:color w:val="000000"/>
                <w:kern w:val="0"/>
                <w:sz w:val="22"/>
                <w:lang w:val="en-US" w:eastAsia="zh-CN"/>
              </w:rPr>
              <w:t>1</w:t>
            </w:r>
          </w:p>
        </w:tc>
        <w:tc>
          <w:tcPr>
            <w:tcW w:w="713" w:type="dxa"/>
            <w:tcBorders>
              <w:tl2br w:val="nil"/>
              <w:tr2bl w:val="nil"/>
            </w:tcBorders>
            <w:shd w:val="clear" w:color="auto" w:fill="auto"/>
            <w:vAlign w:val="center"/>
          </w:tcPr>
          <w:p>
            <w:pPr>
              <w:spacing w:line="580" w:lineRule="exact"/>
              <w:ind w:firstLine="0" w:firstLineChars="0"/>
              <w:jc w:val="center"/>
              <w:rPr>
                <w:rFonts w:hint="eastAsia" w:ascii="仿宋_GB2312" w:eastAsia="仿宋_GB2312" w:cs="Times New Roman"/>
                <w:color w:val="000000"/>
                <w:kern w:val="0"/>
                <w:sz w:val="22"/>
                <w:lang w:val="en-US" w:eastAsia="zh-CN"/>
              </w:rPr>
            </w:pPr>
            <w:r>
              <w:rPr>
                <w:rFonts w:hint="eastAsia" w:ascii="仿宋_GB2312" w:cs="Times New Roman"/>
                <w:color w:val="000000"/>
                <w:kern w:val="0"/>
                <w:sz w:val="22"/>
                <w:lang w:val="en-US" w:eastAsia="zh-CN"/>
              </w:rPr>
              <w:t>1</w:t>
            </w:r>
          </w:p>
        </w:tc>
        <w:tc>
          <w:tcPr>
            <w:tcW w:w="718" w:type="dxa"/>
            <w:tcBorders>
              <w:tl2br w:val="nil"/>
              <w:tr2bl w:val="nil"/>
            </w:tcBorders>
            <w:shd w:val="clear" w:color="auto" w:fill="auto"/>
            <w:vAlign w:val="center"/>
          </w:tcPr>
          <w:p>
            <w:pPr>
              <w:spacing w:line="580" w:lineRule="exact"/>
              <w:ind w:firstLine="0" w:firstLineChars="0"/>
              <w:jc w:val="center"/>
              <w:rPr>
                <w:rFonts w:hint="eastAsia" w:ascii="仿宋_GB2312" w:eastAsia="仿宋_GB2312" w:cs="Times New Roman"/>
                <w:color w:val="000000"/>
                <w:kern w:val="0"/>
                <w:sz w:val="22"/>
                <w:lang w:val="en-US" w:eastAsia="zh-CN"/>
              </w:rPr>
            </w:pPr>
            <w:r>
              <w:rPr>
                <w:rFonts w:hint="eastAsia" w:ascii="仿宋_GB2312" w:cs="Times New Roman"/>
                <w:color w:val="000000"/>
                <w:kern w:val="0"/>
                <w:sz w:val="22"/>
                <w:lang w:val="en-US" w:eastAsia="zh-CN"/>
              </w:rPr>
              <w:t>1</w:t>
            </w: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r>
              <w:rPr>
                <w:rFonts w:hint="eastAsia" w:ascii="仿宋_GB2312" w:cs="Times New Roman"/>
                <w:color w:val="000000"/>
                <w:kern w:val="0"/>
                <w:sz w:val="22"/>
                <w:lang w:val="en-US" w:eastAsia="zh-CN"/>
              </w:rPr>
              <w:t>100%</w:t>
            </w: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r>
              <w:rPr>
                <w:rFonts w:hint="eastAsia" w:ascii="仿宋_GB2312" w:cs="Times New Roman"/>
                <w:color w:val="000000"/>
                <w:kern w:val="0"/>
                <w:sz w:val="22"/>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1" w:type="dxa"/>
            <w:bottom w:w="0" w:type="dxa"/>
            <w:right w:w="51" w:type="dxa"/>
          </w:tblCellMar>
        </w:tblPrEx>
        <w:trPr>
          <w:trHeight w:val="20" w:hRule="atLeast"/>
        </w:trPr>
        <w:tc>
          <w:tcPr>
            <w:tcW w:w="2750" w:type="dxa"/>
            <w:tcBorders>
              <w:tl2br w:val="nil"/>
              <w:tr2bl w:val="nil"/>
            </w:tcBorders>
            <w:shd w:val="clear" w:color="auto" w:fill="auto"/>
            <w:vAlign w:val="center"/>
          </w:tcPr>
          <w:p>
            <w:pPr>
              <w:spacing w:line="580" w:lineRule="exact"/>
              <w:ind w:firstLine="0" w:firstLineChars="0"/>
              <w:jc w:val="center"/>
              <w:rPr>
                <w:rFonts w:ascii="仿宋_GB2312" w:cs="Times New Roman"/>
                <w:kern w:val="0"/>
                <w:sz w:val="20"/>
                <w:szCs w:val="20"/>
              </w:rPr>
            </w:pPr>
            <w:r>
              <w:rPr>
                <w:rFonts w:hint="eastAsia" w:ascii="仿宋_GB2312" w:cs="Times New Roman"/>
                <w:kern w:val="0"/>
                <w:sz w:val="20"/>
                <w:szCs w:val="20"/>
              </w:rPr>
              <w:t>……</w:t>
            </w:r>
          </w:p>
        </w:tc>
        <w:tc>
          <w:tcPr>
            <w:tcW w:w="1375"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c>
          <w:tcPr>
            <w:tcW w:w="713"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713"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713"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718"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713" w:type="dxa"/>
            <w:tcBorders>
              <w:tl2br w:val="nil"/>
              <w:tr2bl w:val="nil"/>
            </w:tcBorders>
            <w:shd w:val="clear" w:color="auto" w:fill="auto"/>
            <w:vAlign w:val="center"/>
          </w:tcPr>
          <w:p>
            <w:pPr>
              <w:spacing w:line="400" w:lineRule="exact"/>
              <w:ind w:firstLine="0" w:firstLineChars="0"/>
              <w:jc w:val="center"/>
              <w:rPr>
                <w:rFonts w:ascii="仿宋_GB2312" w:cs="Times New Roman"/>
                <w:color w:val="000000"/>
                <w:kern w:val="0"/>
                <w:sz w:val="20"/>
                <w:szCs w:val="20"/>
              </w:rPr>
            </w:pPr>
          </w:p>
        </w:tc>
        <w:tc>
          <w:tcPr>
            <w:tcW w:w="713" w:type="dxa"/>
            <w:tcBorders>
              <w:tl2br w:val="nil"/>
              <w:tr2bl w:val="nil"/>
            </w:tcBorders>
            <w:shd w:val="clear" w:color="auto" w:fill="auto"/>
            <w:vAlign w:val="center"/>
          </w:tcPr>
          <w:p>
            <w:pPr>
              <w:spacing w:line="580" w:lineRule="exact"/>
              <w:ind w:firstLine="0" w:firstLineChars="0"/>
              <w:jc w:val="center"/>
              <w:rPr>
                <w:rFonts w:ascii="仿宋_GB2312" w:cs="Times New Roman"/>
                <w:color w:val="000000"/>
                <w:kern w:val="0"/>
                <w:sz w:val="22"/>
              </w:rPr>
            </w:pPr>
          </w:p>
        </w:tc>
      </w:tr>
    </w:tbl>
    <w:p>
      <w:pPr>
        <w:spacing w:line="580" w:lineRule="exact"/>
        <w:ind w:firstLine="640"/>
        <w:rPr>
          <w:rFonts w:cs="Times New Roman"/>
          <w:sz w:val="32"/>
        </w:rPr>
      </w:pPr>
      <w:r>
        <w:rPr>
          <w:rFonts w:hint="eastAsia" w:ascii="仿宋_GB2312" w:hAnsi="仿宋" w:eastAsia="仿宋_GB2312"/>
          <w:sz w:val="32"/>
          <w:szCs w:val="32"/>
        </w:rPr>
        <w:t>4.项目成</w:t>
      </w:r>
      <w:r>
        <w:rPr>
          <w:rFonts w:hint="eastAsia" w:cs="Times New Roman"/>
          <w:sz w:val="32"/>
        </w:rPr>
        <w:t>本指标</w:t>
      </w:r>
    </w:p>
    <w:p>
      <w:pPr>
        <w:pStyle w:val="3"/>
        <w:spacing w:line="580" w:lineRule="exact"/>
        <w:ind w:firstLine="643"/>
        <w:rPr>
          <w:rFonts w:hint="eastAsia" w:cs="Times New Roman"/>
          <w:sz w:val="32"/>
        </w:rPr>
      </w:pPr>
      <w:r>
        <w:rPr>
          <w:rFonts w:hint="eastAsia" w:cs="Times New Roman"/>
          <w:sz w:val="32"/>
        </w:rPr>
        <w:t>单价是否控制在批复概算单价内，是。</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（四）效益指标完成情况分析</w:t>
      </w:r>
    </w:p>
    <w:p>
      <w:pPr>
        <w:spacing w:line="580" w:lineRule="exact"/>
        <w:ind w:firstLine="640"/>
        <w:rPr>
          <w:rFonts w:hint="eastAsia" w:cs="Times New Roman"/>
          <w:sz w:val="32"/>
        </w:rPr>
      </w:pPr>
      <w:r>
        <w:rPr>
          <w:rFonts w:hint="eastAsia" w:ascii="仿宋_GB2312" w:hAnsi="仿宋" w:eastAsia="仿宋_GB2312"/>
          <w:sz w:val="32"/>
          <w:szCs w:val="32"/>
        </w:rPr>
        <w:t>①已建工程是否良性</w:t>
      </w:r>
      <w:r>
        <w:rPr>
          <w:rFonts w:hint="eastAsia" w:cs="Times New Roman"/>
          <w:sz w:val="32"/>
        </w:rPr>
        <w:t>运行，是。</w:t>
      </w:r>
    </w:p>
    <w:p>
      <w:pPr>
        <w:spacing w:line="580" w:lineRule="exact"/>
        <w:ind w:firstLine="640"/>
        <w:rPr>
          <w:rFonts w:hint="eastAsia" w:cs="Times New Roman"/>
          <w:sz w:val="32"/>
        </w:rPr>
      </w:pPr>
      <w:r>
        <w:rPr>
          <w:rFonts w:hint="eastAsia" w:cs="Times New Roman"/>
          <w:sz w:val="32"/>
        </w:rPr>
        <w:t>②工程是否达到设计使用年限，是。</w:t>
      </w:r>
    </w:p>
    <w:p>
      <w:pPr>
        <w:numPr>
          <w:ilvl w:val="0"/>
          <w:numId w:val="2"/>
        </w:numPr>
        <w:spacing w:line="580" w:lineRule="exact"/>
        <w:ind w:firstLine="640"/>
        <w:rPr>
          <w:rFonts w:hint="eastAsia" w:cs="Times New Roman"/>
          <w:sz w:val="32"/>
        </w:rPr>
      </w:pPr>
      <w:r>
        <w:rPr>
          <w:rFonts w:hint="eastAsia" w:ascii="仿宋_GB2312" w:hAnsi="仿宋" w:eastAsia="仿宋_GB2312"/>
          <w:sz w:val="32"/>
          <w:szCs w:val="32"/>
        </w:rPr>
        <w:t>项目实施的</w:t>
      </w:r>
      <w:r>
        <w:rPr>
          <w:rFonts w:hint="eastAsia" w:cs="Times New Roman"/>
          <w:sz w:val="32"/>
        </w:rPr>
        <w:t>经济效益分析</w:t>
      </w:r>
    </w:p>
    <w:p>
      <w:pPr>
        <w:numPr>
          <w:ilvl w:val="0"/>
          <w:numId w:val="0"/>
        </w:numPr>
        <w:spacing w:line="580" w:lineRule="exact"/>
        <w:ind w:firstLine="640" w:firstLineChars="200"/>
        <w:rPr>
          <w:rFonts w:hint="eastAsia" w:ascii="Times New Roman" w:hAnsi="Times New Roman" w:cs="Times New Roman"/>
          <w:sz w:val="32"/>
        </w:rPr>
      </w:pPr>
      <w:r>
        <w:rPr>
          <w:rFonts w:hint="eastAsia" w:ascii="Times New Roman" w:hAnsi="Times New Roman" w:cs="Times New Roman"/>
          <w:sz w:val="32"/>
          <w:lang w:val="en-US" w:eastAsia="zh-CN"/>
        </w:rPr>
        <w:t>配套</w:t>
      </w:r>
      <w:r>
        <w:rPr>
          <w:rFonts w:hint="eastAsia" w:ascii="仿宋_GB2312" w:hAnsi="仿宋" w:eastAsia="仿宋_GB2312"/>
          <w:sz w:val="32"/>
          <w:szCs w:val="32"/>
          <w:lang w:val="en-US" w:eastAsia="zh-CN"/>
        </w:rPr>
        <w:t>完成2020年度国</w:t>
      </w:r>
      <w:r>
        <w:rPr>
          <w:rFonts w:hint="eastAsia"/>
          <w:sz w:val="32"/>
          <w:szCs w:val="32"/>
          <w:lang w:val="en-US" w:eastAsia="zh-CN"/>
        </w:rPr>
        <w:t>家水土保持重点建设</w:t>
      </w:r>
      <w:r>
        <w:rPr>
          <w:rFonts w:hint="eastAsia" w:ascii="仿宋_GB2312" w:hAnsi="仿宋" w:eastAsia="仿宋_GB2312"/>
          <w:sz w:val="32"/>
          <w:szCs w:val="32"/>
          <w:lang w:val="en-US" w:eastAsia="zh-CN"/>
        </w:rPr>
        <w:t>工程、2020</w:t>
      </w:r>
      <w:r>
        <w:rPr>
          <w:rFonts w:hint="eastAsia"/>
          <w:sz w:val="32"/>
          <w:szCs w:val="32"/>
          <w:lang w:val="en-US" w:eastAsia="zh-CN"/>
        </w:rPr>
        <w:t>年福建省重点县水土流失综合治理工程，项目经济效益</w:t>
      </w:r>
      <w:r>
        <w:rPr>
          <w:rFonts w:hint="eastAsia" w:ascii="Times New Roman" w:hAnsi="Times New Roman" w:cs="Times New Roman"/>
          <w:sz w:val="32"/>
        </w:rPr>
        <w:t>主要体现在了通过各项工程措施和植物措施的实施，减少水土流失量，从而减少水土流失对周围环境的影响，确保当地的农业增产的问接经济效益，此外通过对项目区的水土保持治理，减少对项目设施的维修养护，延长其使用年限方面的经济效益。</w:t>
      </w:r>
    </w:p>
    <w:p>
      <w:pPr>
        <w:numPr>
          <w:ilvl w:val="0"/>
          <w:numId w:val="2"/>
        </w:numPr>
        <w:spacing w:line="580" w:lineRule="exact"/>
        <w:ind w:left="0" w:leftChars="0" w:firstLine="640" w:firstLineChars="200"/>
        <w:rPr>
          <w:rFonts w:hint="eastAsia" w:cs="Times New Roman"/>
          <w:sz w:val="32"/>
        </w:rPr>
      </w:pPr>
      <w:r>
        <w:rPr>
          <w:rFonts w:hint="eastAsia" w:cs="Times New Roman"/>
          <w:sz w:val="32"/>
        </w:rPr>
        <w:t>项目实施的社会效益分析</w:t>
      </w:r>
    </w:p>
    <w:p>
      <w:pPr>
        <w:numPr>
          <w:ilvl w:val="0"/>
          <w:numId w:val="0"/>
        </w:numPr>
        <w:spacing w:line="580" w:lineRule="exact"/>
        <w:ind w:firstLine="640" w:firstLineChars="200"/>
        <w:rPr>
          <w:rFonts w:hint="eastAsia" w:cs="Times New Roman"/>
          <w:sz w:val="32"/>
        </w:rPr>
      </w:pPr>
      <w:r>
        <w:rPr>
          <w:rFonts w:hint="eastAsia" w:ascii="Times New Roman" w:hAnsi="Times New Roman" w:cs="Times New Roman"/>
          <w:sz w:val="32"/>
          <w:lang w:val="en-US" w:eastAsia="zh-CN"/>
        </w:rPr>
        <w:t>配套</w:t>
      </w:r>
      <w:r>
        <w:rPr>
          <w:rFonts w:hint="eastAsia" w:ascii="仿宋_GB2312" w:hAnsi="仿宋" w:eastAsia="仿宋_GB2312"/>
          <w:sz w:val="32"/>
          <w:szCs w:val="32"/>
          <w:lang w:val="en-US" w:eastAsia="zh-CN"/>
        </w:rPr>
        <w:t>完成2020年度</w:t>
      </w:r>
      <w:r>
        <w:rPr>
          <w:rFonts w:hint="eastAsia" w:ascii="Times New Roman" w:hAnsi="Times New Roman" w:cs="Times New Roman"/>
          <w:sz w:val="32"/>
          <w:lang w:val="en-US" w:eastAsia="zh-CN"/>
        </w:rPr>
        <w:t>国家水土保持重点建设</w:t>
      </w:r>
      <w:r>
        <w:rPr>
          <w:rFonts w:hint="eastAsia" w:ascii="仿宋_GB2312" w:hAnsi="仿宋" w:eastAsia="仿宋_GB2312"/>
          <w:sz w:val="32"/>
          <w:szCs w:val="32"/>
          <w:lang w:val="en-US" w:eastAsia="zh-CN"/>
        </w:rPr>
        <w:t>工程、2020</w:t>
      </w:r>
      <w:r>
        <w:rPr>
          <w:rFonts w:hint="eastAsia" w:ascii="Times New Roman" w:hAnsi="Times New Roman" w:cs="Times New Roman"/>
          <w:sz w:val="32"/>
          <w:lang w:val="en-US" w:eastAsia="zh-CN"/>
        </w:rPr>
        <w:t>年福建省重点县水土流失综合治理工程，使之</w:t>
      </w:r>
      <w:r>
        <w:rPr>
          <w:rFonts w:hint="eastAsia" w:cs="Times New Roman"/>
          <w:sz w:val="32"/>
        </w:rPr>
        <w:t>①有效地促进项目区农业生产的发展，改善农业生产条件，减少水土流失，提高土地利用率和劳动生产力，促进土地利用结构和产业结构的调整。②减轻灾害发生。③提高农作物产量。通过水土流失综合治理，减少冲刷，保持土壤水分、养分，提高土壤肥力，提高农作物产量，同时减少土地的破坏，增加土地利用率，增加农作物产量。</w:t>
      </w:r>
    </w:p>
    <w:p>
      <w:pPr>
        <w:numPr>
          <w:ilvl w:val="0"/>
          <w:numId w:val="2"/>
        </w:numPr>
        <w:spacing w:line="580" w:lineRule="exact"/>
        <w:ind w:left="0" w:leftChars="0" w:firstLine="640" w:firstLineChars="200"/>
        <w:rPr>
          <w:rFonts w:hint="eastAsia" w:cs="Times New Roman"/>
          <w:sz w:val="32"/>
        </w:rPr>
      </w:pPr>
      <w:r>
        <w:rPr>
          <w:rFonts w:hint="eastAsia" w:cs="Times New Roman"/>
          <w:sz w:val="32"/>
        </w:rPr>
        <w:t>项目实施的生态效益分析</w:t>
      </w:r>
    </w:p>
    <w:p>
      <w:pPr>
        <w:numPr>
          <w:ilvl w:val="0"/>
          <w:numId w:val="0"/>
        </w:numPr>
        <w:spacing w:line="580" w:lineRule="exact"/>
        <w:ind w:firstLine="640" w:firstLineChars="200"/>
        <w:rPr>
          <w:rFonts w:hint="eastAsia" w:ascii="Times New Roman" w:hAnsi="Times New Roman" w:cs="Times New Roman"/>
          <w:sz w:val="32"/>
        </w:rPr>
      </w:pPr>
      <w:r>
        <w:rPr>
          <w:rFonts w:hint="eastAsia" w:ascii="Times New Roman" w:hAnsi="Times New Roman" w:cs="Times New Roman"/>
          <w:sz w:val="32"/>
          <w:lang w:val="en-US" w:eastAsia="zh-CN"/>
        </w:rPr>
        <w:t>配套完</w:t>
      </w:r>
      <w:r>
        <w:rPr>
          <w:rFonts w:hint="eastAsia" w:ascii="仿宋_GB2312" w:hAnsi="仿宋" w:eastAsia="仿宋_GB2312"/>
          <w:sz w:val="32"/>
          <w:szCs w:val="32"/>
          <w:lang w:val="en-US" w:eastAsia="zh-CN"/>
        </w:rPr>
        <w:t>成2020年度</w:t>
      </w:r>
      <w:r>
        <w:rPr>
          <w:rFonts w:hint="eastAsia" w:ascii="Times New Roman" w:hAnsi="Times New Roman" w:cs="Times New Roman"/>
          <w:sz w:val="32"/>
          <w:lang w:val="en-US" w:eastAsia="zh-CN"/>
        </w:rPr>
        <w:t>国家水土保持重点建设</w:t>
      </w:r>
      <w:r>
        <w:rPr>
          <w:rFonts w:hint="eastAsia" w:ascii="仿宋_GB2312" w:hAnsi="仿宋" w:eastAsia="仿宋_GB2312"/>
          <w:sz w:val="32"/>
          <w:szCs w:val="32"/>
          <w:lang w:val="en-US" w:eastAsia="zh-CN"/>
        </w:rPr>
        <w:t>工程、2020</w:t>
      </w:r>
      <w:r>
        <w:rPr>
          <w:rFonts w:hint="eastAsia" w:ascii="Times New Roman" w:hAnsi="Times New Roman" w:cs="Times New Roman"/>
          <w:sz w:val="32"/>
          <w:lang w:val="en-US" w:eastAsia="zh-CN"/>
        </w:rPr>
        <w:t>年福建省重点县水土流失综合治理工程，</w:t>
      </w:r>
      <w:r>
        <w:rPr>
          <w:rFonts w:hint="eastAsia" w:ascii="Times New Roman" w:hAnsi="Times New Roman" w:cs="Times New Roman"/>
          <w:sz w:val="32"/>
        </w:rPr>
        <w:t>综合治理水土流失面积</w:t>
      </w:r>
      <w:r>
        <w:rPr>
          <w:rFonts w:hint="eastAsia" w:ascii="仿宋_GB2312" w:hAnsi="仿宋" w:eastAsia="仿宋_GB2312"/>
          <w:sz w:val="32"/>
          <w:szCs w:val="32"/>
          <w:lang w:val="en-US" w:eastAsia="zh-CN"/>
        </w:rPr>
        <w:t>2394.89</w:t>
      </w:r>
      <w:r>
        <w:rPr>
          <w:rFonts w:hint="eastAsia" w:ascii="仿宋_GB2312" w:hAnsi="仿宋" w:eastAsia="仿宋_GB2312"/>
          <w:sz w:val="32"/>
          <w:szCs w:val="32"/>
        </w:rPr>
        <w:t>hm2，有</w:t>
      </w:r>
      <w:r>
        <w:rPr>
          <w:rFonts w:hint="eastAsia" w:ascii="Times New Roman" w:hAnsi="Times New Roman" w:cs="Times New Roman"/>
          <w:sz w:val="32"/>
        </w:rPr>
        <w:t>效地减轻水土流失的危害，林地质量和生长力大大提高，改善涵养水源，保护土壤，增加地力改善和调节气候的功能。项目区的生态环境将会公得到明显的改善，①增加植被覆盖，改善生态环境。 ②蓄水保土效益。</w:t>
      </w:r>
    </w:p>
    <w:p>
      <w:pPr>
        <w:numPr>
          <w:ilvl w:val="0"/>
          <w:numId w:val="2"/>
        </w:numPr>
        <w:spacing w:line="580" w:lineRule="exact"/>
        <w:ind w:left="0" w:leftChars="0" w:firstLine="640" w:firstLineChars="200"/>
        <w:rPr>
          <w:rFonts w:hint="eastAsia" w:cs="Times New Roman"/>
          <w:sz w:val="32"/>
        </w:rPr>
      </w:pPr>
      <w:r>
        <w:rPr>
          <w:rFonts w:hint="eastAsia" w:cs="Times New Roman"/>
          <w:sz w:val="32"/>
        </w:rPr>
        <w:t>项目实施的可持续影响分析</w:t>
      </w:r>
    </w:p>
    <w:p>
      <w:pPr>
        <w:pStyle w:val="3"/>
        <w:spacing w:line="580" w:lineRule="exact"/>
        <w:ind w:firstLine="643"/>
        <w:rPr>
          <w:rFonts w:hint="eastAsia" w:cs="Times New Roman"/>
          <w:sz w:val="32"/>
        </w:rPr>
      </w:pPr>
      <w:r>
        <w:rPr>
          <w:rFonts w:hint="eastAsia" w:cs="Times New Roman"/>
          <w:sz w:val="32"/>
        </w:rPr>
        <w:t>配套完成</w:t>
      </w:r>
      <w:r>
        <w:rPr>
          <w:rFonts w:hint="eastAsia" w:ascii="仿宋_GB2312" w:hAnsi="仿宋" w:eastAsia="仿宋_GB2312" w:cstheme="minorBidi"/>
          <w:bCs w:val="0"/>
          <w:kern w:val="2"/>
          <w:sz w:val="32"/>
          <w:szCs w:val="32"/>
          <w:lang w:val="en-US" w:eastAsia="zh-CN" w:bidi="ar-SA"/>
        </w:rPr>
        <w:t>2020年度</w:t>
      </w:r>
      <w:r>
        <w:rPr>
          <w:rFonts w:hint="eastAsia" w:cs="Times New Roman"/>
          <w:sz w:val="32"/>
        </w:rPr>
        <w:t>国家水土保持重点建设工</w:t>
      </w:r>
      <w:r>
        <w:rPr>
          <w:rFonts w:hint="eastAsia" w:ascii="仿宋_GB2312" w:hAnsi="仿宋" w:eastAsia="仿宋_GB2312" w:cstheme="minorBidi"/>
          <w:bCs w:val="0"/>
          <w:kern w:val="2"/>
          <w:sz w:val="32"/>
          <w:szCs w:val="32"/>
          <w:lang w:val="en-US" w:eastAsia="zh-CN" w:bidi="ar-SA"/>
        </w:rPr>
        <w:t>程、2020</w:t>
      </w:r>
      <w:r>
        <w:rPr>
          <w:rFonts w:hint="eastAsia" w:cs="Times New Roman"/>
          <w:sz w:val="32"/>
        </w:rPr>
        <w:t>年福建省重点县水土流失综合治理工程，各项治理措施全部发挥效益后，每年可增加蓄水效益、可减少土壤侵蚀量。项目区水土流失得到有效控制，生态环境趋于良性循环，农业生产条件得到改善，有利于项目区社会经济的可持续发展。</w:t>
      </w:r>
    </w:p>
    <w:p>
      <w:pPr>
        <w:pStyle w:val="3"/>
        <w:spacing w:line="580" w:lineRule="exact"/>
        <w:ind w:firstLine="643"/>
        <w:rPr>
          <w:rFonts w:ascii="楷体_GB2312" w:hAnsi="楷体" w:eastAsia="楷体_GB2312" w:cs="Times New Roman"/>
          <w:b/>
          <w:bCs w:val="0"/>
          <w:sz w:val="32"/>
        </w:rPr>
      </w:pPr>
      <w:r>
        <w:rPr>
          <w:rFonts w:hint="eastAsia" w:ascii="楷体_GB2312" w:hAnsi="楷体" w:eastAsia="楷体_GB2312" w:cs="Times New Roman"/>
          <w:b/>
          <w:bCs w:val="0"/>
          <w:sz w:val="32"/>
        </w:rPr>
        <w:t>（五）满意度指标完成情况分析</w:t>
      </w:r>
    </w:p>
    <w:p>
      <w:pPr>
        <w:spacing w:line="580" w:lineRule="exact"/>
        <w:ind w:firstLine="640"/>
        <w:rPr>
          <w:rFonts w:hint="eastAsia"/>
          <w:sz w:val="32"/>
        </w:rPr>
      </w:pPr>
      <w:r>
        <w:rPr>
          <w:rFonts w:hint="eastAsia"/>
          <w:sz w:val="32"/>
        </w:rPr>
        <w:t>对项目区的村民进行满意度调查问卷，受益群众满意度</w:t>
      </w:r>
      <w:r>
        <w:rPr>
          <w:rFonts w:hint="eastAsia" w:ascii="仿宋_GB2312" w:hAnsi="仿宋" w:eastAsia="仿宋_GB2312"/>
          <w:sz w:val="32"/>
          <w:szCs w:val="32"/>
        </w:rPr>
        <w:t>100%。</w:t>
      </w:r>
    </w:p>
    <w:p>
      <w:pPr>
        <w:spacing w:line="580" w:lineRule="exact"/>
        <w:ind w:firstLine="640"/>
        <w:rPr>
          <w:rFonts w:ascii="黑体" w:hAnsi="黑体" w:eastAsia="黑体" w:cs="Times New Roman"/>
          <w:b w:val="0"/>
          <w:bCs w:val="0"/>
          <w:sz w:val="32"/>
          <w:szCs w:val="32"/>
        </w:rPr>
      </w:pPr>
      <w:r>
        <w:rPr>
          <w:rFonts w:hint="eastAsia" w:ascii="黑体" w:hAnsi="黑体" w:eastAsia="黑体" w:cs="Times New Roman"/>
          <w:b w:val="0"/>
          <w:bCs w:val="0"/>
          <w:sz w:val="32"/>
          <w:szCs w:val="32"/>
        </w:rPr>
        <w:t>四、偏离绩效目标原因和下一步改进措施</w:t>
      </w:r>
    </w:p>
    <w:p>
      <w:pPr>
        <w:pStyle w:val="2"/>
        <w:spacing w:line="580" w:lineRule="exact"/>
        <w:ind w:firstLine="640"/>
        <w:rPr>
          <w:rFonts w:hint="eastAsia" w:ascii="Times New Roman" w:hAnsi="Times New Roman" w:eastAsia="仿宋_GB2312" w:cstheme="minorBidi"/>
          <w:b w:val="0"/>
          <w:bCs w:val="0"/>
          <w:kern w:val="2"/>
          <w:sz w:val="32"/>
          <w:szCs w:val="32"/>
          <w:lang w:val="en-US" w:eastAsia="zh-CN" w:bidi="ar-SA"/>
        </w:rPr>
      </w:pPr>
      <w:r>
        <w:rPr>
          <w:rFonts w:hint="eastAsia" w:ascii="Times New Roman" w:hAnsi="Times New Roman" w:eastAsia="仿宋_GB2312" w:cstheme="minorBidi"/>
          <w:b w:val="0"/>
          <w:bCs w:val="0"/>
          <w:kern w:val="2"/>
          <w:sz w:val="32"/>
          <w:szCs w:val="32"/>
          <w:lang w:val="en-US" w:eastAsia="zh-CN" w:bidi="ar-SA"/>
        </w:rPr>
        <w:t>现项目已全面完工，生态保护修复绩效目标已实现，水土流失得到有效控制，降低水土流失造成的危害，有利于森林资源保护力度得到提高，改善农村生产条件和生活环境。且可增加治理区的蓄水效益和保土能力。</w:t>
      </w:r>
    </w:p>
    <w:p>
      <w:pPr>
        <w:rPr>
          <w:rFonts w:hint="eastAsia" w:ascii="Times New Roman" w:hAnsi="Times New Roman" w:eastAsia="仿宋_GB2312" w:cstheme="minorBidi"/>
          <w:b w:val="0"/>
          <w:bCs w:val="0"/>
          <w:kern w:val="2"/>
          <w:sz w:val="32"/>
          <w:szCs w:val="32"/>
          <w:lang w:val="en-US" w:eastAsia="zh-CN" w:bidi="ar-SA"/>
        </w:rPr>
      </w:pPr>
      <w:r>
        <w:rPr>
          <w:rFonts w:hint="eastAsia" w:ascii="Times New Roman" w:hAnsi="Times New Roman" w:eastAsia="仿宋_GB2312" w:cstheme="minorBidi"/>
          <w:b w:val="0"/>
          <w:bCs w:val="0"/>
          <w:kern w:val="2"/>
          <w:sz w:val="32"/>
          <w:szCs w:val="32"/>
          <w:lang w:val="en-US" w:eastAsia="zh-CN" w:bidi="ar-SA"/>
        </w:rPr>
        <w:t>由于预算时未与项目实际情况对接，股室交流不够，造成预算过高、执行率低的问题，今后将加强股室交流并做好项目对接预算工作。</w:t>
      </w:r>
    </w:p>
    <w:p>
      <w:pPr>
        <w:pStyle w:val="2"/>
        <w:spacing w:line="580" w:lineRule="exact"/>
        <w:ind w:firstLine="640"/>
        <w:rPr>
          <w:rFonts w:ascii="黑体" w:hAnsi="黑体" w:eastAsia="黑体" w:cs="Times New Roman"/>
          <w:b w:val="0"/>
          <w:bCs w:val="0"/>
          <w:sz w:val="32"/>
          <w:szCs w:val="32"/>
        </w:rPr>
      </w:pPr>
      <w:r>
        <w:rPr>
          <w:rFonts w:hint="eastAsia" w:ascii="黑体" w:hAnsi="黑体" w:eastAsia="黑体" w:cs="Times New Roman"/>
          <w:b w:val="0"/>
          <w:bCs w:val="0"/>
          <w:sz w:val="32"/>
          <w:szCs w:val="32"/>
        </w:rPr>
        <w:t>五、综合评</w:t>
      </w:r>
      <w:r>
        <w:rPr>
          <w:rFonts w:hint="eastAsia" w:ascii="黑体" w:hAnsi="黑体" w:eastAsia="黑体" w:cs="Times New Roman"/>
          <w:b w:val="0"/>
          <w:bCs w:val="0"/>
          <w:sz w:val="32"/>
          <w:szCs w:val="32"/>
          <w:lang w:val="en-US" w:eastAsia="zh-CN"/>
        </w:rPr>
        <w:t>估</w:t>
      </w:r>
      <w:r>
        <w:rPr>
          <w:rFonts w:hint="eastAsia" w:ascii="黑体" w:hAnsi="黑体" w:eastAsia="黑体" w:cs="Times New Roman"/>
          <w:b w:val="0"/>
          <w:bCs w:val="0"/>
          <w:sz w:val="32"/>
          <w:szCs w:val="32"/>
        </w:rPr>
        <w:t>结论</w:t>
      </w:r>
    </w:p>
    <w:p>
      <w:pPr>
        <w:spacing w:line="580" w:lineRule="exact"/>
        <w:ind w:firstLine="640"/>
        <w:rPr>
          <w:rFonts w:hint="eastAsia"/>
          <w:sz w:val="32"/>
          <w:szCs w:val="32"/>
          <w:lang w:val="en-US" w:eastAsia="zh-CN"/>
        </w:rPr>
      </w:pPr>
      <w:r>
        <w:rPr>
          <w:rFonts w:hint="eastAsia" w:ascii="Times New Roman" w:hAnsi="Times New Roman"/>
          <w:sz w:val="32"/>
          <w:szCs w:val="32"/>
        </w:rPr>
        <w:t>该项目投资已全部完成，占</w:t>
      </w:r>
      <w:r>
        <w:rPr>
          <w:rFonts w:hint="eastAsia"/>
          <w:sz w:val="32"/>
          <w:szCs w:val="32"/>
          <w:lang w:val="en-US" w:eastAsia="zh-CN"/>
        </w:rPr>
        <w:t>任务</w:t>
      </w:r>
      <w:r>
        <w:rPr>
          <w:rFonts w:hint="eastAsia" w:ascii="仿宋_GB2312" w:hAnsi="仿宋" w:eastAsia="仿宋_GB2312"/>
          <w:sz w:val="32"/>
          <w:szCs w:val="32"/>
          <w:lang w:val="en-US" w:eastAsia="zh-CN"/>
        </w:rPr>
        <w:t>的100%。减</w:t>
      </w:r>
      <w:r>
        <w:rPr>
          <w:rFonts w:hint="eastAsia"/>
          <w:sz w:val="32"/>
          <w:szCs w:val="32"/>
          <w:lang w:val="en-US" w:eastAsia="zh-CN"/>
        </w:rPr>
        <w:t>少水土流失，改善人民生活水平。</w:t>
      </w:r>
    </w:p>
    <w:p>
      <w:pPr>
        <w:pStyle w:val="2"/>
        <w:spacing w:line="580" w:lineRule="exact"/>
        <w:ind w:firstLine="640"/>
        <w:rPr>
          <w:rFonts w:ascii="黑体" w:hAnsi="黑体" w:eastAsia="黑体" w:cs="Times New Roman"/>
          <w:b w:val="0"/>
          <w:bCs w:val="0"/>
          <w:sz w:val="32"/>
          <w:szCs w:val="32"/>
        </w:rPr>
      </w:pPr>
      <w:r>
        <w:rPr>
          <w:rFonts w:hint="eastAsia" w:ascii="黑体" w:hAnsi="黑体" w:eastAsia="黑体" w:cs="Times New Roman"/>
          <w:b w:val="0"/>
          <w:bCs w:val="0"/>
          <w:sz w:val="32"/>
          <w:szCs w:val="32"/>
        </w:rPr>
        <w:t>六、经验、问题和建议</w:t>
      </w:r>
    </w:p>
    <w:p>
      <w:pPr>
        <w:spacing w:line="580" w:lineRule="exact"/>
        <w:ind w:firstLine="640"/>
        <w:rPr>
          <w:rFonts w:hint="default"/>
          <w:sz w:val="32"/>
          <w:szCs w:val="32"/>
          <w:lang w:val="en-US"/>
        </w:rPr>
      </w:pPr>
      <w:r>
        <w:rPr>
          <w:rFonts w:hint="eastAsia"/>
          <w:sz w:val="32"/>
          <w:szCs w:val="32"/>
        </w:rPr>
        <w:t>一是进一步明确责任、措施,抓好水土保持重点项目扫尾工作，保质保量全面完成建设任务；二是落实好项目</w:t>
      </w:r>
      <w:r>
        <w:rPr>
          <w:rFonts w:hint="eastAsia"/>
          <w:sz w:val="32"/>
          <w:szCs w:val="32"/>
          <w:lang w:eastAsia="zh-CN"/>
        </w:rPr>
        <w:t>；三是进一步加强施工现场检查，强化工程建设每个环节，确保工程建设的顺利实施和资金使用的安全高效，遏制新的水土流失现象的发生，为我县生态文明建设提供保证；</w:t>
      </w:r>
      <w:r>
        <w:rPr>
          <w:rFonts w:hint="eastAsia"/>
          <w:sz w:val="32"/>
          <w:szCs w:val="32"/>
          <w:lang w:val="en-US" w:eastAsia="zh-CN"/>
        </w:rPr>
        <w:t>四是加强交流并做好项目对接预算工作。</w:t>
      </w:r>
    </w:p>
    <w:p>
      <w:pPr>
        <w:pStyle w:val="2"/>
        <w:spacing w:line="580" w:lineRule="exact"/>
        <w:ind w:firstLine="640"/>
        <w:rPr>
          <w:rFonts w:ascii="黑体" w:hAnsi="黑体" w:eastAsia="黑体" w:cs="Times New Roman"/>
          <w:b w:val="0"/>
          <w:bCs w:val="0"/>
          <w:sz w:val="32"/>
          <w:szCs w:val="32"/>
        </w:rPr>
      </w:pPr>
      <w:r>
        <w:rPr>
          <w:rFonts w:hint="eastAsia" w:ascii="黑体" w:hAnsi="黑体" w:eastAsia="黑体"/>
          <w:b w:val="0"/>
          <w:bCs w:val="0"/>
          <w:sz w:val="32"/>
          <w:szCs w:val="32"/>
        </w:rPr>
        <w:t>七、</w:t>
      </w:r>
      <w:r>
        <w:rPr>
          <w:rFonts w:hint="eastAsia" w:ascii="黑体" w:hAnsi="黑体" w:eastAsia="黑体" w:cs="Times New Roman"/>
          <w:b w:val="0"/>
          <w:bCs w:val="0"/>
          <w:sz w:val="32"/>
          <w:szCs w:val="32"/>
        </w:rPr>
        <w:t>评</w:t>
      </w:r>
      <w:r>
        <w:rPr>
          <w:rFonts w:hint="eastAsia" w:ascii="黑体" w:hAnsi="黑体" w:eastAsia="黑体" w:cs="Times New Roman"/>
          <w:b w:val="0"/>
          <w:bCs w:val="0"/>
          <w:sz w:val="32"/>
          <w:szCs w:val="32"/>
          <w:lang w:val="en-US" w:eastAsia="zh-CN"/>
        </w:rPr>
        <w:t>估</w:t>
      </w:r>
      <w:r>
        <w:rPr>
          <w:rFonts w:hint="eastAsia" w:ascii="黑体" w:hAnsi="黑体" w:eastAsia="黑体" w:cs="Times New Roman"/>
          <w:b w:val="0"/>
          <w:bCs w:val="0"/>
          <w:sz w:val="32"/>
          <w:szCs w:val="32"/>
        </w:rPr>
        <w:t>结果拟应用和公开情况</w:t>
      </w:r>
    </w:p>
    <w:p>
      <w:pPr>
        <w:spacing w:line="580" w:lineRule="exact"/>
        <w:ind w:firstLine="640"/>
        <w:rPr>
          <w:sz w:val="32"/>
          <w:szCs w:val="32"/>
        </w:rPr>
      </w:pPr>
      <w:r>
        <w:rPr>
          <w:rFonts w:hint="eastAsia"/>
          <w:sz w:val="32"/>
          <w:szCs w:val="32"/>
        </w:rPr>
        <w:t>评结</w:t>
      </w:r>
      <w:r>
        <w:rPr>
          <w:rFonts w:hint="eastAsia"/>
          <w:sz w:val="32"/>
          <w:szCs w:val="32"/>
          <w:lang w:val="en-US" w:eastAsia="zh-CN"/>
        </w:rPr>
        <w:t>估</w:t>
      </w:r>
      <w:r>
        <w:rPr>
          <w:rFonts w:hint="eastAsia"/>
          <w:sz w:val="32"/>
          <w:szCs w:val="32"/>
        </w:rPr>
        <w:t>果，对被评</w:t>
      </w:r>
      <w:r>
        <w:rPr>
          <w:rFonts w:hint="eastAsia"/>
          <w:sz w:val="32"/>
          <w:szCs w:val="32"/>
          <w:lang w:val="en-US" w:eastAsia="zh-CN"/>
        </w:rPr>
        <w:t>估</w:t>
      </w:r>
      <w:r>
        <w:rPr>
          <w:rFonts w:hint="eastAsia"/>
          <w:sz w:val="32"/>
          <w:szCs w:val="32"/>
        </w:rPr>
        <w:t>项目绩效情况、完成的程度和存在问题与建议加以综合分析，强化评</w:t>
      </w:r>
      <w:r>
        <w:rPr>
          <w:rFonts w:hint="eastAsia"/>
          <w:sz w:val="32"/>
          <w:szCs w:val="32"/>
          <w:lang w:val="en-US" w:eastAsia="zh-CN"/>
        </w:rPr>
        <w:t>估</w:t>
      </w:r>
      <w:r>
        <w:rPr>
          <w:rFonts w:hint="eastAsia"/>
          <w:sz w:val="32"/>
          <w:szCs w:val="32"/>
        </w:rPr>
        <w:t>结果的应用。</w:t>
      </w:r>
    </w:p>
    <w:p>
      <w:pPr>
        <w:pStyle w:val="2"/>
        <w:spacing w:line="580" w:lineRule="exact"/>
        <w:ind w:firstLine="640"/>
        <w:rPr>
          <w:rFonts w:ascii="黑体" w:hAnsi="黑体" w:eastAsia="黑体" w:cs="Times New Roman"/>
          <w:b w:val="0"/>
          <w:bCs w:val="0"/>
          <w:sz w:val="32"/>
          <w:szCs w:val="32"/>
        </w:rPr>
      </w:pPr>
      <w:r>
        <w:rPr>
          <w:rFonts w:hint="eastAsia" w:ascii="黑体" w:hAnsi="黑体" w:eastAsia="黑体" w:cs="Times New Roman"/>
          <w:b w:val="0"/>
          <w:bCs w:val="0"/>
          <w:sz w:val="32"/>
          <w:szCs w:val="32"/>
        </w:rPr>
        <w:t>八、其他需说明的问题</w:t>
      </w:r>
    </w:p>
    <w:p>
      <w:pPr>
        <w:spacing w:line="580" w:lineRule="exact"/>
        <w:ind w:firstLine="640"/>
        <w:rPr>
          <w:sz w:val="32"/>
          <w:szCs w:val="32"/>
        </w:rPr>
      </w:pPr>
      <w:r>
        <w:rPr>
          <w:rFonts w:hint="eastAsia"/>
          <w:sz w:val="32"/>
          <w:szCs w:val="32"/>
          <w:lang w:val="en-US" w:eastAsia="zh-CN"/>
        </w:rPr>
        <w:t>无</w:t>
      </w:r>
      <w:r>
        <w:rPr>
          <w:rFonts w:hint="eastAsia"/>
          <w:sz w:val="32"/>
          <w:szCs w:val="32"/>
        </w:rPr>
        <w:t>。</w:t>
      </w:r>
    </w:p>
    <w:p>
      <w:pPr>
        <w:sectPr>
          <w:headerReference r:id="rId6" w:type="first"/>
          <w:footerReference r:id="rId9" w:type="first"/>
          <w:headerReference r:id="rId4" w:type="default"/>
          <w:footerReference r:id="rId7" w:type="default"/>
          <w:headerReference r:id="rId5" w:type="even"/>
          <w:footerReference r:id="rId8" w:type="even"/>
          <w:pgSz w:w="11906" w:h="16838"/>
          <w:pgMar w:top="1440" w:right="1701" w:bottom="1134" w:left="1701" w:header="851" w:footer="850" w:gutter="0"/>
          <w:cols w:space="0" w:num="1"/>
          <w:docGrid w:type="lines" w:linePitch="381" w:charSpace="0"/>
        </w:sectPr>
      </w:pPr>
    </w:p>
    <w:tbl>
      <w:tblPr>
        <w:tblStyle w:val="6"/>
        <w:tblW w:w="92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3"/>
        <w:gridCol w:w="863"/>
        <w:gridCol w:w="666"/>
        <w:gridCol w:w="1985"/>
        <w:gridCol w:w="1092"/>
        <w:gridCol w:w="1416"/>
        <w:gridCol w:w="1416"/>
        <w:gridCol w:w="1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270" w:type="dxa"/>
            <w:gridSpan w:val="8"/>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8"/>
                <w:szCs w:val="28"/>
                <w:u w:val="none"/>
                <w:lang w:val="en-US" w:eastAsia="zh-CN" w:bidi="ar"/>
              </w:rPr>
              <w:t xml:space="preserve"> 建宁县2021年水土流失综合治理工程配套资金</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项目绩效目标评价表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270" w:type="dxa"/>
            <w:gridSpan w:val="8"/>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8"/>
                <w:szCs w:val="28"/>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转移支付（项目）名 称</w:t>
            </w:r>
          </w:p>
        </w:tc>
        <w:tc>
          <w:tcPr>
            <w:tcW w:w="71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建宁县2021年水土流失综合治理工程配套资金项目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中央主管部门</w:t>
            </w:r>
          </w:p>
        </w:tc>
        <w:tc>
          <w:tcPr>
            <w:tcW w:w="71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地方主管部门</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福建省水利厅</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w:t>
            </w:r>
          </w:p>
        </w:tc>
        <w:tc>
          <w:tcPr>
            <w:tcW w:w="2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建宁县水利局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21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 （万元）</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i w:val="0"/>
                <w:iCs w:val="0"/>
                <w:color w:val="000000"/>
                <w:sz w:val="21"/>
                <w:szCs w:val="21"/>
                <w:u w:val="none"/>
              </w:rPr>
            </w:pPr>
            <w:r>
              <w:rPr>
                <w:rStyle w:val="8"/>
                <w:sz w:val="21"/>
                <w:szCs w:val="21"/>
                <w:lang w:val="en-US" w:eastAsia="zh-CN" w:bidi="ar"/>
              </w:rPr>
              <w:t>全年预算数</w:t>
            </w:r>
            <w:r>
              <w:rPr>
                <w:rStyle w:val="9"/>
                <w:sz w:val="21"/>
                <w:szCs w:val="21"/>
                <w:lang w:val="en-US" w:eastAsia="zh-CN" w:bidi="ar"/>
              </w:rPr>
              <w:t>（A）</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u w:val="none"/>
              </w:rPr>
            </w:pPr>
            <w:r>
              <w:rPr>
                <w:rStyle w:val="8"/>
                <w:sz w:val="21"/>
                <w:szCs w:val="21"/>
                <w:lang w:val="en-US" w:eastAsia="zh-CN" w:bidi="ar"/>
              </w:rPr>
              <w:t>全年执行数</w:t>
            </w:r>
            <w:r>
              <w:rPr>
                <w:rStyle w:val="9"/>
                <w:sz w:val="21"/>
                <w:szCs w:val="21"/>
                <w:lang w:val="en-US" w:eastAsia="zh-CN" w:bidi="ar"/>
              </w:rPr>
              <w:t>（B）</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i w:val="0"/>
                <w:iCs w:val="0"/>
                <w:color w:val="000000"/>
                <w:sz w:val="21"/>
                <w:szCs w:val="21"/>
                <w:u w:val="none"/>
              </w:rPr>
            </w:pPr>
            <w:r>
              <w:rPr>
                <w:rStyle w:val="8"/>
                <w:sz w:val="21"/>
                <w:szCs w:val="21"/>
                <w:lang w:val="en-US" w:eastAsia="zh-CN" w:bidi="ar"/>
              </w:rPr>
              <w:t>预算执行率</w:t>
            </w:r>
            <w:r>
              <w:rPr>
                <w:rStyle w:val="9"/>
                <w:sz w:val="21"/>
                <w:szCs w:val="21"/>
                <w:lang w:val="en-US" w:eastAsia="zh-CN" w:bidi="ar"/>
              </w:rPr>
              <w:t>（B/A）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1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年度资金总额：</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56.68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1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其中：补助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56.68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1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地方资金</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1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年度总体目标</w:t>
            </w:r>
          </w:p>
        </w:tc>
        <w:tc>
          <w:tcPr>
            <w:tcW w:w="46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年初设定目标</w:t>
            </w:r>
          </w:p>
        </w:tc>
        <w:tc>
          <w:tcPr>
            <w:tcW w:w="4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46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配套完成综合治理水土流失面积2394.89hm2,将减轻治理区的水土流失，降低水土流失造成的危害，改善当地人民群众生活条件</w:t>
            </w:r>
          </w:p>
        </w:tc>
        <w:tc>
          <w:tcPr>
            <w:tcW w:w="4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配套完成综合治理水土流失面积2394.89hm2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 效 指 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年度指标値</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全年完成值</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综合治理水土流失面积</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2394.89h㎡</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2394.89h㎡</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质暈指标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完工项目安全性能率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项目完工率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财政投入金额</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56.68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 益 指 标</w:t>
            </w: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经济效益指标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可增加蓄水效益</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205.55万m³/年</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205.55万m³/年</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有利于森林资源保护力度得到提高，减少水土流失</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生态效益指标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减少项目区引水渠道等的泥沙淤积</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水土流失得到有效控制，生态环境得到有效改善</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 度指 标</w:t>
            </w: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群众满意度</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受益乡镇、村满意度</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30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86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r>
    </w:tbl>
    <w:p>
      <w:pPr>
        <w:keepNext/>
        <w:keepLines/>
        <w:widowControl w:val="0"/>
        <w:spacing w:before="0" w:after="0" w:line="360" w:lineRule="auto"/>
        <w:ind w:left="0" w:leftChars="0" w:firstLine="0" w:firstLineChars="0"/>
        <w:jc w:val="both"/>
        <w:outlineLvl w:val="0"/>
        <w:rPr>
          <w:rFonts w:hint="eastAsia" w:ascii="仿宋_GB2312" w:hAnsi="Calibri" w:eastAsia="仿宋_GB2312" w:cs="Calibri"/>
          <w:b/>
          <w:bCs/>
          <w:kern w:val="0"/>
          <w:sz w:val="32"/>
          <w:szCs w:val="32"/>
          <w:lang w:val="en-US" w:eastAsia="zh-CN" w:bidi="ar-SA"/>
        </w:rPr>
        <w:sectPr>
          <w:pgSz w:w="11906" w:h="16838"/>
          <w:pgMar w:top="1440" w:right="1274" w:bottom="1440" w:left="1135" w:header="851" w:footer="992" w:gutter="0"/>
          <w:cols w:space="425" w:num="1"/>
          <w:docGrid w:type="lines" w:linePitch="312" w:charSpace="0"/>
        </w:sectPr>
      </w:pPr>
      <w:bookmarkStart w:id="1" w:name="_Toc14348"/>
    </w:p>
    <w:bookmarkEnd w:id="1"/>
    <w:p>
      <w:pPr>
        <w:ind w:left="0" w:leftChars="0" w:firstLine="0" w:firstLineChars="0"/>
        <w:rPr>
          <w:rFonts w:hint="eastAsia" w:eastAsia="仿宋_GB2312"/>
          <w:lang w:eastAsia="zh-CN"/>
        </w:rPr>
      </w:pPr>
    </w:p>
    <w:sectPr>
      <w:pgSz w:w="11906" w:h="16838"/>
      <w:pgMar w:top="1440" w:right="1274" w:bottom="1440" w:left="113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p>
  <w:p>
    <w:pP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018206"/>
    </w:sdtPr>
    <w:sdtEndPr>
      <w:rPr>
        <w:rFonts w:cs="Times New Roman"/>
        <w:sz w:val="20"/>
        <w:szCs w:val="20"/>
      </w:rPr>
    </w:sdtEndPr>
    <w:sdtContent>
      <w:p>
        <w:pPr>
          <w:pStyle w:val="4"/>
          <w:ind w:firstLine="0" w:firstLineChars="0"/>
          <w:jc w:val="center"/>
          <w:rPr>
            <w:rFonts w:cs="Times New Roman"/>
            <w:sz w:val="20"/>
            <w:szCs w:val="20"/>
          </w:rPr>
        </w:pPr>
        <w:r>
          <w:rPr>
            <w:rFonts w:cs="Times New Roman"/>
            <w:sz w:val="20"/>
            <w:szCs w:val="20"/>
          </w:rPr>
          <w:fldChar w:fldCharType="begin"/>
        </w:r>
        <w:r>
          <w:rPr>
            <w:rFonts w:cs="Times New Roman"/>
            <w:sz w:val="20"/>
            <w:szCs w:val="20"/>
          </w:rPr>
          <w:instrText xml:space="preserve">PAGE   \* MERGEFORMAT</w:instrText>
        </w:r>
        <w:r>
          <w:rPr>
            <w:rFonts w:cs="Times New Roman"/>
            <w:sz w:val="20"/>
            <w:szCs w:val="20"/>
          </w:rPr>
          <w:fldChar w:fldCharType="separate"/>
        </w:r>
        <w:r>
          <w:rPr>
            <w:rFonts w:cs="Times New Roman"/>
            <w:sz w:val="20"/>
            <w:szCs w:val="20"/>
            <w:lang w:val="zh-CN"/>
          </w:rPr>
          <w:t>5</w:t>
        </w:r>
        <w:r>
          <w:rPr>
            <w:rFonts w:cs="Times New Roman"/>
            <w:sz w:val="20"/>
            <w:szCs w:val="20"/>
          </w:rPr>
          <w:fldChar w:fldCharType="end"/>
        </w:r>
      </w:p>
    </w:sdtContent>
  </w:sdt>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8C8A90"/>
    <w:multiLevelType w:val="singleLevel"/>
    <w:tmpl w:val="CA8C8A90"/>
    <w:lvl w:ilvl="0" w:tentative="0">
      <w:start w:val="1"/>
      <w:numFmt w:val="decimal"/>
      <w:lvlText w:val="%1."/>
      <w:lvlJc w:val="left"/>
      <w:pPr>
        <w:tabs>
          <w:tab w:val="left" w:pos="312"/>
        </w:tabs>
      </w:pPr>
    </w:lvl>
  </w:abstractNum>
  <w:abstractNum w:abstractNumId="1">
    <w:nsid w:val="DBE6E3FB"/>
    <w:multiLevelType w:val="singleLevel"/>
    <w:tmpl w:val="DBE6E3F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NGQ0ZTc4YzVlNTU5NDVlNzE2MmUwMDA3MzQ4YjQifQ=="/>
  </w:docVars>
  <w:rsids>
    <w:rsidRoot w:val="5E5D6B9F"/>
    <w:rsid w:val="14086D6E"/>
    <w:rsid w:val="1F5F7E87"/>
    <w:rsid w:val="2A842639"/>
    <w:rsid w:val="47031DB7"/>
    <w:rsid w:val="49C64EE4"/>
    <w:rsid w:val="49E85739"/>
    <w:rsid w:val="5E5D6B9F"/>
    <w:rsid w:val="63813D82"/>
    <w:rsid w:val="64F55935"/>
    <w:rsid w:val="6DBF0CE1"/>
    <w:rsid w:val="6E5FA195"/>
    <w:rsid w:val="6EEF38AE"/>
    <w:rsid w:val="BFFF988A"/>
    <w:rsid w:val="EDBDCC2A"/>
    <w:rsid w:val="F9DB90D6"/>
    <w:rsid w:val="FB7DF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仿宋_GB2312" w:cstheme="minorBidi"/>
      <w:kern w:val="2"/>
      <w:sz w:val="28"/>
      <w:szCs w:val="22"/>
      <w:lang w:val="en-US" w:eastAsia="zh-CN" w:bidi="ar-SA"/>
    </w:rPr>
  </w:style>
  <w:style w:type="paragraph" w:styleId="2">
    <w:name w:val="heading 1"/>
    <w:basedOn w:val="1"/>
    <w:next w:val="1"/>
    <w:qFormat/>
    <w:uiPriority w:val="9"/>
    <w:pPr>
      <w:keepNext/>
      <w:keepLines/>
      <w:outlineLvl w:val="0"/>
    </w:pPr>
    <w:rPr>
      <w:b/>
      <w:bCs/>
      <w:kern w:val="44"/>
      <w:szCs w:val="44"/>
    </w:rPr>
  </w:style>
  <w:style w:type="paragraph" w:styleId="3">
    <w:name w:val="heading 2"/>
    <w:basedOn w:val="1"/>
    <w:next w:val="1"/>
    <w:unhideWhenUsed/>
    <w:qFormat/>
    <w:uiPriority w:val="9"/>
    <w:pPr>
      <w:keepNext/>
      <w:keepLines/>
      <w:outlineLvl w:val="1"/>
    </w:pPr>
    <w:rPr>
      <w:rFonts w:cstheme="majorBidi"/>
      <w:bCs/>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font51"/>
    <w:basedOn w:val="7"/>
    <w:qFormat/>
    <w:uiPriority w:val="0"/>
    <w:rPr>
      <w:rFonts w:hint="eastAsia" w:ascii="宋体" w:hAnsi="宋体" w:eastAsia="宋体" w:cs="宋体"/>
      <w:color w:val="000000"/>
      <w:sz w:val="16"/>
      <w:szCs w:val="16"/>
      <w:u w:val="none"/>
    </w:rPr>
  </w:style>
  <w:style w:type="character" w:customStyle="1" w:styleId="9">
    <w:name w:val="font4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2943</Words>
  <Characters>3196</Characters>
  <Lines>0</Lines>
  <Paragraphs>0</Paragraphs>
  <TotalTime>11</TotalTime>
  <ScaleCrop>false</ScaleCrop>
  <LinksUpToDate>false</LinksUpToDate>
  <CharactersWithSpaces>3203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2022-05-30T19:30:00Z</dcterms:created>
  <dc:creator>live</dc:creator>
  <cp:lastModifiedBy>Administrator</cp:lastModifiedBy>
  <dcterms:modified xsi:type="dcterms:W3CDTF">2022-11-01T03:55:51Z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4E52C3016C0849A1862C6C5E6FD71E5E</vt:lpwstr>
  </property>
</Properties>
</file>