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5"/>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val="en-US" w:eastAsia="zh-CN"/>
        </w:rPr>
        <w:t>均党</w:t>
      </w:r>
      <w:r>
        <w:rPr>
          <w:rFonts w:hint="eastAsia" w:ascii="仿宋_GB2312" w:hAnsi="仿宋_GB2312" w:eastAsia="仿宋_GB2312" w:cs="仿宋_GB2312"/>
          <w:sz w:val="36"/>
          <w:szCs w:val="36"/>
        </w:rPr>
        <w:t>〔20</w:t>
      </w:r>
      <w:r>
        <w:rPr>
          <w:rFonts w:hint="eastAsia" w:ascii="仿宋_GB2312" w:hAnsi="仿宋_GB2312" w:eastAsia="仿宋_GB2312" w:cs="仿宋_GB2312"/>
          <w:sz w:val="36"/>
          <w:szCs w:val="36"/>
          <w:lang w:val="en-US" w:eastAsia="zh-CN"/>
        </w:rPr>
        <w:t>24</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2</w:t>
      </w:r>
      <w:bookmarkStart w:id="0" w:name="_GoBack"/>
      <w:bookmarkEnd w:id="0"/>
      <w:r>
        <w:rPr>
          <w:rFonts w:hint="eastAsia" w:ascii="仿宋_GB2312" w:hAnsi="仿宋_GB2312" w:eastAsia="仿宋_GB2312" w:cs="仿宋_GB2312"/>
          <w:sz w:val="36"/>
          <w:szCs w:val="36"/>
        </w:rPr>
        <w:t>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方正小标宋简体" w:hAnsi="宋体" w:eastAsia="方正小标宋简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方正小标宋简体" w:hAnsi="宋体" w:eastAsia="方正小标宋简体"/>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auto"/>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auto"/>
          <w:spacing w:val="0"/>
          <w:kern w:val="0"/>
          <w:sz w:val="44"/>
          <w:szCs w:val="44"/>
          <w:shd w:val="clear" w:fill="FFFFFF"/>
          <w:lang w:val="en-US" w:eastAsia="zh-CN" w:bidi="ar"/>
        </w:rPr>
        <w:t>中共均口镇委员会  均口镇人民政府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auto"/>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auto"/>
          <w:spacing w:val="0"/>
          <w:kern w:val="0"/>
          <w:sz w:val="44"/>
          <w:szCs w:val="44"/>
          <w:shd w:val="clear" w:fill="FFFFFF"/>
          <w:lang w:val="en-US" w:eastAsia="zh-CN" w:bidi="ar"/>
        </w:rPr>
        <w:t>2023年法治政府建设情况的报告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color w:val="auto"/>
          <w:sz w:val="32"/>
          <w:szCs w:val="32"/>
          <w:lang w:eastAsia="zh-CN"/>
        </w:rPr>
        <w:t>中共建宁县委、</w:t>
      </w:r>
      <w:r>
        <w:rPr>
          <w:rFonts w:hint="eastAsia" w:ascii="仿宋_GB2312" w:hAnsi="仿宋_GB2312" w:eastAsia="仿宋_GB2312" w:cs="仿宋_GB2312"/>
          <w:color w:val="auto"/>
          <w:sz w:val="32"/>
          <w:szCs w:val="32"/>
          <w:lang w:val="en-US" w:eastAsia="zh-CN"/>
        </w:rPr>
        <w:t>建宁县人民政府</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shd w:val="clear" w:fill="FFFFFF"/>
        </w:rPr>
        <w:t>2023年，在县委、县政府的正确领导下，</w:t>
      </w:r>
      <w:r>
        <w:rPr>
          <w:rFonts w:hint="eastAsia" w:ascii="仿宋_GB2312" w:hAnsi="仿宋_GB2312" w:eastAsia="仿宋_GB2312" w:cs="仿宋_GB2312"/>
          <w:i w:val="0"/>
          <w:iCs w:val="0"/>
          <w:caps w:val="0"/>
          <w:spacing w:val="8"/>
          <w:sz w:val="32"/>
          <w:szCs w:val="32"/>
          <w:shd w:val="clear" w:fill="FFFFFF"/>
          <w:lang w:val="en-US" w:eastAsia="zh-CN"/>
        </w:rPr>
        <w:t>均口</w:t>
      </w:r>
      <w:r>
        <w:rPr>
          <w:rFonts w:hint="eastAsia" w:ascii="仿宋_GB2312" w:hAnsi="仿宋_GB2312" w:eastAsia="仿宋_GB2312" w:cs="仿宋_GB2312"/>
          <w:i w:val="0"/>
          <w:iCs w:val="0"/>
          <w:caps w:val="0"/>
          <w:spacing w:val="8"/>
          <w:sz w:val="32"/>
          <w:szCs w:val="32"/>
          <w:shd w:val="clear" w:fill="FFFFFF"/>
        </w:rPr>
        <w:t>镇始终坚持以习近平新时代中国特色社会主义思想为指导，全面贯彻落实党的二十大精神，深入学习贯彻习近平法治思想，深刻领悟“两个确立”的决定性意义，增强“四个意识”、坚定“四个自信”、做到“两个维护”，坚持依法履行法定职责，不断规范政府行政行为，积极推动社会治理工作，全镇法治政府建设工作扎实有序推进。现将我镇2023年度法治政府建设工作开展情况报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黑体" w:hAnsi="黑体" w:eastAsia="黑体" w:cs="黑体"/>
          <w:i w:val="0"/>
          <w:iCs w:val="0"/>
          <w:caps w:val="0"/>
          <w:spacing w:val="8"/>
          <w:sz w:val="32"/>
          <w:szCs w:val="32"/>
          <w:lang w:val="en-US" w:eastAsia="zh-CN"/>
        </w:rPr>
      </w:pPr>
      <w:r>
        <w:rPr>
          <w:rFonts w:hint="eastAsia" w:ascii="黑体" w:hAnsi="黑体" w:eastAsia="黑体" w:cs="黑体"/>
          <w:i w:val="0"/>
          <w:iCs w:val="0"/>
          <w:caps w:val="0"/>
          <w:spacing w:val="8"/>
          <w:sz w:val="32"/>
          <w:szCs w:val="32"/>
          <w:shd w:val="clear" w:fill="FFFFFF"/>
        </w:rPr>
        <w:t>一、</w:t>
      </w:r>
      <w:r>
        <w:rPr>
          <w:rFonts w:hint="eastAsia" w:ascii="黑体" w:hAnsi="黑体" w:eastAsia="黑体" w:cs="黑体"/>
          <w:i w:val="0"/>
          <w:iCs w:val="0"/>
          <w:caps w:val="0"/>
          <w:spacing w:val="8"/>
          <w:sz w:val="32"/>
          <w:szCs w:val="32"/>
          <w:shd w:val="clear" w:fill="FFFFFF"/>
          <w:lang w:val="en-US" w:eastAsia="zh-CN"/>
        </w:rPr>
        <w:t>主要举措和成效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spacing w:val="8"/>
          <w:sz w:val="32"/>
          <w:szCs w:val="32"/>
          <w:shd w:val="clear" w:fill="FFFFFF"/>
        </w:rPr>
      </w:pPr>
      <w:r>
        <w:rPr>
          <w:rFonts w:hint="eastAsia" w:ascii="楷体_GB2312" w:hAnsi="楷体_GB2312" w:eastAsia="楷体_GB2312" w:cs="楷体_GB2312"/>
          <w:b/>
          <w:bCs/>
          <w:i w:val="0"/>
          <w:iCs w:val="0"/>
          <w:caps w:val="0"/>
          <w:spacing w:val="8"/>
          <w:sz w:val="32"/>
          <w:szCs w:val="32"/>
          <w:shd w:val="clear" w:fill="FFFFFF"/>
          <w:lang w:val="en-US" w:eastAsia="zh-CN"/>
        </w:rPr>
        <w:t>（一）提高政治站位，强化组织领导。</w:t>
      </w:r>
      <w:r>
        <w:rPr>
          <w:rFonts w:hint="eastAsia" w:ascii="仿宋_GB2312" w:hAnsi="仿宋_GB2312" w:eastAsia="仿宋_GB2312" w:cs="仿宋_GB2312"/>
          <w:i w:val="0"/>
          <w:iCs w:val="0"/>
          <w:caps w:val="0"/>
          <w:spacing w:val="8"/>
          <w:sz w:val="32"/>
          <w:szCs w:val="32"/>
          <w:shd w:val="clear" w:fill="FFFFFF"/>
        </w:rPr>
        <w:t>党政主要负责人切实履行推进法治政府建设第一责任人职责，研究解决推进法治政府建设工作困难和问题，加强组织领导，将法治政府建设摆在工作全局的重要位置，不断加大工作推进力度</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把法治建设列入重要议事日程，调整充实法治政府建设领导机构，细化领导小组成员分工，明确责任，明确工作，做到法治建设工作与全局工作同安排、同布置。</w:t>
      </w:r>
      <w:r>
        <w:rPr>
          <w:rFonts w:hint="eastAsia" w:ascii="仿宋_GB2312" w:hAnsi="仿宋_GB2312" w:eastAsia="仿宋_GB2312" w:cs="仿宋_GB2312"/>
          <w:i w:val="0"/>
          <w:iCs w:val="0"/>
          <w:caps w:val="0"/>
          <w:spacing w:val="8"/>
          <w:sz w:val="32"/>
          <w:szCs w:val="32"/>
          <w:shd w:val="clear" w:fill="FFFFFF"/>
          <w:lang w:eastAsia="zh-CN"/>
        </w:rPr>
        <w:t>党政领导带头</w:t>
      </w:r>
      <w:r>
        <w:rPr>
          <w:rFonts w:hint="eastAsia" w:ascii="仿宋_GB2312" w:hAnsi="仿宋_GB2312" w:eastAsia="仿宋_GB2312" w:cs="仿宋_GB2312"/>
          <w:i w:val="0"/>
          <w:iCs w:val="0"/>
          <w:caps w:val="0"/>
          <w:spacing w:val="8"/>
          <w:sz w:val="32"/>
          <w:szCs w:val="32"/>
          <w:shd w:val="clear" w:fill="FFFFFF"/>
        </w:rPr>
        <w:t>自觉运用法治思维和法治方式开展工作，对法治建设重要工作亲自部署、重大问题亲自过问、重点环节亲自协调、重要任务亲自督办，确保各项工作有效运转，进一步建立健全了法治建设工作有专人调度、任务有落实、考核有专项指标量化的工作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spacing w:val="8"/>
          <w:sz w:val="32"/>
          <w:szCs w:val="32"/>
          <w:shd w:val="clear" w:fill="FFFFFF"/>
          <w:lang w:eastAsia="zh-CN"/>
        </w:rPr>
      </w:pPr>
      <w:r>
        <w:rPr>
          <w:rFonts w:hint="eastAsia" w:ascii="楷体_GB2312" w:hAnsi="楷体_GB2312" w:eastAsia="楷体_GB2312" w:cs="楷体_GB2312"/>
          <w:b/>
          <w:bCs/>
          <w:i w:val="0"/>
          <w:iCs w:val="0"/>
          <w:caps w:val="0"/>
          <w:spacing w:val="8"/>
          <w:sz w:val="32"/>
          <w:szCs w:val="32"/>
          <w:shd w:val="clear" w:fill="FFFFFF"/>
          <w:lang w:val="en-US" w:eastAsia="zh-CN"/>
        </w:rPr>
        <w:t>（二）坚持宣传教育，提升法治意识。</w:t>
      </w:r>
      <w:r>
        <w:rPr>
          <w:rFonts w:hint="eastAsia" w:ascii="仿宋_GB2312" w:hAnsi="仿宋_GB2312" w:eastAsia="仿宋_GB2312" w:cs="仿宋_GB2312"/>
          <w:b w:val="0"/>
          <w:bCs w:val="0"/>
          <w:i w:val="0"/>
          <w:iCs w:val="0"/>
          <w:caps w:val="0"/>
          <w:spacing w:val="8"/>
          <w:sz w:val="32"/>
          <w:szCs w:val="32"/>
          <w:shd w:val="clear" w:fill="FFFFFF"/>
          <w:lang w:val="en-US" w:eastAsia="zh-CN"/>
        </w:rPr>
        <w:t>将贯彻落实习近平总书记关于法治建设的重要指示精神作为首要任务，将习近平法治思想纳入</w:t>
      </w:r>
      <w:r>
        <w:rPr>
          <w:rFonts w:hint="eastAsia" w:ascii="仿宋_GB2312" w:hAnsi="仿宋_GB2312" w:eastAsia="仿宋_GB2312" w:cs="仿宋_GB2312"/>
          <w:i w:val="0"/>
          <w:iCs w:val="0"/>
          <w:caps w:val="0"/>
          <w:spacing w:val="8"/>
          <w:sz w:val="32"/>
          <w:szCs w:val="32"/>
          <w:shd w:val="clear" w:fill="FFFFFF"/>
        </w:rPr>
        <w:t>党委理论学习中心组</w:t>
      </w:r>
      <w:r>
        <w:rPr>
          <w:rFonts w:hint="eastAsia" w:ascii="仿宋_GB2312" w:hAnsi="仿宋_GB2312" w:eastAsia="仿宋_GB2312" w:cs="仿宋_GB2312"/>
          <w:b w:val="0"/>
          <w:bCs w:val="0"/>
          <w:i w:val="0"/>
          <w:iCs w:val="0"/>
          <w:caps w:val="0"/>
          <w:spacing w:val="8"/>
          <w:sz w:val="32"/>
          <w:szCs w:val="32"/>
          <w:shd w:val="clear" w:fill="FFFFFF"/>
          <w:lang w:val="en-US" w:eastAsia="zh-CN"/>
        </w:rPr>
        <w:t>年度学习计划，组织班子成员定期学习，纳入党员</w:t>
      </w:r>
      <w:r>
        <w:rPr>
          <w:rFonts w:hint="eastAsia" w:ascii="仿宋_GB2312" w:hAnsi="仿宋_GB2312" w:eastAsia="仿宋_GB2312" w:cs="仿宋_GB2312"/>
          <w:i w:val="0"/>
          <w:iCs w:val="0"/>
          <w:caps w:val="0"/>
          <w:spacing w:val="8"/>
          <w:sz w:val="32"/>
          <w:szCs w:val="32"/>
          <w:shd w:val="clear" w:fill="FFFFFF"/>
        </w:rPr>
        <w:t>干部政治理论学习计划，加强干部法治教育培训</w:t>
      </w:r>
      <w:r>
        <w:rPr>
          <w:rFonts w:hint="eastAsia" w:ascii="仿宋_GB2312" w:hAnsi="仿宋_GB2312" w:eastAsia="仿宋_GB2312" w:cs="仿宋_GB2312"/>
          <w:i w:val="0"/>
          <w:iCs w:val="0"/>
          <w:caps w:val="0"/>
          <w:spacing w:val="8"/>
          <w:sz w:val="32"/>
          <w:szCs w:val="32"/>
          <w:shd w:val="clear" w:fill="FFFFFF"/>
          <w:lang w:eastAsia="zh-CN"/>
        </w:rPr>
        <w:t>。同时，按照“八五”普法规划，不断创新普法宣传方式方法，动员“蒲公英”普法志愿者深入集镇、各村（社区），开展形式多样的“法治江源”“法守红线”“法护湿地”等普法活动，利用法治宣传月等活动为契机，</w:t>
      </w:r>
      <w:r>
        <w:rPr>
          <w:rFonts w:hint="eastAsia" w:ascii="仿宋_GB2312" w:hAnsi="仿宋_GB2312" w:eastAsia="仿宋_GB2312" w:cs="仿宋_GB2312"/>
          <w:i w:val="0"/>
          <w:iCs w:val="0"/>
          <w:caps w:val="0"/>
          <w:spacing w:val="8"/>
          <w:sz w:val="32"/>
          <w:szCs w:val="32"/>
          <w:shd w:val="clear" w:fill="FFFFFF"/>
        </w:rPr>
        <w:t>通过宣传栏、专题讲座、法律咨询、发放宣传资料等形式</w:t>
      </w:r>
      <w:r>
        <w:rPr>
          <w:rFonts w:hint="eastAsia" w:ascii="仿宋_GB2312" w:hAnsi="仿宋_GB2312" w:eastAsia="仿宋_GB2312" w:cs="仿宋_GB2312"/>
          <w:i w:val="0"/>
          <w:iCs w:val="0"/>
          <w:caps w:val="0"/>
          <w:spacing w:val="8"/>
          <w:sz w:val="32"/>
          <w:szCs w:val="32"/>
          <w:shd w:val="clear" w:fill="FFFFFF"/>
          <w:lang w:eastAsia="zh-CN"/>
        </w:rPr>
        <w:t>，深入宣传《宪法》《民法典》《国家安全法》等与群众日常生产生活密切相关的法律法规。累计</w:t>
      </w:r>
      <w:r>
        <w:rPr>
          <w:rFonts w:hint="eastAsia" w:ascii="仿宋_GB2312" w:hAnsi="仿宋_GB2312" w:eastAsia="仿宋_GB2312" w:cs="仿宋_GB2312"/>
          <w:i w:val="0"/>
          <w:iCs w:val="0"/>
          <w:caps w:val="0"/>
          <w:spacing w:val="8"/>
          <w:sz w:val="32"/>
          <w:szCs w:val="32"/>
          <w:shd w:val="clear" w:fill="FFFFFF"/>
        </w:rPr>
        <w:t>在重要时间节点开展各类普法宣传活动</w:t>
      </w:r>
      <w:r>
        <w:rPr>
          <w:rFonts w:hint="eastAsia" w:ascii="仿宋_GB2312" w:hAnsi="仿宋_GB2312" w:eastAsia="仿宋_GB2312" w:cs="仿宋_GB2312"/>
          <w:i w:val="0"/>
          <w:iCs w:val="0"/>
          <w:caps w:val="0"/>
          <w:spacing w:val="8"/>
          <w:sz w:val="32"/>
          <w:szCs w:val="32"/>
          <w:shd w:val="clear" w:fill="FFFFFF"/>
          <w:lang w:val="en-US" w:eastAsia="zh-CN"/>
        </w:rPr>
        <w:t>11</w:t>
      </w:r>
      <w:r>
        <w:rPr>
          <w:rFonts w:hint="eastAsia" w:ascii="仿宋_GB2312" w:hAnsi="仿宋_GB2312" w:eastAsia="仿宋_GB2312" w:cs="仿宋_GB2312"/>
          <w:i w:val="0"/>
          <w:iCs w:val="0"/>
          <w:caps w:val="0"/>
          <w:spacing w:val="8"/>
          <w:sz w:val="32"/>
          <w:szCs w:val="32"/>
          <w:shd w:val="clear" w:fill="FFFFFF"/>
        </w:rPr>
        <w:t>次，</w:t>
      </w:r>
      <w:r>
        <w:rPr>
          <w:rFonts w:hint="eastAsia" w:ascii="仿宋_GB2312" w:hAnsi="仿宋_GB2312" w:eastAsia="仿宋_GB2312" w:cs="仿宋_GB2312"/>
          <w:b w:val="0"/>
          <w:bCs w:val="0"/>
          <w:sz w:val="32"/>
          <w:szCs w:val="32"/>
          <w:lang w:val="en-US" w:eastAsia="zh-CN"/>
        </w:rPr>
        <w:t>张贴横幅、标语260余份，下村入户宣传2000余人次，发放宣传资料9000余份，开展集中宣传10场次，培养法律明白人112人，培育农村学法用法示范户9人。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spacing w:val="8"/>
          <w:sz w:val="32"/>
          <w:szCs w:val="32"/>
          <w:lang w:eastAsia="zh-CN"/>
        </w:rPr>
      </w:pPr>
      <w:r>
        <w:rPr>
          <w:rFonts w:hint="eastAsia" w:ascii="楷体_GB2312" w:hAnsi="楷体_GB2312" w:eastAsia="楷体_GB2312" w:cs="楷体_GB2312"/>
          <w:b/>
          <w:bCs/>
          <w:i w:val="0"/>
          <w:iCs w:val="0"/>
          <w:caps w:val="0"/>
          <w:spacing w:val="8"/>
          <w:sz w:val="32"/>
          <w:szCs w:val="32"/>
          <w:shd w:val="clear" w:fill="FFFFFF"/>
          <w:lang w:val="en-US" w:eastAsia="zh-CN"/>
        </w:rPr>
        <w:t>（三）</w:t>
      </w:r>
      <w:r>
        <w:rPr>
          <w:rFonts w:hint="eastAsia" w:ascii="楷体_GB2312" w:hAnsi="楷体_GB2312" w:eastAsia="楷体_GB2312" w:cs="楷体_GB2312"/>
          <w:b/>
          <w:bCs/>
          <w:i w:val="0"/>
          <w:iCs w:val="0"/>
          <w:caps w:val="0"/>
          <w:spacing w:val="8"/>
          <w:sz w:val="32"/>
          <w:szCs w:val="32"/>
          <w:shd w:val="clear" w:fill="FFFFFF"/>
        </w:rPr>
        <w:t>坚持依法行政，促进行政规范。</w:t>
      </w:r>
      <w:r>
        <w:rPr>
          <w:rFonts w:hint="eastAsia" w:ascii="仿宋_GB2312" w:hAnsi="仿宋_GB2312" w:eastAsia="仿宋_GB2312" w:cs="仿宋_GB2312"/>
          <w:b w:val="0"/>
          <w:bCs w:val="0"/>
          <w:i w:val="0"/>
          <w:iCs w:val="0"/>
          <w:caps w:val="0"/>
          <w:spacing w:val="8"/>
          <w:sz w:val="32"/>
          <w:szCs w:val="32"/>
          <w:shd w:val="clear" w:fill="FFFFFF"/>
        </w:rPr>
        <w:t>健全依法决策机制</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严格执行民主集中制，对涉及我镇工程项目、乡村振兴建设、防风险保稳定问题、干部选拔任用、重大资金使用等“三重一大”事项均严格按照相关党委会议制度，依法依程序集体决策，促进决策科学化、民主化。完善政府法律顾问制度</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严格落实聘请法律顾问，参与</w:t>
      </w:r>
      <w:r>
        <w:rPr>
          <w:rFonts w:hint="eastAsia" w:ascii="仿宋_GB2312" w:hAnsi="仿宋_GB2312" w:eastAsia="仿宋_GB2312" w:cs="仿宋_GB2312"/>
          <w:i w:val="0"/>
          <w:iCs w:val="0"/>
          <w:caps w:val="0"/>
          <w:spacing w:val="8"/>
          <w:sz w:val="32"/>
          <w:szCs w:val="32"/>
          <w:shd w:val="clear" w:fill="FFFFFF"/>
          <w:lang w:eastAsia="zh-CN"/>
        </w:rPr>
        <w:t>集镇</w:t>
      </w:r>
      <w:r>
        <w:rPr>
          <w:rFonts w:hint="eastAsia" w:ascii="仿宋_GB2312" w:hAnsi="仿宋_GB2312" w:eastAsia="仿宋_GB2312" w:cs="仿宋_GB2312"/>
          <w:i w:val="0"/>
          <w:iCs w:val="0"/>
          <w:caps w:val="0"/>
          <w:spacing w:val="8"/>
          <w:sz w:val="32"/>
          <w:szCs w:val="32"/>
          <w:shd w:val="clear" w:fill="FFFFFF"/>
        </w:rPr>
        <w:t>重点涉法领域，累计解答法律建议咨询5次，推动基层依法治</w:t>
      </w:r>
      <w:r>
        <w:rPr>
          <w:rFonts w:hint="eastAsia" w:ascii="仿宋_GB2312" w:hAnsi="仿宋_GB2312" w:eastAsia="仿宋_GB2312" w:cs="仿宋_GB2312"/>
          <w:i w:val="0"/>
          <w:iCs w:val="0"/>
          <w:caps w:val="0"/>
          <w:spacing w:val="8"/>
          <w:sz w:val="32"/>
          <w:szCs w:val="32"/>
          <w:shd w:val="clear" w:fill="FFFFFF"/>
          <w:lang w:eastAsia="zh-CN"/>
        </w:rPr>
        <w:t>理</w:t>
      </w:r>
      <w:r>
        <w:rPr>
          <w:rFonts w:hint="eastAsia" w:ascii="仿宋_GB2312" w:hAnsi="仿宋_GB2312" w:eastAsia="仿宋_GB2312" w:cs="仿宋_GB2312"/>
          <w:i w:val="0"/>
          <w:iCs w:val="0"/>
          <w:caps w:val="0"/>
          <w:spacing w:val="8"/>
          <w:sz w:val="32"/>
          <w:szCs w:val="32"/>
          <w:shd w:val="clear" w:fill="FFFFFF"/>
        </w:rPr>
        <w:t>。进一步优化镇便民服务中心建设，同时规范村</w:t>
      </w:r>
      <w:r>
        <w:rPr>
          <w:rFonts w:hint="eastAsia" w:ascii="仿宋_GB2312" w:hAnsi="仿宋_GB2312" w:eastAsia="仿宋_GB2312" w:cs="仿宋_GB2312"/>
          <w:i w:val="0"/>
          <w:iCs w:val="0"/>
          <w:caps w:val="0"/>
          <w:spacing w:val="8"/>
          <w:sz w:val="32"/>
          <w:szCs w:val="32"/>
          <w:shd w:val="clear" w:fill="FFFFFF"/>
          <w:lang w:eastAsia="zh-CN"/>
        </w:rPr>
        <w:t>（社区）党群</w:t>
      </w:r>
      <w:r>
        <w:rPr>
          <w:rFonts w:hint="eastAsia" w:ascii="仿宋_GB2312" w:hAnsi="仿宋_GB2312" w:eastAsia="仿宋_GB2312" w:cs="仿宋_GB2312"/>
          <w:i w:val="0"/>
          <w:iCs w:val="0"/>
          <w:caps w:val="0"/>
          <w:spacing w:val="8"/>
          <w:sz w:val="32"/>
          <w:szCs w:val="32"/>
          <w:shd w:val="clear" w:fill="FFFFFF"/>
        </w:rPr>
        <w:t>服务点建设</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统一设置服务中心名称标识和窗口标志牌、办理事项和人员去向公示牌，制作制度上墙，进一步明确了岗位职责，为群众提供“一站式”便民服务</w:t>
      </w:r>
      <w:r>
        <w:rPr>
          <w:rFonts w:hint="eastAsia" w:ascii="仿宋_GB2312" w:hAnsi="仿宋_GB2312" w:eastAsia="仿宋_GB2312" w:cs="仿宋_GB2312"/>
          <w:i w:val="0"/>
          <w:iCs w:val="0"/>
          <w:caps w:val="0"/>
          <w:spacing w:val="8"/>
          <w:sz w:val="32"/>
          <w:szCs w:val="32"/>
          <w:shd w:val="clear" w:fill="FFFFFF"/>
          <w:lang w:eastAsia="zh-CN"/>
        </w:rPr>
        <w:t>，优化政务服务环境。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spacing w:val="8"/>
          <w:sz w:val="32"/>
          <w:szCs w:val="32"/>
          <w:shd w:val="clear" w:fill="FFFFFF"/>
          <w:lang w:eastAsia="zh-CN"/>
        </w:rPr>
      </w:pPr>
      <w:r>
        <w:rPr>
          <w:rFonts w:hint="eastAsia" w:ascii="楷体_GB2312" w:hAnsi="楷体_GB2312" w:eastAsia="楷体_GB2312" w:cs="楷体_GB2312"/>
          <w:b/>
          <w:bCs/>
          <w:i w:val="0"/>
          <w:iCs w:val="0"/>
          <w:caps w:val="0"/>
          <w:spacing w:val="8"/>
          <w:sz w:val="32"/>
          <w:szCs w:val="32"/>
          <w:shd w:val="clear" w:fill="FFFFFF"/>
          <w:lang w:val="en-US" w:eastAsia="zh-CN"/>
        </w:rPr>
        <w:t>（四）</w:t>
      </w:r>
      <w:r>
        <w:rPr>
          <w:rFonts w:hint="eastAsia" w:ascii="楷体_GB2312" w:hAnsi="楷体_GB2312" w:eastAsia="楷体_GB2312" w:cs="楷体_GB2312"/>
          <w:b/>
          <w:bCs/>
          <w:i w:val="0"/>
          <w:iCs w:val="0"/>
          <w:caps w:val="0"/>
          <w:spacing w:val="8"/>
          <w:sz w:val="32"/>
          <w:szCs w:val="32"/>
          <w:shd w:val="clear" w:fill="FFFFFF"/>
          <w:lang w:eastAsia="zh-CN"/>
        </w:rPr>
        <w:t>加强矛盾化解</w:t>
      </w:r>
      <w:r>
        <w:rPr>
          <w:rFonts w:hint="eastAsia" w:ascii="楷体_GB2312" w:hAnsi="楷体_GB2312" w:eastAsia="楷体_GB2312" w:cs="楷体_GB2312"/>
          <w:b/>
          <w:bCs/>
          <w:i w:val="0"/>
          <w:iCs w:val="0"/>
          <w:caps w:val="0"/>
          <w:spacing w:val="8"/>
          <w:sz w:val="32"/>
          <w:szCs w:val="32"/>
          <w:shd w:val="clear" w:fill="FFFFFF"/>
        </w:rPr>
        <w:t>，</w:t>
      </w:r>
      <w:r>
        <w:rPr>
          <w:rFonts w:hint="eastAsia" w:ascii="楷体_GB2312" w:hAnsi="楷体_GB2312" w:eastAsia="楷体_GB2312" w:cs="楷体_GB2312"/>
          <w:b/>
          <w:bCs/>
          <w:i w:val="0"/>
          <w:iCs w:val="0"/>
          <w:caps w:val="0"/>
          <w:spacing w:val="8"/>
          <w:sz w:val="32"/>
          <w:szCs w:val="32"/>
          <w:shd w:val="clear" w:fill="FFFFFF"/>
          <w:lang w:eastAsia="zh-CN"/>
        </w:rPr>
        <w:t>维护社会稳定</w:t>
      </w:r>
      <w:r>
        <w:rPr>
          <w:rFonts w:hint="eastAsia" w:ascii="楷体_GB2312" w:hAnsi="楷体_GB2312" w:eastAsia="楷体_GB2312" w:cs="楷体_GB2312"/>
          <w:b/>
          <w:bCs/>
          <w:i w:val="0"/>
          <w:iCs w:val="0"/>
          <w:caps w:val="0"/>
          <w:spacing w:val="8"/>
          <w:sz w:val="32"/>
          <w:szCs w:val="32"/>
          <w:shd w:val="clear" w:fill="FFFFFF"/>
        </w:rPr>
        <w:t>。</w:t>
      </w:r>
      <w:r>
        <w:rPr>
          <w:rFonts w:hint="eastAsia" w:ascii="仿宋_GB2312" w:hAnsi="仿宋_GB2312" w:eastAsia="仿宋_GB2312" w:cs="仿宋_GB2312"/>
          <w:i w:val="0"/>
          <w:iCs w:val="0"/>
          <w:caps w:val="0"/>
          <w:spacing w:val="8"/>
          <w:sz w:val="32"/>
          <w:szCs w:val="32"/>
          <w:shd w:val="clear" w:fill="FFFFFF"/>
        </w:rPr>
        <w:t>严格落实社会治安综合治理各项制度，镇主要领导作为平安建设第一责任人，建立综治责任人档案作为年终考评的重要依据</w:t>
      </w:r>
      <w:r>
        <w:rPr>
          <w:rFonts w:hint="eastAsia" w:ascii="仿宋_GB2312" w:hAnsi="仿宋_GB2312" w:eastAsia="仿宋_GB2312" w:cs="仿宋_GB2312"/>
          <w:i w:val="0"/>
          <w:iCs w:val="0"/>
          <w:caps w:val="0"/>
          <w:spacing w:val="8"/>
          <w:sz w:val="32"/>
          <w:szCs w:val="32"/>
          <w:shd w:val="clear" w:fill="FFFFFF"/>
          <w:lang w:eastAsia="zh-CN"/>
        </w:rPr>
        <w:t>，与13个村1个社区签订综治目标管理责任书，把责任切实压实到主要负责人肩上；按照综治中心“两厅四室”的建设要求，整合现有办公资源，投资近10万元，对镇综治中心进行扩建升级，打造基层治理“主阵地”；持续抓好“明心通”平台建设工作，共组建企业微信群137个，添加门牌地址4000余个，进一步推进基层社会治理现代化。</w:t>
      </w:r>
      <w:r>
        <w:rPr>
          <w:rFonts w:hint="eastAsia" w:ascii="仿宋_GB2312" w:hAnsi="仿宋_GB2312" w:eastAsia="仿宋_GB2312" w:cs="仿宋_GB2312"/>
          <w:i w:val="0"/>
          <w:iCs w:val="0"/>
          <w:caps w:val="0"/>
          <w:spacing w:val="8"/>
          <w:sz w:val="32"/>
          <w:szCs w:val="32"/>
          <w:shd w:val="clear" w:fill="FFFFFF"/>
          <w:lang w:val="en-US" w:eastAsia="zh-CN"/>
        </w:rPr>
        <w:t>2023年累计</w:t>
      </w:r>
      <w:r>
        <w:rPr>
          <w:rFonts w:hint="eastAsia" w:ascii="仿宋_GB2312" w:hAnsi="仿宋_GB2312" w:eastAsia="仿宋_GB2312" w:cs="仿宋_GB2312"/>
          <w:i w:val="0"/>
          <w:iCs w:val="0"/>
          <w:caps w:val="0"/>
          <w:spacing w:val="8"/>
          <w:sz w:val="32"/>
          <w:szCs w:val="32"/>
          <w:shd w:val="clear" w:fill="FFFFFF"/>
          <w:lang w:eastAsia="zh-CN"/>
        </w:rPr>
        <w:t>排查调处矛盾纠纷</w:t>
      </w:r>
      <w:r>
        <w:rPr>
          <w:rFonts w:hint="eastAsia" w:ascii="仿宋_GB2312" w:hAnsi="仿宋_GB2312" w:eastAsia="仿宋_GB2312" w:cs="仿宋_GB2312"/>
          <w:i w:val="0"/>
          <w:iCs w:val="0"/>
          <w:caps w:val="0"/>
          <w:spacing w:val="8"/>
          <w:sz w:val="32"/>
          <w:szCs w:val="32"/>
          <w:shd w:val="clear" w:fill="FFFFFF"/>
          <w:lang w:val="en-US" w:eastAsia="zh-CN"/>
        </w:rPr>
        <w:t>180</w:t>
      </w:r>
      <w:r>
        <w:rPr>
          <w:rFonts w:hint="eastAsia" w:ascii="仿宋_GB2312" w:hAnsi="仿宋_GB2312" w:eastAsia="仿宋_GB2312" w:cs="仿宋_GB2312"/>
          <w:i w:val="0"/>
          <w:iCs w:val="0"/>
          <w:caps w:val="0"/>
          <w:spacing w:val="8"/>
          <w:sz w:val="32"/>
          <w:szCs w:val="32"/>
          <w:shd w:val="clear" w:fill="FFFFFF"/>
          <w:lang w:eastAsia="zh-CN"/>
        </w:rPr>
        <w:t>余起，</w:t>
      </w:r>
      <w:r>
        <w:rPr>
          <w:rFonts w:hint="eastAsia" w:ascii="仿宋_GB2312" w:hAnsi="宋体" w:eastAsia="仿宋_GB2312" w:cs="宋体"/>
          <w:kern w:val="0"/>
          <w:sz w:val="32"/>
          <w:szCs w:val="32"/>
        </w:rPr>
        <w:t>接待信访案件</w:t>
      </w:r>
      <w:r>
        <w:rPr>
          <w:rFonts w:hint="eastAsia" w:ascii="仿宋_GB2312" w:hAnsi="宋体" w:eastAsia="仿宋_GB2312" w:cs="宋体"/>
          <w:kern w:val="0"/>
          <w:sz w:val="32"/>
          <w:szCs w:val="32"/>
          <w:lang w:val="en-US" w:eastAsia="zh-CN"/>
        </w:rPr>
        <w:t>270余</w:t>
      </w:r>
      <w:r>
        <w:rPr>
          <w:rFonts w:hint="eastAsia" w:ascii="仿宋_GB2312" w:hAnsi="宋体" w:eastAsia="仿宋_GB2312" w:cs="宋体"/>
          <w:kern w:val="0"/>
          <w:sz w:val="32"/>
          <w:szCs w:val="32"/>
        </w:rPr>
        <w:t>件</w:t>
      </w:r>
      <w:r>
        <w:rPr>
          <w:rFonts w:hint="eastAsia" w:ascii="仿宋_GB2312" w:hAnsi="仿宋_GB2312" w:eastAsia="仿宋_GB2312" w:cs="仿宋_GB2312"/>
          <w:i w:val="0"/>
          <w:iCs w:val="0"/>
          <w:caps w:val="0"/>
          <w:spacing w:val="8"/>
          <w:sz w:val="32"/>
          <w:szCs w:val="32"/>
          <w:shd w:val="clear" w:fill="FFFFFF"/>
          <w:lang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二、</w:t>
      </w:r>
      <w:r>
        <w:rPr>
          <w:rFonts w:hint="eastAsia" w:ascii="国标黑体" w:hAnsi="国标黑体" w:eastAsia="国标黑体" w:cs="国标黑体"/>
          <w:color w:val="auto"/>
          <w:sz w:val="32"/>
          <w:szCs w:val="32"/>
          <w:lang w:val="en-US" w:eastAsia="zh-CN"/>
        </w:rPr>
        <w:t>存在的不足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rPr>
        <w:t>2023年以来，我镇法治政府建设工作取得了明显成效，但与上级要</w:t>
      </w:r>
      <w:r>
        <w:rPr>
          <w:rFonts w:hint="eastAsia" w:ascii="仿宋_GB2312" w:hAnsi="仿宋_GB2312" w:eastAsia="仿宋_GB2312" w:cs="仿宋_GB2312"/>
          <w:b w:val="0"/>
          <w:bCs w:val="0"/>
          <w:i w:val="0"/>
          <w:iCs w:val="0"/>
          <w:caps w:val="0"/>
          <w:spacing w:val="8"/>
          <w:sz w:val="32"/>
          <w:szCs w:val="32"/>
          <w:shd w:val="clear" w:fill="FFFFFF"/>
        </w:rPr>
        <w:t>求和人民群众的期盼，还有一定差距</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lang w:val="en-US" w:eastAsia="zh-CN"/>
        </w:rPr>
        <w:t>主要体现在：</w:t>
      </w:r>
      <w:r>
        <w:rPr>
          <w:rFonts w:hint="eastAsia" w:ascii="仿宋_GB2312" w:hAnsi="仿宋_GB2312" w:eastAsia="仿宋_GB2312" w:cs="仿宋_GB2312"/>
          <w:b/>
          <w:bCs/>
          <w:i w:val="0"/>
          <w:iCs w:val="0"/>
          <w:caps w:val="0"/>
          <w:spacing w:val="8"/>
          <w:sz w:val="32"/>
          <w:szCs w:val="32"/>
          <w:shd w:val="clear" w:fill="FFFFFF"/>
          <w:lang w:val="en-US" w:eastAsia="zh-CN"/>
        </w:rPr>
        <w:t>一是</w:t>
      </w:r>
      <w:r>
        <w:rPr>
          <w:rFonts w:hint="eastAsia" w:ascii="仿宋_GB2312" w:hAnsi="仿宋_GB2312" w:eastAsia="仿宋_GB2312" w:cs="仿宋_GB2312"/>
          <w:b w:val="0"/>
          <w:bCs w:val="0"/>
          <w:i w:val="0"/>
          <w:iCs w:val="0"/>
          <w:caps w:val="0"/>
          <w:spacing w:val="8"/>
          <w:sz w:val="32"/>
          <w:szCs w:val="32"/>
          <w:shd w:val="clear" w:fill="FFFFFF"/>
          <w:lang w:val="en-US" w:eastAsia="zh-CN"/>
        </w:rPr>
        <w:t>镇有关所站、各村（社区）法治政府建设工作发展水平不平衡，存在一定差距。</w:t>
      </w:r>
      <w:r>
        <w:rPr>
          <w:rFonts w:hint="eastAsia" w:ascii="仿宋_GB2312" w:hAnsi="仿宋_GB2312" w:eastAsia="仿宋_GB2312" w:cs="仿宋_GB2312"/>
          <w:b/>
          <w:bCs/>
          <w:i w:val="0"/>
          <w:iCs w:val="0"/>
          <w:caps w:val="0"/>
          <w:spacing w:val="8"/>
          <w:sz w:val="32"/>
          <w:szCs w:val="32"/>
          <w:shd w:val="clear" w:fill="FFFFFF"/>
        </w:rPr>
        <w:t>二是</w:t>
      </w:r>
      <w:r>
        <w:rPr>
          <w:rFonts w:hint="eastAsia" w:ascii="仿宋_GB2312" w:hAnsi="仿宋_GB2312" w:eastAsia="仿宋_GB2312" w:cs="仿宋_GB2312"/>
          <w:b w:val="0"/>
          <w:bCs w:val="0"/>
          <w:i w:val="0"/>
          <w:iCs w:val="0"/>
          <w:caps w:val="0"/>
          <w:spacing w:val="8"/>
          <w:sz w:val="32"/>
          <w:szCs w:val="32"/>
          <w:shd w:val="clear" w:fill="FFFFFF"/>
        </w:rPr>
        <w:t>部分干部对相关法律法规学习不深，理论联系实际的深度和广度也不够</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bCs/>
          <w:i w:val="0"/>
          <w:iCs w:val="0"/>
          <w:caps w:val="0"/>
          <w:spacing w:val="0"/>
          <w:sz w:val="32"/>
          <w:szCs w:val="32"/>
          <w:shd w:val="clear" w:fill="FFFFFF"/>
          <w:lang w:val="en-US" w:eastAsia="zh-CN"/>
        </w:rPr>
        <w:t>三</w:t>
      </w:r>
      <w:r>
        <w:rPr>
          <w:rFonts w:hint="eastAsia" w:ascii="仿宋_GB2312" w:hAnsi="仿宋_GB2312" w:eastAsia="仿宋_GB2312" w:cs="仿宋_GB2312"/>
          <w:b/>
          <w:bCs/>
          <w:i w:val="0"/>
          <w:iCs w:val="0"/>
          <w:caps w:val="0"/>
          <w:spacing w:val="0"/>
          <w:sz w:val="32"/>
          <w:szCs w:val="32"/>
          <w:shd w:val="clear" w:fill="FFFFFF"/>
        </w:rPr>
        <w:t>是</w:t>
      </w:r>
      <w:r>
        <w:rPr>
          <w:rFonts w:hint="eastAsia" w:ascii="仿宋_GB2312" w:hAnsi="仿宋_GB2312" w:eastAsia="仿宋_GB2312" w:cs="仿宋_GB2312"/>
          <w:b w:val="0"/>
          <w:bCs w:val="0"/>
          <w:i w:val="0"/>
          <w:iCs w:val="0"/>
          <w:caps w:val="0"/>
          <w:spacing w:val="0"/>
          <w:sz w:val="32"/>
          <w:szCs w:val="32"/>
          <w:shd w:val="clear" w:fill="FFFFFF"/>
        </w:rPr>
        <w:t>法治建设工作创新力度还不够</w:t>
      </w:r>
      <w:r>
        <w:rPr>
          <w:rFonts w:hint="eastAsia" w:ascii="仿宋_GB2312" w:hAnsi="仿宋_GB2312" w:eastAsia="仿宋_GB2312" w:cs="仿宋_GB2312"/>
          <w:b w:val="0"/>
          <w:bCs w:val="0"/>
          <w:i w:val="0"/>
          <w:iCs w:val="0"/>
          <w:caps w:val="0"/>
          <w:spacing w:val="0"/>
          <w:sz w:val="32"/>
          <w:szCs w:val="32"/>
          <w:shd w:val="clear" w:fill="FFFFFF"/>
          <w:lang w:eastAsia="zh-CN"/>
        </w:rPr>
        <w:t>，</w:t>
      </w:r>
      <w:r>
        <w:rPr>
          <w:rFonts w:hint="eastAsia" w:ascii="仿宋_GB2312" w:hAnsi="仿宋_GB2312" w:eastAsia="仿宋_GB2312" w:cs="仿宋_GB2312"/>
          <w:b w:val="0"/>
          <w:bCs w:val="0"/>
          <w:i w:val="0"/>
          <w:iCs w:val="0"/>
          <w:caps w:val="0"/>
          <w:spacing w:val="0"/>
          <w:sz w:val="32"/>
          <w:szCs w:val="32"/>
          <w:shd w:val="clear" w:fill="FFFFFF"/>
        </w:rPr>
        <w:t>打造的创新亮点还不多</w:t>
      </w:r>
      <w:r>
        <w:rPr>
          <w:rFonts w:hint="eastAsia" w:ascii="仿宋_GB2312" w:hAnsi="仿宋_GB2312" w:eastAsia="仿宋_GB2312" w:cs="仿宋_GB2312"/>
          <w:b w:val="0"/>
          <w:bCs w:val="0"/>
          <w:i w:val="0"/>
          <w:iCs w:val="0"/>
          <w:caps w:val="0"/>
          <w:spacing w:val="8"/>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三、</w:t>
      </w:r>
      <w:r>
        <w:rPr>
          <w:rFonts w:hint="eastAsia" w:ascii="国标黑体" w:hAnsi="国标黑体" w:eastAsia="国标黑体" w:cs="国标黑体"/>
          <w:color w:val="auto"/>
          <w:sz w:val="32"/>
          <w:szCs w:val="32"/>
          <w:lang w:val="en-US" w:eastAsia="zh-CN"/>
        </w:rPr>
        <w:t>2024年度主要工作安排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_GB2312" w:hAnsi="仿宋_GB2312" w:eastAsia="仿宋_GB2312" w:cs="仿宋_GB2312"/>
          <w:i w:val="0"/>
          <w:iCs w:val="0"/>
          <w:caps w:val="0"/>
          <w:spacing w:val="8"/>
          <w:sz w:val="32"/>
          <w:szCs w:val="32"/>
          <w:shd w:val="clear" w:fill="FFFFFF"/>
          <w:lang w:eastAsia="zh-CN"/>
        </w:rPr>
      </w:pPr>
      <w:r>
        <w:rPr>
          <w:rFonts w:hint="eastAsia" w:ascii="楷体_GB2312" w:hAnsi="楷体_GB2312" w:eastAsia="楷体_GB2312" w:cs="楷体_GB2312"/>
          <w:b/>
          <w:bCs/>
          <w:i w:val="0"/>
          <w:iCs w:val="0"/>
          <w:caps w:val="0"/>
          <w:spacing w:val="8"/>
          <w:sz w:val="32"/>
          <w:szCs w:val="32"/>
          <w:shd w:val="clear" w:fill="FFFFFF"/>
        </w:rPr>
        <w:t>一是深化制度保障。</w:t>
      </w:r>
      <w:r>
        <w:rPr>
          <w:rFonts w:hint="eastAsia" w:ascii="仿宋_GB2312" w:hAnsi="仿宋_GB2312" w:eastAsia="仿宋_GB2312" w:cs="仿宋_GB2312"/>
          <w:i w:val="0"/>
          <w:iCs w:val="0"/>
          <w:caps w:val="0"/>
          <w:spacing w:val="8"/>
          <w:sz w:val="32"/>
          <w:szCs w:val="32"/>
          <w:shd w:val="clear" w:fill="FFFFFF"/>
        </w:rPr>
        <w:t>进一步健全党建引领法治建设工作机制，持续探索法治建设助力解决经济服务、民生发展中痛点难点问题，深化协同治理实践</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建立并坚持领导干部及</w:t>
      </w:r>
      <w:r>
        <w:rPr>
          <w:rFonts w:hint="eastAsia" w:ascii="仿宋_GB2312" w:hAnsi="仿宋_GB2312" w:eastAsia="仿宋_GB2312" w:cs="仿宋_GB2312"/>
          <w:i w:val="0"/>
          <w:iCs w:val="0"/>
          <w:caps w:val="0"/>
          <w:spacing w:val="8"/>
          <w:sz w:val="32"/>
          <w:szCs w:val="32"/>
          <w:shd w:val="clear" w:fill="FFFFFF"/>
          <w:lang w:eastAsia="zh-CN"/>
        </w:rPr>
        <w:t>镇村干部</w:t>
      </w:r>
      <w:r>
        <w:rPr>
          <w:rFonts w:hint="eastAsia" w:ascii="仿宋_GB2312" w:hAnsi="仿宋_GB2312" w:eastAsia="仿宋_GB2312" w:cs="仿宋_GB2312"/>
          <w:i w:val="0"/>
          <w:iCs w:val="0"/>
          <w:caps w:val="0"/>
          <w:spacing w:val="8"/>
          <w:sz w:val="32"/>
          <w:szCs w:val="32"/>
          <w:shd w:val="clear" w:fill="FFFFFF"/>
        </w:rPr>
        <w:t>学法制度，定期</w:t>
      </w:r>
      <w:r>
        <w:rPr>
          <w:rFonts w:hint="eastAsia" w:ascii="仿宋_GB2312" w:hAnsi="仿宋_GB2312" w:eastAsia="仿宋_GB2312" w:cs="仿宋_GB2312"/>
          <w:i w:val="0"/>
          <w:iCs w:val="0"/>
          <w:caps w:val="0"/>
          <w:spacing w:val="8"/>
          <w:sz w:val="32"/>
          <w:szCs w:val="32"/>
          <w:shd w:val="clear" w:fill="FFFFFF"/>
          <w:lang w:eastAsia="zh-CN"/>
        </w:rPr>
        <w:t>开展法律业务培训</w:t>
      </w:r>
      <w:r>
        <w:rPr>
          <w:rFonts w:hint="eastAsia" w:ascii="仿宋_GB2312" w:hAnsi="仿宋_GB2312" w:eastAsia="仿宋_GB2312" w:cs="仿宋_GB2312"/>
          <w:i w:val="0"/>
          <w:iCs w:val="0"/>
          <w:caps w:val="0"/>
          <w:spacing w:val="8"/>
          <w:sz w:val="32"/>
          <w:szCs w:val="32"/>
          <w:shd w:val="clear" w:fill="FFFFFF"/>
        </w:rPr>
        <w:t>，增强</w:t>
      </w:r>
      <w:r>
        <w:rPr>
          <w:rFonts w:hint="eastAsia" w:ascii="仿宋_GB2312" w:hAnsi="仿宋_GB2312" w:eastAsia="仿宋_GB2312" w:cs="仿宋_GB2312"/>
          <w:i w:val="0"/>
          <w:iCs w:val="0"/>
          <w:caps w:val="0"/>
          <w:spacing w:val="8"/>
          <w:sz w:val="32"/>
          <w:szCs w:val="32"/>
          <w:shd w:val="clear" w:fill="FFFFFF"/>
          <w:lang w:eastAsia="zh-CN"/>
        </w:rPr>
        <w:t>领导</w:t>
      </w:r>
      <w:r>
        <w:rPr>
          <w:rFonts w:hint="eastAsia" w:ascii="仿宋_GB2312" w:hAnsi="仿宋_GB2312" w:eastAsia="仿宋_GB2312" w:cs="仿宋_GB2312"/>
          <w:i w:val="0"/>
          <w:iCs w:val="0"/>
          <w:caps w:val="0"/>
          <w:spacing w:val="8"/>
          <w:sz w:val="32"/>
          <w:szCs w:val="32"/>
          <w:shd w:val="clear" w:fill="FFFFFF"/>
        </w:rPr>
        <w:t>干部依法行政的能力，树立良好的法治政府形象</w:t>
      </w:r>
      <w:r>
        <w:rPr>
          <w:rFonts w:hint="eastAsia" w:ascii="仿宋_GB2312" w:hAnsi="仿宋_GB2312" w:eastAsia="仿宋_GB2312" w:cs="仿宋_GB2312"/>
          <w:i w:val="0"/>
          <w:iCs w:val="0"/>
          <w:caps w:val="0"/>
          <w:spacing w:val="8"/>
          <w:sz w:val="32"/>
          <w:szCs w:val="32"/>
          <w:shd w:val="clear" w:fill="FFFFFF"/>
          <w:lang w:eastAsia="zh-CN"/>
        </w:rPr>
        <w:t>；完善政府内部监督，强化重点领域监督，全面推进政务公开，推进政府的廉洁廉政建设。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楷体_GB2312" w:hAnsi="楷体_GB2312" w:eastAsia="楷体_GB2312" w:cs="楷体_GB2312"/>
          <w:b/>
          <w:bCs/>
          <w:i w:val="0"/>
          <w:iCs w:val="0"/>
          <w:caps w:val="0"/>
          <w:spacing w:val="8"/>
          <w:sz w:val="32"/>
          <w:szCs w:val="32"/>
          <w:shd w:val="clear" w:fill="FFFFFF"/>
        </w:rPr>
        <w:t>二是注重源头化解。</w:t>
      </w:r>
      <w:r>
        <w:rPr>
          <w:rFonts w:hint="eastAsia" w:ascii="仿宋_GB2312" w:hAnsi="仿宋_GB2312" w:eastAsia="仿宋_GB2312" w:cs="仿宋_GB2312"/>
          <w:i w:val="0"/>
          <w:iCs w:val="0"/>
          <w:caps w:val="0"/>
          <w:spacing w:val="8"/>
          <w:sz w:val="32"/>
          <w:szCs w:val="32"/>
          <w:shd w:val="clear" w:fill="FFFFFF"/>
        </w:rPr>
        <w:t>坚持发展新时代“枫桥经验”，深化网格化管理，进一步完善动态预警、访调对接、多元化解等机制，围绕征地拆迁、劳资纠纷、环境污染等重点领域，深入开展社会矛盾纠纷排查化解，确保矛盾纠纷及时发现、及时处置，维护社会和谐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楷体_GB2312" w:hAnsi="楷体_GB2312" w:eastAsia="楷体_GB2312" w:cs="楷体_GB2312"/>
          <w:b/>
          <w:bCs/>
          <w:i w:val="0"/>
          <w:iCs w:val="0"/>
          <w:caps w:val="0"/>
          <w:spacing w:val="8"/>
          <w:sz w:val="32"/>
          <w:szCs w:val="32"/>
          <w:shd w:val="clear" w:fill="FFFFFF"/>
        </w:rPr>
        <w:t>三是推进“一体建设”。</w:t>
      </w:r>
      <w:r>
        <w:rPr>
          <w:rFonts w:hint="eastAsia" w:ascii="仿宋_GB2312" w:hAnsi="仿宋_GB2312" w:eastAsia="仿宋_GB2312" w:cs="仿宋_GB2312"/>
          <w:i w:val="0"/>
          <w:iCs w:val="0"/>
          <w:caps w:val="0"/>
          <w:spacing w:val="8"/>
          <w:sz w:val="32"/>
          <w:szCs w:val="32"/>
          <w:shd w:val="clear" w:fill="FFFFFF"/>
        </w:rPr>
        <w:t>强化法治</w:t>
      </w:r>
      <w:r>
        <w:rPr>
          <w:rFonts w:hint="eastAsia" w:ascii="仿宋_GB2312" w:hAnsi="仿宋_GB2312" w:eastAsia="仿宋_GB2312" w:cs="仿宋_GB2312"/>
          <w:i w:val="0"/>
          <w:iCs w:val="0"/>
          <w:caps w:val="0"/>
          <w:spacing w:val="8"/>
          <w:sz w:val="32"/>
          <w:szCs w:val="32"/>
          <w:shd w:val="clear" w:fill="FFFFFF"/>
          <w:lang w:val="en-US" w:eastAsia="zh-CN"/>
        </w:rPr>
        <w:t>均口</w:t>
      </w:r>
      <w:r>
        <w:rPr>
          <w:rFonts w:hint="eastAsia" w:ascii="仿宋_GB2312" w:hAnsi="仿宋_GB2312" w:eastAsia="仿宋_GB2312" w:cs="仿宋_GB2312"/>
          <w:i w:val="0"/>
          <w:iCs w:val="0"/>
          <w:caps w:val="0"/>
          <w:spacing w:val="8"/>
          <w:sz w:val="32"/>
          <w:szCs w:val="32"/>
          <w:shd w:val="clear" w:fill="FFFFFF"/>
        </w:rPr>
        <w:t>、法治政府、法治社会一体建设，深入开展“法护人生、法进家庭、法润村居”实践活动，广泛延伸法治文化触角，让法治文化惠及更多的群众，努力在全社会营造良好的法治环境。</w:t>
      </w:r>
    </w:p>
    <w:p>
      <w:pPr>
        <w:spacing w:line="560" w:lineRule="exact"/>
        <w:jc w:val="right"/>
        <w:rPr>
          <w:rFonts w:hint="eastAsia" w:ascii="仿宋_GB2312" w:eastAsia="仿宋_GB2312"/>
          <w:b w:val="0"/>
          <w:color w:val="auto"/>
          <w:sz w:val="32"/>
          <w:szCs w:val="32"/>
          <w:lang w:val="en-US" w:eastAsia="zh-CN"/>
        </w:rPr>
      </w:pPr>
      <w:r>
        <w:rPr>
          <w:rFonts w:hint="eastAsia" w:ascii="仿宋_GB2312" w:eastAsia="仿宋_GB2312"/>
          <w:b w:val="0"/>
          <w:color w:val="auto"/>
          <w:sz w:val="32"/>
          <w:szCs w:val="32"/>
          <w:lang w:val="en-US" w:eastAsia="zh-CN"/>
        </w:rPr>
        <w:t xml:space="preserve"> </w:t>
      </w:r>
    </w:p>
    <w:p>
      <w:pPr>
        <w:spacing w:line="560" w:lineRule="exact"/>
        <w:jc w:val="right"/>
        <w:rPr>
          <w:rFonts w:hint="eastAsia" w:ascii="仿宋_GB2312" w:eastAsia="仿宋_GB2312"/>
          <w:b w:val="0"/>
          <w:color w:val="auto"/>
          <w:sz w:val="32"/>
          <w:szCs w:val="32"/>
        </w:rPr>
      </w:pPr>
      <w:r>
        <w:rPr>
          <w:rFonts w:hint="eastAsia" w:ascii="仿宋_GB2312" w:eastAsia="仿宋_GB2312"/>
          <w:b w:val="0"/>
          <w:color w:val="auto"/>
          <w:sz w:val="32"/>
          <w:szCs w:val="32"/>
        </w:rPr>
        <w:t>中共均口镇委员会</w:t>
      </w:r>
    </w:p>
    <w:p>
      <w:pPr>
        <w:spacing w:line="560" w:lineRule="exact"/>
        <w:ind w:firstLine="5124" w:firstLineChars="1400"/>
        <w:jc w:val="right"/>
        <w:rPr>
          <w:rFonts w:hint="eastAsia" w:ascii="仿宋_GB2312" w:eastAsia="仿宋_GB2312"/>
          <w:b w:val="0"/>
          <w:color w:val="auto"/>
          <w:spacing w:val="23"/>
          <w:sz w:val="32"/>
          <w:szCs w:val="32"/>
        </w:rPr>
      </w:pPr>
      <w:r>
        <w:rPr>
          <w:rFonts w:hint="eastAsia" w:ascii="仿宋_GB2312" w:eastAsia="仿宋_GB2312"/>
          <w:b w:val="0"/>
          <w:color w:val="auto"/>
          <w:spacing w:val="23"/>
          <w:sz w:val="32"/>
          <w:szCs w:val="32"/>
        </w:rPr>
        <w:t>均口镇人民政府</w:t>
      </w:r>
    </w:p>
    <w:p>
      <w:pPr>
        <w:spacing w:line="560" w:lineRule="exact"/>
        <w:ind w:firstLine="5440" w:firstLineChars="1700"/>
        <w:jc w:val="right"/>
        <w:rPr>
          <w:rFonts w:hint="eastAsia" w:ascii="仿宋_GB2312" w:eastAsia="仿宋_GB2312"/>
          <w:b w:val="0"/>
          <w:color w:val="auto"/>
          <w:sz w:val="32"/>
          <w:szCs w:val="32"/>
        </w:rPr>
      </w:pPr>
      <w:r>
        <w:rPr>
          <w:rFonts w:hint="eastAsia" w:ascii="仿宋_GB2312" w:eastAsia="仿宋_GB2312"/>
          <w:b w:val="0"/>
          <w:color w:val="auto"/>
          <w:sz w:val="32"/>
          <w:szCs w:val="32"/>
        </w:rPr>
        <w:t>202</w:t>
      </w:r>
      <w:r>
        <w:rPr>
          <w:rFonts w:hint="eastAsia" w:ascii="仿宋_GB2312" w:eastAsia="仿宋_GB2312"/>
          <w:b w:val="0"/>
          <w:color w:val="auto"/>
          <w:sz w:val="32"/>
          <w:szCs w:val="32"/>
          <w:lang w:val="en-US" w:eastAsia="zh-CN"/>
        </w:rPr>
        <w:t>4</w:t>
      </w:r>
      <w:r>
        <w:rPr>
          <w:rFonts w:hint="eastAsia" w:ascii="仿宋_GB2312" w:eastAsia="仿宋_GB2312"/>
          <w:b w:val="0"/>
          <w:color w:val="auto"/>
          <w:sz w:val="32"/>
          <w:szCs w:val="32"/>
        </w:rPr>
        <w:t>年</w:t>
      </w:r>
      <w:r>
        <w:rPr>
          <w:rFonts w:hint="eastAsia" w:ascii="仿宋_GB2312" w:eastAsia="仿宋_GB2312"/>
          <w:b w:val="0"/>
          <w:color w:val="auto"/>
          <w:sz w:val="32"/>
          <w:szCs w:val="32"/>
          <w:lang w:val="en-US" w:eastAsia="zh-CN"/>
        </w:rPr>
        <w:t>1</w:t>
      </w:r>
      <w:r>
        <w:rPr>
          <w:rFonts w:hint="eastAsia" w:ascii="仿宋_GB2312" w:eastAsia="仿宋_GB2312"/>
          <w:b w:val="0"/>
          <w:color w:val="auto"/>
          <w:sz w:val="32"/>
          <w:szCs w:val="32"/>
        </w:rPr>
        <w:t>月</w:t>
      </w:r>
      <w:r>
        <w:rPr>
          <w:rFonts w:hint="eastAsia" w:ascii="仿宋_GB2312" w:eastAsia="仿宋_GB2312"/>
          <w:b w:val="0"/>
          <w:color w:val="auto"/>
          <w:sz w:val="32"/>
          <w:szCs w:val="32"/>
          <w:lang w:val="en-US" w:eastAsia="zh-CN"/>
        </w:rPr>
        <w:t>12</w:t>
      </w:r>
      <w:r>
        <w:rPr>
          <w:rFonts w:hint="eastAsia" w:ascii="仿宋_GB2312" w:eastAsia="仿宋_GB2312"/>
          <w:b w:val="0"/>
          <w:color w:val="auto"/>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5360BE-050F-41E2-8A0E-2CB1FD91CE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F4915C3-DF86-41E5-82AA-E6CF7E92FCA3}"/>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6C0BF72E-FC93-48EE-8447-A2FBC82DABBF}"/>
  </w:font>
  <w:font w:name="楷体_GB2312">
    <w:panose1 w:val="02010609030101010101"/>
    <w:charset w:val="86"/>
    <w:family w:val="auto"/>
    <w:pitch w:val="default"/>
    <w:sig w:usb0="00000001" w:usb1="080E0000" w:usb2="00000000" w:usb3="00000000" w:csb0="00040000" w:csb1="00000000"/>
    <w:embedRegular r:id="rId4" w:fontKey="{6D020E65-26DC-42C8-9C07-05BFB6D44AD9}"/>
  </w:font>
  <w:font w:name="国标黑体">
    <w:altName w:val="黑体"/>
    <w:panose1 w:val="02000500000000000000"/>
    <w:charset w:val="86"/>
    <w:family w:val="auto"/>
    <w:pitch w:val="default"/>
    <w:sig w:usb0="00000000" w:usb1="00000000" w:usb2="00000000" w:usb3="00000000" w:csb0="00040000" w:csb1="00000000"/>
    <w:embedRegular r:id="rId5" w:fontKey="{5BE60EE9-3074-4CAA-BF3F-2D2E4FA360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ZjJhYjdmNGJmOGY2ZjU5N2I2MTYxNTM4Y2I4ODYifQ=="/>
  </w:docVars>
  <w:rsids>
    <w:rsidRoot w:val="112D1DB8"/>
    <w:rsid w:val="003344D9"/>
    <w:rsid w:val="112D1DB8"/>
    <w:rsid w:val="135D6FC9"/>
    <w:rsid w:val="1448508D"/>
    <w:rsid w:val="2B685109"/>
    <w:rsid w:val="3D6F147E"/>
    <w:rsid w:val="476619E8"/>
    <w:rsid w:val="53852A35"/>
    <w:rsid w:val="58CD149A"/>
    <w:rsid w:val="591F4C9E"/>
    <w:rsid w:val="6A2C48AC"/>
    <w:rsid w:val="74734E98"/>
    <w:rsid w:val="74AF01E4"/>
    <w:rsid w:val="74C257D4"/>
    <w:rsid w:val="76A92DDB"/>
    <w:rsid w:val="77DE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80" w:lineRule="exact"/>
      <w:ind w:firstLine="640" w:firstLineChars="200"/>
    </w:pPr>
    <w:rPr>
      <w:rFonts w:ascii="仿宋_GB2312"/>
      <w:szCs w:val="31"/>
    </w:rPr>
  </w:style>
  <w:style w:type="paragraph" w:styleId="3">
    <w:name w:val="Balloon Text"/>
    <w:basedOn w:val="1"/>
    <w:next w:val="1"/>
    <w:autoRedefine/>
    <w:semiHidden/>
    <w:qFormat/>
    <w:uiPriority w:val="0"/>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2024-01-18T07:20:00Z</dcterms:created>
  <dc:creator>Ykzx</dc:creator>
  <cp:lastModifiedBy>Administrator</cp:lastModifiedBy>
  <dcterms:modified xsi:type="dcterms:W3CDTF">2024-02-19T09:19:49Z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8E1CCB3866F6441CB66AA8556ECAD9FE_13</vt:lpwstr>
  </property>
</Properties>
</file>