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建宁县居家和社区基本养老服务提升</w:t>
      </w:r>
    </w:p>
    <w:p>
      <w:pPr>
        <w:adjustRightInd w:val="0"/>
        <w:snapToGrid w:val="0"/>
        <w:spacing w:line="60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行动项目实施方案</w:t>
      </w:r>
    </w:p>
    <w:p>
      <w:pPr>
        <w:adjustRightInd w:val="0"/>
        <w:snapToGrid w:val="0"/>
        <w:spacing w:line="560" w:lineRule="exact"/>
        <w:jc w:val="center"/>
        <w:rPr>
          <w:rFonts w:ascii="楷体_GB2312" w:hAnsi="楷体_GB2312" w:eastAsia="楷体_GB2312" w:cs="楷体_GB2312"/>
          <w:bCs/>
          <w:color w:val="000000" w:themeColor="text1"/>
          <w:szCs w:val="32"/>
        </w:rPr>
      </w:pPr>
      <w:r>
        <w:rPr>
          <w:rFonts w:hint="eastAsia" w:ascii="楷体_GB2312" w:hAnsi="楷体_GB2312" w:eastAsia="楷体_GB2312" w:cs="楷体_GB2312"/>
          <w:bCs/>
          <w:color w:val="000000" w:themeColor="text1"/>
          <w:szCs w:val="32"/>
        </w:rPr>
        <w:t>（</w:t>
      </w:r>
      <w:r>
        <w:rPr>
          <w:rFonts w:hint="eastAsia" w:ascii="楷体_GB2312" w:hAnsi="楷体_GB2312" w:eastAsia="楷体_GB2312" w:cs="楷体_GB2312"/>
          <w:bCs/>
          <w:color w:val="000000" w:themeColor="text1"/>
          <w:szCs w:val="32"/>
          <w:lang w:val="en-US" w:eastAsia="zh-CN"/>
        </w:rPr>
        <w:t>征求意见搞</w:t>
      </w:r>
      <w:r>
        <w:rPr>
          <w:rFonts w:hint="eastAsia" w:ascii="楷体_GB2312" w:hAnsi="楷体_GB2312" w:eastAsia="楷体_GB2312" w:cs="楷体_GB2312"/>
          <w:bCs/>
          <w:color w:val="000000" w:themeColor="text1"/>
          <w:szCs w:val="32"/>
        </w:rPr>
        <w:t>）</w:t>
      </w:r>
    </w:p>
    <w:p>
      <w:pPr>
        <w:pStyle w:val="2"/>
        <w:spacing w:after="0" w:line="580" w:lineRule="exact"/>
        <w:ind w:left="419" w:leftChars="131" w:firstLine="419" w:firstLineChars="131"/>
        <w:rPr>
          <w:color w:val="000000" w:themeColor="text1"/>
        </w:rPr>
      </w:pPr>
    </w:p>
    <w:p>
      <w:pPr>
        <w:adjustRightInd w:val="0"/>
        <w:snapToGri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为深入贯彻落实积极应对人口老龄化国家战略，实施居家和社区基本养老服务提升行动，</w:t>
      </w:r>
      <w:r>
        <w:rPr>
          <w:rFonts w:hint="eastAsia" w:ascii="宋体" w:hAnsi="宋体" w:eastAsia="仿宋_GB2312"/>
          <w:color w:val="000000" w:themeColor="text1"/>
          <w:szCs w:val="32"/>
        </w:rPr>
        <w:t>健全居家社区机构相协调、医养康养相结合的养老服务体系，根据《</w:t>
      </w:r>
      <w:bookmarkStart w:id="1" w:name="_GoBack"/>
      <w:bookmarkEnd w:id="1"/>
      <w:r>
        <w:rPr>
          <w:rFonts w:hint="eastAsia" w:ascii="宋体" w:hAnsi="宋体" w:eastAsia="仿宋_GB2312"/>
          <w:color w:val="000000" w:themeColor="text1"/>
          <w:szCs w:val="32"/>
        </w:rPr>
        <w:t>财政部 民政部关于下达2022年中央专项</w:t>
      </w:r>
      <w:r>
        <w:rPr>
          <w:rFonts w:hint="eastAsia" w:ascii="仿宋_GB2312" w:hAnsi="仿宋_GB2312" w:eastAsia="仿宋_GB2312" w:cs="仿宋_GB2312"/>
          <w:color w:val="000000" w:themeColor="text1"/>
          <w:szCs w:val="32"/>
        </w:rPr>
        <w:t>彩票公益金支持居家和社区基本养老服务提升行动项目资金预算的通知》（财社〔2022〕78号）、《民政部办公厅 财政部办公厅关于做好2022年居家和社区基本养老服务提升行动项目组织实施工作的通知》（民办函〔2022〕60号）、《三明市民政局 三明市财政局关于印发三明市居家和社区基本养老服务提升行动项目实施方案的通知》（明民〔2022〕85号）精神，结合我县养老服务工作实际，制定本方案。</w:t>
      </w:r>
    </w:p>
    <w:p>
      <w:pPr>
        <w:adjustRightInd w:val="0"/>
        <w:snapToGri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一、工作目标</w:t>
      </w:r>
    </w:p>
    <w:p>
      <w:pPr>
        <w:adjustRightInd w:val="0"/>
        <w:snapToGri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为建宁县60周岁及以上经济困难的失能、部分失能老年人建设家庭养老床位、提供居家养老上门服务，委托专业化养老承接机构或养老企业运营管理，完善居家养老上门服务指导性清单，发展老年人急需的包括但不限于出行、清洁、起居、卧床、饮食等生活照料以及基础照护、健康管理、康复辅助、心理支持、委托代办等服务，实现政府为特殊困难老年人购买居家养老上门服务全覆盖，建成项目区“一刻钟”居家养老服务圈。到2023年6月底前，我县建设家庭养老床位85张、为符合条件的老年人上门服务次数达到170人次以上（附件1）。到2026年，引导更多的优质专业资源投入居家和社区基本养老服务，形成可复制可推广的居家社区养老服务模式，建立健全居家社区养老服务高质量发展制度机制。</w:t>
      </w:r>
    </w:p>
    <w:p>
      <w:pPr>
        <w:adjustRightInd w:val="0"/>
        <w:spacing w:line="580" w:lineRule="exact"/>
        <w:ind w:firstLine="640" w:firstLineChars="200"/>
        <w:rPr>
          <w:rFonts w:ascii="宋体" w:hAnsi="宋体" w:eastAsia="楷体_GB2312" w:cs="楷体_GB2312"/>
          <w:b/>
          <w:bCs/>
          <w:color w:val="000000" w:themeColor="text1"/>
          <w:szCs w:val="32"/>
        </w:rPr>
      </w:pPr>
      <w:r>
        <w:rPr>
          <w:rFonts w:hint="eastAsia" w:ascii="宋体" w:hAnsi="宋体" w:eastAsia="黑体" w:cs="黑体"/>
          <w:color w:val="000000" w:themeColor="text1"/>
          <w:szCs w:val="32"/>
        </w:rPr>
        <w:t>二、服务对象</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一）具备本县户籍且在本县长期居住的60周岁及以上，有较为稳定的家庭照料者（如亲属或其他照料人）、有类似养老机构照护需求的经济困难的失能、部分失能老年人。其中，经济困难老年人是指收入在本市统计部门公布的年度经济和社会发展统计公报中人均可支配收入低收入人组、中间偏下组内的老年人。失能、部分失能老年人是指依据国家医保局、民政部制定的《长期护理失能等级评估标准（试行）》评定为轻度失能、中度失能、重度失能的老年人。</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hAnsi="仿宋_GB2312" w:eastAsia="仿宋_GB2312" w:cs="仿宋_GB2312"/>
          <w:szCs w:val="32"/>
        </w:rPr>
        <w:t>为节约成本，方便机构上门提供服务，促进工作顺利开展</w:t>
      </w:r>
      <w:r>
        <w:rPr>
          <w:rFonts w:hint="eastAsia" w:ascii="仿宋_GB2312" w:hAnsi="仿宋_GB2312" w:eastAsia="仿宋_GB2312" w:cs="仿宋_GB2312"/>
          <w:color w:val="000000" w:themeColor="text1"/>
          <w:szCs w:val="32"/>
        </w:rPr>
        <w:t>，项目执行第一年选定濉溪镇、溪口镇作为试点乡镇，之后逐年推广。</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（二）老年人有固定的家庭住所，且具备一定的居家照料条件，自愿接受必要的家庭适老化、智能化改造，使其居家环境符合提供上门护理服务条件。</w:t>
      </w:r>
    </w:p>
    <w:p>
      <w:pPr>
        <w:adjustRightIn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三、服务内容</w:t>
      </w:r>
    </w:p>
    <w:p>
      <w:pPr>
        <w:adjustRightInd w:val="0"/>
        <w:spacing w:line="580" w:lineRule="exact"/>
        <w:ind w:firstLine="640" w:firstLineChars="200"/>
        <w:rPr>
          <w:rFonts w:ascii="宋体" w:hAnsi="宋体" w:eastAsia="仿宋_GB2312"/>
          <w:color w:val="000000" w:themeColor="text1"/>
          <w:szCs w:val="32"/>
        </w:rPr>
      </w:pPr>
      <w:r>
        <w:rPr>
          <w:rFonts w:hint="eastAsia" w:ascii="楷体_GB2312" w:hAnsi="宋体" w:eastAsia="楷体_GB2312"/>
          <w:color w:val="000000" w:themeColor="text1"/>
          <w:szCs w:val="32"/>
        </w:rPr>
        <w:t>（一）建设家庭养老床位。</w:t>
      </w:r>
      <w:r>
        <w:rPr>
          <w:rFonts w:hint="eastAsia" w:ascii="宋体" w:hAnsi="宋体" w:eastAsia="仿宋_GB2312"/>
          <w:color w:val="000000" w:themeColor="text1"/>
          <w:szCs w:val="32"/>
        </w:rPr>
        <w:t>在对老年人进行综合能力评估基础上，综合考虑其身体健康状况、居家环境条件等因素，对适宜设置家庭养老床位的老年人，以满足其安全便利生活条件、及时响应紧急异常情况为基本要求，对其居家环境关键区域或部位进行适老化、智能化改造，安装网络连接、紧急呼叫、活动监测等智能化设备，并视情配备助行、助餐、助穿、如厕、助浴、感知类老年用品，实现老年人家庭与养老服务信息平台有效连接。承接机构对安装的设施设备提供不少于18个月的质保期并负责维保。家庭养老床位按《建宁县家庭养老床位建床指导清单》（附件2）中必选项配置，综合考虑老年人实际照护需求等因素，结合本地实际选择可选项配置，超出建床补贴标准部分由老年人自费。</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楷体_GB2312" w:hAnsi="仿宋_GB2312" w:eastAsia="楷体_GB2312" w:cs="仿宋_GB2312"/>
          <w:color w:val="000000" w:themeColor="text1"/>
          <w:szCs w:val="32"/>
        </w:rPr>
        <w:t>（二）提供居家养老上门服务。</w:t>
      </w:r>
      <w:r>
        <w:rPr>
          <w:rFonts w:hint="eastAsia" w:ascii="仿宋_GB2312" w:hAnsi="仿宋_GB2312" w:eastAsia="仿宋_GB2312" w:cs="仿宋_GB2312"/>
          <w:color w:val="000000" w:themeColor="text1"/>
          <w:szCs w:val="32"/>
        </w:rPr>
        <w:t>根据老年人综合能力评估情况，为有相关需求但未建立家庭养老床位的老年人提供居家养老上门服务，服务内容包括但不限于出行、清洁、起居、卧床、饮食等生活照护以及基础照护、健康管理、康复辅助、心理支持、委托代办等服务。承接机构可根据老年人家庭照护需求，参照《建宁县政府购买居家养老上门服务指导目录》（附件3）、《建宁县居家养老上门服务指导清单》（附件4），采取“一户一策”定制个性化服务包，结合实际提供相应时长和次数的居家养老上门服务。提供医疗康复服务的应该严格按照医疗卫生有关标准及规范开展。</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项目提供居家养老上门服务的1人次是指项目执行时间内须为同一位服务对象提供每月不少于2次、全年累计30次以上居家养老上门服务。</w:t>
      </w:r>
    </w:p>
    <w:p>
      <w:pPr>
        <w:adjustRightIn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四、实施步骤</w:t>
      </w:r>
    </w:p>
    <w:p>
      <w:pPr>
        <w:adjustRightIn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（一）机构招标。</w:t>
      </w:r>
      <w:r>
        <w:rPr>
          <w:rFonts w:hint="eastAsia" w:ascii="仿宋_GB2312" w:hAnsi="仿宋_GB2312" w:eastAsia="仿宋_GB2312" w:cs="仿宋_GB2312"/>
          <w:color w:val="000000" w:themeColor="text1"/>
          <w:szCs w:val="32"/>
        </w:rPr>
        <w:t>县民政局按照政府采购规定确定具备资质条件的承接机构，并及时向社会公布承接机构名单及基本情况介绍。承接机构需满足相关要求（附件5），其中，对于家庭养老床位涉及的养老服务，应由依据《养老机构等级划分与评定》或《福建省养老机构等级评定管理办法》取得相应等级的养老机构或依法设立、实行连锁化品牌运营的社区养老服务机构提供。</w:t>
      </w:r>
    </w:p>
    <w:p>
      <w:pPr>
        <w:adjustRightInd w:val="0"/>
        <w:spacing w:line="580" w:lineRule="exact"/>
        <w:ind w:firstLine="643" w:firstLineChars="200"/>
        <w:rPr>
          <w:rFonts w:ascii="宋体" w:hAnsi="宋体" w:eastAsia="仿宋_GB2312"/>
          <w:color w:val="000000" w:themeColor="text1"/>
          <w:szCs w:val="32"/>
        </w:rPr>
      </w:pPr>
      <w:r>
        <w:rPr>
          <w:rFonts w:hint="eastAsia" w:ascii="宋体" w:hAnsi="宋体" w:eastAsia="楷体_GB2312" w:cs="楷体_GB2312"/>
          <w:b/>
          <w:bCs/>
          <w:color w:val="000000" w:themeColor="text1"/>
          <w:szCs w:val="32"/>
        </w:rPr>
        <w:t>（二）服务申请。</w:t>
      </w:r>
      <w:r>
        <w:rPr>
          <w:rFonts w:hint="eastAsia" w:ascii="宋体" w:hAnsi="宋体" w:eastAsia="仿宋_GB2312"/>
          <w:color w:val="000000" w:themeColor="text1"/>
          <w:szCs w:val="32"/>
        </w:rPr>
        <w:t>指导符合条件且有居家照护服务需要的老年人或其代理人填写《</w:t>
      </w:r>
      <w:r>
        <w:rPr>
          <w:rFonts w:ascii="宋体" w:hAnsi="宋体" w:eastAsia="仿宋_GB2312"/>
          <w:color w:val="000000" w:themeColor="text1"/>
          <w:szCs w:val="32"/>
        </w:rPr>
        <w:t>建宁县家庭养老床位建床申请审批表》（附件</w:t>
      </w:r>
      <w:r>
        <w:rPr>
          <w:rFonts w:hint="eastAsia" w:ascii="宋体" w:hAnsi="宋体" w:eastAsia="仿宋_GB2312"/>
          <w:color w:val="000000" w:themeColor="text1"/>
          <w:szCs w:val="32"/>
        </w:rPr>
        <w:t>6</w:t>
      </w:r>
      <w:r>
        <w:rPr>
          <w:rFonts w:ascii="宋体" w:hAnsi="宋体" w:eastAsia="仿宋_GB2312"/>
          <w:color w:val="000000" w:themeColor="text1"/>
          <w:szCs w:val="32"/>
        </w:rPr>
        <w:t>）、《</w:t>
      </w:r>
      <w:r>
        <w:rPr>
          <w:rFonts w:hint="eastAsia" w:ascii="宋体" w:hAnsi="宋体" w:eastAsia="仿宋_GB2312"/>
          <w:color w:val="000000" w:themeColor="text1"/>
          <w:szCs w:val="32"/>
        </w:rPr>
        <w:t>建宁县政府购买居家养老上门服务补贴申请审批表》（附件7），同步提交符合享受服务补贴的承诺书，向当地村（社区）居民委员会提出家庭养老床位或上门服务申请，经乡（镇）人民政府审核、确认，报县民政局审批。因数量有限，该方案启动实施两个月内，符合条件的对象按申请先后顺序享受，名额申请完为止。老年人经济状况证明由其所在村（居）提供。</w:t>
      </w:r>
    </w:p>
    <w:p>
      <w:pPr>
        <w:adjustRightIn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（三）能力评估。</w:t>
      </w:r>
      <w:r>
        <w:rPr>
          <w:rFonts w:hint="eastAsia" w:ascii="仿宋_GB2312" w:hAnsi="仿宋_GB2312" w:eastAsia="仿宋_GB2312" w:cs="仿宋_GB2312"/>
          <w:color w:val="000000" w:themeColor="text1"/>
          <w:szCs w:val="32"/>
        </w:rPr>
        <w:t>承接机构根据老年人申请需求，对老年人能力进行初评，初评为失能或部分失能状态的，由承接机构委托专业第三方评估机构根据相关标准评估。同时采信医疗机构等出具的医学诊断报告、残疾人证等。承接机构根据老年人经济状况和能力评估情况，向县民政局申请家庭养老床位建设或居家上门服务补贴资格，由县民政局审核确定。</w:t>
      </w:r>
    </w:p>
    <w:p>
      <w:pPr>
        <w:adjustRightIn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（四）服务协议。</w:t>
      </w:r>
      <w:r>
        <w:rPr>
          <w:rFonts w:hint="eastAsia" w:ascii="仿宋_GB2312" w:hAnsi="仿宋_GB2312" w:eastAsia="仿宋_GB2312" w:cs="仿宋_GB2312"/>
          <w:color w:val="000000" w:themeColor="text1"/>
          <w:szCs w:val="32"/>
        </w:rPr>
        <w:t>承接机构根据老年人能力评估情况和家庭照护情况，经与老年人及其家属协商确认后，为老年人制定符合其需求的服务方案，并签订《建宁县家庭养老床位建床协议》（附件8）或《建宁县居家养老上门服务协议》（附件9）。协议约定家庭养老床位建设内容、服务项目、服务时间、服务频次、服务收费、权利义务、风险责任分担机制、争议纠纷解决途径等内容，明确各方责任、权利、义务。</w:t>
      </w:r>
    </w:p>
    <w:p>
      <w:pPr>
        <w:adjustRightIn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（五）服务提供。</w:t>
      </w:r>
      <w:r>
        <w:rPr>
          <w:rFonts w:hint="eastAsia" w:ascii="仿宋_GB2312" w:hAnsi="仿宋_GB2312" w:eastAsia="仿宋_GB2312" w:cs="仿宋_GB2312"/>
          <w:color w:val="000000" w:themeColor="text1"/>
          <w:szCs w:val="32"/>
        </w:rPr>
        <w:t>承接机构根据已签订的《建宁县家庭养老床位建床协议》内容，对服务对象家居进行相应的智能化、适老（残）化改造，实现其家庭与承接机构信息化管理系统互联互通；此前已进行适老化改造并具备相应功能的不重复改造，只进行智能化改造并视情配备老年用品，避免资金重复使用和浪费。已建设家庭养老床位的，此后不再纳入特殊困难老年人家庭适老化改造范围。验收合格后，根据验收材料向县民政局申请建床补贴。</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承接机构根据已签订的《建宁县居家养老上门服务协议》内容，为服务对象提供信息化、照料护理、医疗康复、精神慰藉、文化娱乐等上门居家养老服务。按照每月不低于2次，每月费用合计不超过300元的补贴标准提供居家养老上门服务。承接机构根据服务协议，每月向县民政局提交服务清单，经审核无误后结算各项服务补贴。</w:t>
      </w:r>
    </w:p>
    <w:p>
      <w:pPr>
        <w:adjustRightIn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（六）服务终止。</w:t>
      </w:r>
      <w:r>
        <w:rPr>
          <w:rFonts w:hint="eastAsia" w:ascii="仿宋_GB2312" w:hAnsi="仿宋_GB2312" w:eastAsia="仿宋_GB2312" w:cs="仿宋_GB2312"/>
          <w:color w:val="000000" w:themeColor="text1"/>
          <w:szCs w:val="32"/>
        </w:rPr>
        <w:t>服务对象发生以下任意一种情况时，服务终止：1.签约服务对象死亡；2.签约服务对象变更的居住地超出县域；3.签约承接机构被依法依规责令停业整顿或关停；4.经老年人能力评估复评，服务对象身体状况不再符合确定的服务对象范围的；5.其他导致服务终止的情形。</w:t>
      </w:r>
    </w:p>
    <w:p>
      <w:pPr>
        <w:adjustRightInd w:val="0"/>
        <w:snapToGri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五、进度安排</w:t>
      </w:r>
    </w:p>
    <w:p>
      <w:pPr>
        <w:pStyle w:val="2"/>
        <w:spacing w:after="0" w:line="580" w:lineRule="exact"/>
        <w:ind w:left="0" w:leftChars="0" w:firstLine="643"/>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（一）前期准备：</w:t>
      </w:r>
      <w:r>
        <w:rPr>
          <w:rFonts w:hint="eastAsia" w:ascii="仿宋_GB2312" w:hAnsi="仿宋_GB2312" w:eastAsia="仿宋_GB2312" w:cs="仿宋_GB2312"/>
          <w:color w:val="000000" w:themeColor="text1"/>
          <w:szCs w:val="32"/>
        </w:rPr>
        <w:t>2022年10月-2022年12月</w:t>
      </w:r>
    </w:p>
    <w:p>
      <w:pPr>
        <w:pStyle w:val="2"/>
        <w:spacing w:after="0" w:line="580" w:lineRule="exact"/>
        <w:ind w:left="0" w:leftChars="0" w:firstLine="64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1.实施方案确认：11月30日前实施方案定稿过会。</w:t>
      </w:r>
    </w:p>
    <w:p>
      <w:pPr>
        <w:pStyle w:val="2"/>
        <w:spacing w:after="0" w:line="580" w:lineRule="exact"/>
        <w:ind w:left="0" w:leftChars="0" w:firstLine="64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2.服务对象摸排：11月30日前同步完成服务对象摸排，至少300人。</w:t>
      </w:r>
    </w:p>
    <w:p>
      <w:pPr>
        <w:pStyle w:val="2"/>
        <w:spacing w:after="0" w:line="580" w:lineRule="exact"/>
        <w:ind w:left="0" w:leftChars="0" w:firstLine="64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3.启动项目招标:12月中下旬启动项目招标工作，确定承接机构。</w:t>
      </w:r>
    </w:p>
    <w:p>
      <w:pPr>
        <w:pStyle w:val="2"/>
        <w:spacing w:after="0" w:line="580" w:lineRule="exact"/>
        <w:ind w:left="0" w:leftChars="0" w:firstLine="643"/>
        <w:rPr>
          <w:bCs/>
          <w:color w:val="000000" w:themeColor="text1"/>
          <w:szCs w:val="32"/>
        </w:rPr>
      </w:pPr>
      <w:r>
        <w:rPr>
          <w:rFonts w:hint="eastAsia" w:ascii="宋体" w:hAnsi="宋体" w:eastAsia="楷体_GB2312" w:cs="楷体_GB2312"/>
          <w:b/>
          <w:bCs/>
          <w:color w:val="000000" w:themeColor="text1"/>
          <w:szCs w:val="32"/>
        </w:rPr>
        <w:t>（二）项目推进：</w:t>
      </w:r>
      <w:r>
        <w:rPr>
          <w:rFonts w:hint="eastAsia" w:ascii="楷体_GB2312" w:hAnsi="楷体_GB2312" w:eastAsia="楷体_GB2312" w:cs="楷体_GB2312"/>
          <w:bCs/>
          <w:color w:val="000000" w:themeColor="text1"/>
          <w:szCs w:val="32"/>
        </w:rPr>
        <w:t>2022年12月-2023年11月</w:t>
      </w:r>
    </w:p>
    <w:p>
      <w:pPr>
        <w:pStyle w:val="2"/>
        <w:spacing w:after="0" w:line="580" w:lineRule="exact"/>
        <w:ind w:left="0" w:leftChars="0" w:firstLine="64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承接机构按照工作方案，有序开展家庭养老床位建设工作和居家养老上门服务，并做好服务对象工作台账信息录入工作。县民政局负责做好床位验收和服务满意度评价工作。</w:t>
      </w:r>
    </w:p>
    <w:p>
      <w:pPr>
        <w:pStyle w:val="2"/>
        <w:spacing w:after="0" w:line="580" w:lineRule="exact"/>
        <w:ind w:left="0" w:leftChars="0" w:firstLine="643"/>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（三）经验总结：</w:t>
      </w:r>
      <w:r>
        <w:rPr>
          <w:rFonts w:hint="eastAsia" w:ascii="楷体_GB2312" w:hAnsi="楷体_GB2312" w:eastAsia="楷体_GB2312" w:cs="楷体_GB2312"/>
          <w:bCs/>
          <w:color w:val="000000" w:themeColor="text1"/>
          <w:szCs w:val="32"/>
        </w:rPr>
        <w:t>2023年12月</w:t>
      </w:r>
    </w:p>
    <w:p>
      <w:pPr>
        <w:pStyle w:val="2"/>
        <w:spacing w:after="0" w:line="580" w:lineRule="exact"/>
        <w:ind w:left="0" w:leftChars="0" w:firstLine="64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及时总结项目工作经验，不断提升居家和社区基本养老服务发展质量，推动传统养老向智慧养老转型，将专业养老服务延伸到老年人床边，确保项目可持续运行</w:t>
      </w:r>
      <w:r>
        <w:rPr>
          <w:rFonts w:ascii="仿宋_GB2312" w:hAnsi="仿宋_GB2312" w:eastAsia="仿宋_GB2312" w:cs="仿宋_GB2312"/>
          <w:color w:val="000000" w:themeColor="text1"/>
          <w:szCs w:val="32"/>
        </w:rPr>
        <w:t>。</w:t>
      </w:r>
    </w:p>
    <w:p>
      <w:pPr>
        <w:adjustRightInd w:val="0"/>
        <w:snapToGri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六、保障措施</w:t>
      </w:r>
    </w:p>
    <w:p>
      <w:pPr>
        <w:adjustRightInd w:val="0"/>
        <w:snapToGri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(一) 组织保障。</w:t>
      </w:r>
      <w:r>
        <w:rPr>
          <w:rFonts w:hint="eastAsia" w:ascii="宋体" w:hAnsi="宋体" w:eastAsia="仿宋_GB2312"/>
          <w:szCs w:val="32"/>
        </w:rPr>
        <w:t>成立建宁县居家和社区基本养老服务提升行动项目领导小组（附件10），组长由县分管领导担任，副组长由县民政局局长担任，成员由县财政局、县残联、县卫健局、县总医院以及各乡（镇）民政分管领导等组成。领导小组下设办公室，办公室主任由县民政局局长兼任，民政局分管领导担任副主任，具体负责家庭养老床位建设项目实施</w:t>
      </w:r>
      <w:r>
        <w:rPr>
          <w:rFonts w:hint="eastAsia" w:ascii="仿宋_GB2312" w:hAnsi="仿宋_GB2312" w:eastAsia="仿宋_GB2312" w:cs="仿宋_GB2312"/>
          <w:szCs w:val="32"/>
        </w:rPr>
        <w:t>。</w:t>
      </w:r>
      <w:r>
        <w:rPr>
          <w:rFonts w:hint="eastAsia" w:ascii="仿宋_GB2312" w:hAnsi="仿宋_GB2312" w:eastAsia="仿宋_GB2312" w:cs="仿宋_GB2312"/>
          <w:color w:val="000000" w:themeColor="text1"/>
          <w:szCs w:val="32"/>
        </w:rPr>
        <w:t>做好部门分工协作，形成工作合力。县民政局牵头协调，加强业务指导和政策指引，负责承接机构招标和项目验收工作；县财政局做好中央专项资金使用方案和项目实施的资金保障工作</w:t>
      </w:r>
      <w:r>
        <w:rPr>
          <w:rFonts w:hint="eastAsia" w:ascii="宋体" w:hAnsi="宋体" w:eastAsia="仿宋_GB2312"/>
          <w:color w:val="000000" w:themeColor="text1"/>
          <w:szCs w:val="32"/>
        </w:rPr>
        <w:t>；</w:t>
      </w:r>
      <w:r>
        <w:rPr>
          <w:rFonts w:hint="eastAsia" w:ascii="仿宋_GB2312" w:hAnsi="仿宋_GB2312" w:eastAsia="仿宋_GB2312" w:cs="仿宋_GB2312"/>
          <w:color w:val="000000" w:themeColor="text1"/>
          <w:szCs w:val="32"/>
        </w:rPr>
        <w:t>县残联配合做好项目对象的认定、评估和数据共享；</w:t>
      </w:r>
      <w:r>
        <w:rPr>
          <w:rFonts w:hint="eastAsia" w:ascii="宋体" w:hAnsi="宋体" w:eastAsia="仿宋_GB2312"/>
          <w:color w:val="000000" w:themeColor="text1"/>
          <w:szCs w:val="32"/>
        </w:rPr>
        <w:t>县卫健局指导医养结合政策、措施落实，提供护理团队培训等支持；县总医院提供送医上门、开通绿色就诊通道等支持</w:t>
      </w:r>
      <w:r>
        <w:rPr>
          <w:rFonts w:hint="eastAsia" w:ascii="仿宋_GB2312" w:hAnsi="仿宋_GB2312" w:eastAsia="仿宋_GB2312" w:cs="仿宋_GB2312"/>
          <w:color w:val="000000" w:themeColor="text1"/>
          <w:szCs w:val="32"/>
        </w:rPr>
        <w:t>；各乡(镇)要加强宣传力度，做好居家和社区基本养老服务提升行动项目需求的名单申报工作，及时解决项目推进工作中遇到的具体问题。</w:t>
      </w:r>
    </w:p>
    <w:p>
      <w:pPr>
        <w:adjustRightInd w:val="0"/>
        <w:snapToGrid w:val="0"/>
        <w:spacing w:line="580" w:lineRule="exact"/>
        <w:ind w:firstLine="643" w:firstLineChars="200"/>
        <w:jc w:val="left"/>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（二）服务保障。</w:t>
      </w:r>
      <w:r>
        <w:rPr>
          <w:rFonts w:hint="eastAsia" w:ascii="仿宋_GB2312" w:hAnsi="仿宋_GB2312" w:eastAsia="仿宋_GB2312" w:cs="仿宋_GB2312"/>
          <w:color w:val="000000" w:themeColor="text1"/>
          <w:szCs w:val="32"/>
        </w:rPr>
        <w:t>县民政局和各乡镇要建立居家和社区基本养老服务提升行动项目建设、服务和运营考核机制，开展多种形式的跟踪、监督、检查，加强对项目的考核评估，并定期开展服务满意度调查，配合市民政局适时组织开展项目成果评估验收，确保项目取得实效。</w:t>
      </w:r>
      <w:r>
        <w:rPr>
          <w:rFonts w:ascii="仿宋_GB2312" w:hAnsi="仿宋_GB2312" w:eastAsia="仿宋_GB2312" w:cs="仿宋_GB2312"/>
          <w:color w:val="000000" w:themeColor="text1"/>
          <w:szCs w:val="32"/>
        </w:rPr>
        <w:t>服务机构</w:t>
      </w:r>
      <w:r>
        <w:rPr>
          <w:rFonts w:hint="eastAsia" w:ascii="仿宋_GB2312" w:hAnsi="仿宋_GB2312" w:eastAsia="仿宋_GB2312" w:cs="仿宋_GB2312"/>
          <w:color w:val="000000" w:themeColor="text1"/>
          <w:szCs w:val="32"/>
        </w:rPr>
        <w:t>要</w:t>
      </w:r>
      <w:r>
        <w:rPr>
          <w:rFonts w:ascii="仿宋_GB2312" w:hAnsi="仿宋_GB2312" w:eastAsia="仿宋_GB2312" w:cs="仿宋_GB2312"/>
          <w:color w:val="000000" w:themeColor="text1"/>
          <w:szCs w:val="32"/>
        </w:rPr>
        <w:t>组建服务团队，加强业务培训，制定风险防范预案，定期开展质量检查。</w:t>
      </w:r>
      <w:r>
        <w:rPr>
          <w:rFonts w:hint="eastAsia" w:ascii="仿宋_GB2312" w:hAnsi="仿宋_GB2312" w:eastAsia="仿宋_GB2312" w:cs="仿宋_GB2312"/>
          <w:color w:val="000000" w:themeColor="text1"/>
          <w:szCs w:val="32"/>
        </w:rPr>
        <w:t>鼓励和支持</w:t>
      </w:r>
      <w:r>
        <w:rPr>
          <w:rFonts w:ascii="仿宋_GB2312" w:hAnsi="仿宋_GB2312" w:eastAsia="仿宋_GB2312" w:cs="仿宋_GB2312"/>
          <w:color w:val="000000" w:themeColor="text1"/>
          <w:szCs w:val="32"/>
        </w:rPr>
        <w:t>机构</w:t>
      </w:r>
      <w:r>
        <w:rPr>
          <w:rFonts w:hint="eastAsia" w:ascii="仿宋_GB2312" w:hAnsi="仿宋_GB2312" w:eastAsia="仿宋_GB2312" w:cs="仿宋_GB2312"/>
          <w:color w:val="000000" w:themeColor="text1"/>
          <w:szCs w:val="32"/>
        </w:rPr>
        <w:t>根据</w:t>
      </w:r>
      <w:r>
        <w:rPr>
          <w:rFonts w:ascii="仿宋_GB2312" w:hAnsi="仿宋_GB2312" w:eastAsia="仿宋_GB2312" w:cs="仿宋_GB2312"/>
          <w:color w:val="000000" w:themeColor="text1"/>
          <w:szCs w:val="32"/>
        </w:rPr>
        <w:t>服务能力范围，为其他有服务需求的老年人提供社会化服务。</w:t>
      </w:r>
    </w:p>
    <w:p>
      <w:pPr>
        <w:adjustRightInd w:val="0"/>
        <w:snapToGrid w:val="0"/>
        <w:spacing w:line="580" w:lineRule="exact"/>
        <w:ind w:firstLine="643" w:firstLineChars="200"/>
        <w:rPr>
          <w:rFonts w:ascii="仿宋_GB2312" w:hAnsi="仿宋_GB2312" w:eastAsia="仿宋_GB2312" w:cs="仿宋_GB2312"/>
          <w:color w:val="000000" w:themeColor="text1"/>
          <w:szCs w:val="32"/>
        </w:rPr>
      </w:pPr>
      <w:r>
        <w:rPr>
          <w:rFonts w:hint="eastAsia" w:ascii="宋体" w:hAnsi="宋体" w:eastAsia="楷体_GB2312" w:cs="楷体_GB2312"/>
          <w:b/>
          <w:bCs/>
          <w:color w:val="000000" w:themeColor="text1"/>
          <w:szCs w:val="32"/>
        </w:rPr>
        <w:t>（三）资金保障。</w:t>
      </w:r>
      <w:r>
        <w:rPr>
          <w:rFonts w:hint="eastAsia" w:ascii="仿宋_GB2312" w:hAnsi="仿宋_GB2312" w:eastAsia="仿宋_GB2312" w:cs="仿宋_GB2312"/>
          <w:color w:val="000000" w:themeColor="text1"/>
          <w:szCs w:val="32"/>
        </w:rPr>
        <w:t>项目执行第一年，建设家庭养老床位及提供居家养老上门服务的资金来源为中央福利彩票专项资金；失能等级认定、经济状况调查、信息系统建设、绩效评价、质量管理等工作所需资金由市、县财政配套（附件11）；项目执行第二年起不再享受中央财政和市级财政补助，所需资金由县财政统筹，每年68.1万元。</w:t>
      </w:r>
    </w:p>
    <w:p>
      <w:pPr>
        <w:adjustRightInd w:val="0"/>
        <w:snapToGrid w:val="0"/>
        <w:spacing w:line="580" w:lineRule="exact"/>
        <w:ind w:firstLine="643" w:firstLineChars="200"/>
        <w:rPr>
          <w:rFonts w:ascii="仿宋_GB2312" w:hAnsi="仿宋_GB2312" w:eastAsia="仿宋_GB2312" w:cs="仿宋_GB2312"/>
          <w:color w:val="000000" w:themeColor="text1"/>
          <w:szCs w:val="32"/>
        </w:rPr>
      </w:pPr>
      <w:r>
        <w:rPr>
          <w:rFonts w:hint="eastAsia" w:ascii="楷体_GB2312" w:hAnsi="宋体" w:eastAsia="楷体_GB2312" w:cs="楷体_GB2312"/>
          <w:b/>
          <w:bCs/>
          <w:color w:val="000000" w:themeColor="text1"/>
          <w:szCs w:val="32"/>
        </w:rPr>
        <w:t>1.</w:t>
      </w:r>
      <w:r>
        <w:rPr>
          <w:rFonts w:hint="eastAsia" w:ascii="宋体" w:hAnsi="宋体" w:eastAsia="楷体_GB2312" w:cs="楷体_GB2312"/>
          <w:b/>
          <w:bCs/>
          <w:color w:val="000000" w:themeColor="text1"/>
          <w:szCs w:val="32"/>
        </w:rPr>
        <w:t>家庭养老床位建设补贴。</w:t>
      </w:r>
      <w:r>
        <w:rPr>
          <w:rFonts w:hint="eastAsia" w:ascii="仿宋_GB2312" w:hAnsi="仿宋_GB2312" w:eastAsia="仿宋_GB2312" w:cs="仿宋_GB2312"/>
          <w:color w:val="000000" w:themeColor="text1"/>
          <w:szCs w:val="32"/>
        </w:rPr>
        <w:t>为减轻承接机构前期投入压力，对承接机构根据实际建床数按照每床（经政府采购指定的床）不超过5000元（含流量信息费）标准给予基础建床补贴，已申领过基础建床补贴的床位数不得重复申领。远程护理床或智能床垫可循环使用，所有权归承接机构，终止服务后由承接机构回收，安排其他服务对象使用。为其他有家庭养老床位服务需求的老人，提供可循环使用的床位，服务费用自行承担。其他可选项为低值易耗品或不可拆卸设备，所有权归服务对象所有，服务终止后可不回收。年平均建床数</w:t>
      </w:r>
      <w:r>
        <w:rPr>
          <w:rFonts w:hint="eastAsia" w:ascii="微软雅黑" w:hAnsi="微软雅黑" w:eastAsia="微软雅黑" w:cs="微软雅黑"/>
          <w:color w:val="000000" w:themeColor="text1"/>
          <w:szCs w:val="32"/>
        </w:rPr>
        <w:t>=</w:t>
      </w:r>
      <w:r>
        <w:rPr>
          <w:rFonts w:hint="eastAsia" w:ascii="仿宋_GB2312" w:hAnsi="仿宋_GB2312" w:eastAsia="仿宋_GB2312" w:cs="仿宋_GB2312"/>
          <w:color w:val="000000" w:themeColor="text1"/>
          <w:szCs w:val="32"/>
        </w:rPr>
        <w:t>当年度每天符合条件的家庭养老床位数之和/天数，天数按自然年天数计算，其中首年按服务机构备案之日起算，12月31日截止计算。</w:t>
      </w:r>
    </w:p>
    <w:p>
      <w:pPr>
        <w:adjustRightInd w:val="0"/>
        <w:snapToGrid w:val="0"/>
        <w:spacing w:line="580" w:lineRule="exact"/>
        <w:ind w:firstLine="643" w:firstLineChars="200"/>
        <w:rPr>
          <w:rFonts w:ascii="宋体" w:hAnsi="宋体" w:eastAsia="仿宋_GB2312"/>
          <w:color w:val="000000" w:themeColor="text1"/>
          <w:kern w:val="2"/>
          <w:szCs w:val="32"/>
        </w:rPr>
      </w:pPr>
      <w:r>
        <w:rPr>
          <w:rFonts w:hint="eastAsia" w:ascii="楷体_GB2312" w:hAnsi="宋体" w:eastAsia="楷体_GB2312" w:cs="楷体_GB2312"/>
          <w:b/>
          <w:bCs/>
          <w:color w:val="000000" w:themeColor="text1"/>
          <w:szCs w:val="32"/>
        </w:rPr>
        <w:t>2.</w:t>
      </w:r>
      <w:r>
        <w:rPr>
          <w:rFonts w:hint="eastAsia" w:ascii="宋体" w:hAnsi="宋体" w:eastAsia="楷体_GB2312" w:cs="楷体_GB2312"/>
          <w:b/>
          <w:bCs/>
          <w:color w:val="000000" w:themeColor="text1"/>
          <w:szCs w:val="32"/>
        </w:rPr>
        <w:t>居家养老上门服务补贴。</w:t>
      </w:r>
      <w:r>
        <w:rPr>
          <w:rFonts w:hint="eastAsia" w:ascii="宋体" w:hAnsi="宋体" w:eastAsia="仿宋_GB2312"/>
          <w:color w:val="000000" w:themeColor="text1"/>
          <w:kern w:val="2"/>
          <w:szCs w:val="32"/>
        </w:rPr>
        <w:t>对五保户(不含集中供养对象）、低保户、易返贫致贫和脱贫不稳定人口、一户多残的困难家庭以及符合经济困难对象中的完全失能、半失能老人等服务对象的居家上门服务费按实际支出费用的100%补助，</w:t>
      </w:r>
      <w:r>
        <w:rPr>
          <w:rFonts w:hint="eastAsia" w:ascii="仿宋_GB2312" w:hAnsi="仿宋_GB2312" w:eastAsia="仿宋_GB2312" w:cs="仿宋_GB2312"/>
          <w:color w:val="000000" w:themeColor="text1"/>
          <w:szCs w:val="32"/>
        </w:rPr>
        <w:t>每人每月</w:t>
      </w:r>
      <w:r>
        <w:rPr>
          <w:rFonts w:hint="eastAsia" w:ascii="宋体" w:hAnsi="宋体" w:eastAsia="仿宋_GB2312"/>
          <w:color w:val="000000" w:themeColor="text1"/>
          <w:kern w:val="2"/>
          <w:szCs w:val="32"/>
        </w:rPr>
        <w:t>最高不超过300元；中间偏下收入的经济困难对象的服务费，按实际支出费用的50%补助，每</w:t>
      </w:r>
      <w:r>
        <w:rPr>
          <w:rFonts w:hint="eastAsia" w:ascii="仿宋_GB2312" w:hAnsi="仿宋_GB2312" w:eastAsia="仿宋_GB2312" w:cs="仿宋_GB2312"/>
          <w:color w:val="000000" w:themeColor="text1"/>
          <w:szCs w:val="32"/>
        </w:rPr>
        <w:t>人每</w:t>
      </w:r>
      <w:r>
        <w:rPr>
          <w:rFonts w:hint="eastAsia" w:ascii="宋体" w:hAnsi="宋体" w:eastAsia="仿宋_GB2312"/>
          <w:color w:val="000000" w:themeColor="text1"/>
          <w:kern w:val="2"/>
          <w:szCs w:val="32"/>
        </w:rPr>
        <w:t>月最高不超过150元。服务补贴由承接机构统一申领，用于老年人抵扣居家养老上门服务费用。</w:t>
      </w:r>
    </w:p>
    <w:p>
      <w:pPr>
        <w:adjustRightInd w:val="0"/>
        <w:snapToGrid w:val="0"/>
        <w:spacing w:line="580" w:lineRule="exact"/>
        <w:ind w:firstLine="643" w:firstLineChars="200"/>
        <w:rPr>
          <w:rFonts w:ascii="仿宋_GB2312" w:hAnsi="仿宋_GB2312" w:eastAsia="仿宋_GB2312" w:cs="仿宋_GB2312"/>
          <w:szCs w:val="32"/>
        </w:rPr>
      </w:pPr>
      <w:r>
        <w:rPr>
          <w:rFonts w:hint="eastAsia" w:ascii="仿宋_GB2312" w:hAnsi="仿宋_GB2312" w:eastAsia="仿宋_GB2312" w:cs="仿宋_GB2312"/>
          <w:b/>
          <w:szCs w:val="32"/>
        </w:rPr>
        <w:t>3、运营补贴。</w:t>
      </w:r>
      <w:r>
        <w:rPr>
          <w:rFonts w:hint="eastAsia" w:ascii="仿宋_GB2312" w:hAnsi="仿宋_GB2312" w:eastAsia="仿宋_GB2312" w:cs="仿宋_GB2312"/>
          <w:szCs w:val="32"/>
        </w:rPr>
        <w:t>对持续运营家庭养老床位的服务机构，实行“以奖代补”政策，年服务50床（含）以上的，按每床每月100元给予运营奖励。</w:t>
      </w:r>
    </w:p>
    <w:p>
      <w:pPr>
        <w:adjustRightInd w:val="0"/>
        <w:snapToGrid w:val="0"/>
        <w:spacing w:line="580" w:lineRule="exact"/>
        <w:ind w:firstLine="640"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七、附则</w:t>
      </w:r>
    </w:p>
    <w:p>
      <w:pPr>
        <w:adjustRightInd w:val="0"/>
        <w:snapToGri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本方案由建宁县民政局、财政局负责解释，自印发之日起施行。</w:t>
      </w:r>
    </w:p>
    <w:p>
      <w:pPr>
        <w:pStyle w:val="2"/>
        <w:spacing w:after="0" w:line="580" w:lineRule="exact"/>
        <w:ind w:left="0" w:leftChars="0" w:firstLine="630" w:firstLineChars="0"/>
        <w:rPr>
          <w:rFonts w:ascii="仿宋_GB2312" w:hAnsi="仿宋_GB2312" w:eastAsia="仿宋_GB2312" w:cs="仿宋_GB2312"/>
          <w:color w:val="000000" w:themeColor="text1"/>
          <w:szCs w:val="32"/>
        </w:rPr>
      </w:pP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附件：</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1．2022年建宁县居家和社区基本养老服务提升行动项目任务分解表</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2．建宁县家庭养老床位建床指导清单</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3.</w:t>
      </w:r>
      <w:r>
        <w:rPr>
          <w:rFonts w:ascii="仿宋_GB2312" w:hAnsi="仿宋_GB2312" w:eastAsia="仿宋_GB2312" w:cs="仿宋_GB2312"/>
          <w:color w:val="000000" w:themeColor="text1"/>
          <w:szCs w:val="32"/>
        </w:rPr>
        <w:t xml:space="preserve"> </w:t>
      </w:r>
      <w:r>
        <w:rPr>
          <w:rFonts w:hint="eastAsia" w:ascii="仿宋_GB2312" w:hAnsi="仿宋_GB2312" w:eastAsia="仿宋_GB2312" w:cs="仿宋_GB2312"/>
          <w:color w:val="000000" w:themeColor="text1"/>
          <w:szCs w:val="32"/>
        </w:rPr>
        <w:t>建宁县政府购买居家养老上门服务指导目录</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4. 建宁县居家养老上门服务指导清单</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5．建宁县居家和社区基本养老服务提升行动项目承接机构遴选标准</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6．建宁县家庭养老床位建床申请审批表</w:t>
      </w:r>
    </w:p>
    <w:p>
      <w:pPr>
        <w:pStyle w:val="2"/>
        <w:spacing w:after="0" w:line="580" w:lineRule="exact"/>
        <w:ind w:left="0" w:leftChars="0" w:firstLine="630" w:firstLineChars="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7．建宁县政府购买居家养老上门服务补贴申请审批表</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8．建宁县家庭养老床位建床协议</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9．建宁县居家养老上门服务协议</w:t>
      </w:r>
    </w:p>
    <w:p>
      <w:pPr>
        <w:adjustRightInd w:val="0"/>
        <w:spacing w:line="58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10. 建宁县居家和社区基本养老服务提升行动项目领导小组</w:t>
      </w:r>
    </w:p>
    <w:p>
      <w:pPr>
        <w:pStyle w:val="2"/>
        <w:spacing w:line="580" w:lineRule="exact"/>
        <w:ind w:left="0" w:leftChars="0" w:firstLine="0" w:firstLineChars="0"/>
        <w:rPr>
          <w:rFonts w:eastAsia="仿宋_GB2312"/>
        </w:rPr>
      </w:pPr>
      <w:r>
        <w:rPr>
          <w:rFonts w:hint="eastAsia" w:ascii="仿宋_GB2312" w:hAnsi="仿宋_GB2312" w:eastAsia="仿宋_GB2312" w:cs="仿宋_GB2312"/>
          <w:color w:val="000000" w:themeColor="text1"/>
          <w:szCs w:val="32"/>
        </w:rPr>
        <w:t xml:space="preserve">    11.建宁县居家和社区基本养老服务提升项目资金预算</w:t>
      </w:r>
    </w:p>
    <w:p>
      <w:pPr>
        <w:adjustRightInd w:val="0"/>
        <w:spacing w:line="580" w:lineRule="exact"/>
        <w:ind w:firstLine="640" w:firstLineChars="200"/>
        <w:jc w:val="right"/>
        <w:rPr>
          <w:rFonts w:ascii="仿宋_GB2312" w:hAnsi="仿宋_GB2312" w:eastAsia="仿宋_GB2312" w:cs="仿宋_GB2312"/>
          <w:color w:val="000000" w:themeColor="text1"/>
          <w:szCs w:val="32"/>
        </w:rPr>
      </w:pPr>
    </w:p>
    <w:p>
      <w:pPr>
        <w:adjustRightInd w:val="0"/>
        <w:spacing w:line="580" w:lineRule="exact"/>
        <w:ind w:firstLine="640" w:firstLineChars="200"/>
        <w:jc w:val="right"/>
        <w:rPr>
          <w:rFonts w:ascii="仿宋_GB2312" w:hAnsi="仿宋_GB2312" w:eastAsia="仿宋_GB2312" w:cs="仿宋_GB2312"/>
          <w:color w:val="000000" w:themeColor="text1"/>
          <w:szCs w:val="32"/>
        </w:rPr>
      </w:pPr>
      <w:r>
        <w:rPr>
          <w:rFonts w:ascii="仿宋_GB2312" w:hAnsi="仿宋_GB2312" w:eastAsia="仿宋_GB2312" w:cs="仿宋_GB2312"/>
          <w:color w:val="000000" w:themeColor="text1"/>
          <w:szCs w:val="32"/>
        </w:rPr>
        <w:t>2022年11月</w:t>
      </w:r>
      <w:r>
        <w:rPr>
          <w:rFonts w:hint="eastAsia" w:ascii="仿宋_GB2312" w:hAnsi="仿宋_GB2312" w:eastAsia="仿宋_GB2312" w:cs="仿宋_GB2312"/>
          <w:color w:val="000000" w:themeColor="text1"/>
          <w:szCs w:val="32"/>
        </w:rPr>
        <w:t>24</w:t>
      </w:r>
      <w:r>
        <w:rPr>
          <w:rFonts w:ascii="仿宋_GB2312" w:hAnsi="仿宋_GB2312" w:eastAsia="仿宋_GB2312" w:cs="仿宋_GB2312"/>
          <w:color w:val="000000" w:themeColor="text1"/>
          <w:szCs w:val="32"/>
        </w:rPr>
        <w:t>日</w:t>
      </w:r>
    </w:p>
    <w:p>
      <w:pPr>
        <w:pStyle w:val="2"/>
        <w:spacing w:line="600" w:lineRule="exact"/>
        <w:ind w:left="640" w:firstLine="640"/>
        <w:rPr>
          <w:color w:val="000000" w:themeColor="text1"/>
        </w:rPr>
        <w:sectPr>
          <w:footerReference r:id="rId3" w:type="default"/>
          <w:pgSz w:w="11906" w:h="16838"/>
          <w:pgMar w:top="1644" w:right="1531" w:bottom="1644" w:left="1531" w:header="851" w:footer="992" w:gutter="0"/>
          <w:cols w:space="425" w:num="1"/>
          <w:docGrid w:type="lines" w:linePitch="312" w:charSpace="0"/>
        </w:sectPr>
      </w:pPr>
    </w:p>
    <w:p>
      <w:pPr>
        <w:pStyle w:val="7"/>
        <w:kinsoku w:val="0"/>
        <w:overflowPunct w:val="0"/>
        <w:spacing w:line="440" w:lineRule="exact"/>
        <w:ind w:firstLine="640" w:firstLineChars="200"/>
        <w:rPr>
          <w:rFonts w:hint="default" w:ascii="黑体" w:hAnsi="黑体" w:eastAsia="黑体"/>
          <w:color w:val="000000" w:themeColor="text1"/>
          <w:sz w:val="32"/>
          <w:szCs w:val="32"/>
        </w:rPr>
      </w:pPr>
      <w:r>
        <w:rPr>
          <w:rFonts w:ascii="黑体" w:hAnsi="黑体" w:eastAsia="黑体"/>
          <w:color w:val="000000" w:themeColor="text1"/>
          <w:sz w:val="32"/>
          <w:szCs w:val="32"/>
        </w:rPr>
        <w:t>附件1</w:t>
      </w:r>
    </w:p>
    <w:p>
      <w:pPr>
        <w:pStyle w:val="2"/>
        <w:ind w:left="0" w:leftChars="0" w:firstLine="0" w:firstLineChars="0"/>
        <w:jc w:val="center"/>
        <w:rPr>
          <w:rFonts w:ascii="方正小标宋简体" w:eastAsia="方正小标宋简体"/>
          <w:color w:val="000000" w:themeColor="text1"/>
          <w:sz w:val="36"/>
          <w:szCs w:val="36"/>
        </w:rPr>
      </w:pPr>
    </w:p>
    <w:p>
      <w:pPr>
        <w:pStyle w:val="2"/>
        <w:ind w:left="0" w:leftChars="0" w:firstLine="0" w:firstLineChars="0"/>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2022年建宁县居家和社区基本养老服务提升行动项目任务分解表</w:t>
      </w:r>
    </w:p>
    <w:tbl>
      <w:tblPr>
        <w:tblStyle w:val="13"/>
        <w:tblpPr w:leftFromText="180" w:rightFromText="180" w:vertAnchor="text" w:horzAnchor="page" w:tblpX="3036" w:tblpY="510"/>
        <w:tblOverlap w:val="never"/>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800"/>
        <w:gridCol w:w="2580"/>
        <w:gridCol w:w="223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30" w:type="dxa"/>
            <w:vAlign w:val="center"/>
          </w:tcPr>
          <w:p>
            <w:pPr>
              <w:pStyle w:val="2"/>
              <w:ind w:left="0" w:leftChars="0" w:firstLine="0" w:firstLineChars="0"/>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序号</w:t>
            </w:r>
          </w:p>
        </w:tc>
        <w:tc>
          <w:tcPr>
            <w:tcW w:w="1800" w:type="dxa"/>
            <w:vAlign w:val="center"/>
          </w:tcPr>
          <w:p>
            <w:pPr>
              <w:pStyle w:val="2"/>
              <w:ind w:left="0" w:leftChars="0" w:firstLine="0" w:firstLineChars="0"/>
              <w:jc w:val="center"/>
              <w:rPr>
                <w:rFonts w:ascii="仿宋_GB2312" w:hAnsi="仿宋_GB2312" w:eastAsia="仿宋_GB2312" w:cs="仿宋_GB2312"/>
                <w:b/>
                <w:bCs/>
                <w:color w:val="000000" w:themeColor="text1"/>
                <w:sz w:val="28"/>
                <w:szCs w:val="28"/>
              </w:rPr>
            </w:pPr>
            <w:r>
              <w:rPr>
                <w:rFonts w:ascii="仿宋_GB2312" w:hAnsi="仿宋_GB2312" w:eastAsia="仿宋_GB2312" w:cs="仿宋_GB2312"/>
                <w:b/>
                <w:bCs/>
                <w:color w:val="000000" w:themeColor="text1"/>
                <w:sz w:val="28"/>
                <w:szCs w:val="28"/>
              </w:rPr>
              <w:t>乡</w:t>
            </w:r>
            <w:r>
              <w:rPr>
                <w:rFonts w:hint="eastAsia" w:ascii="仿宋_GB2312" w:hAnsi="仿宋_GB2312" w:eastAsia="仿宋_GB2312" w:cs="仿宋_GB2312"/>
                <w:b/>
                <w:bCs/>
                <w:color w:val="000000" w:themeColor="text1"/>
                <w:sz w:val="28"/>
                <w:szCs w:val="28"/>
              </w:rPr>
              <w:t>(</w:t>
            </w:r>
            <w:r>
              <w:rPr>
                <w:rFonts w:ascii="仿宋_GB2312" w:hAnsi="仿宋_GB2312" w:eastAsia="仿宋_GB2312" w:cs="仿宋_GB2312"/>
                <w:b/>
                <w:bCs/>
                <w:color w:val="000000" w:themeColor="text1"/>
                <w:sz w:val="28"/>
                <w:szCs w:val="28"/>
              </w:rPr>
              <w:t>镇</w:t>
            </w:r>
            <w:r>
              <w:rPr>
                <w:rFonts w:hint="eastAsia" w:ascii="仿宋_GB2312" w:hAnsi="仿宋_GB2312" w:eastAsia="仿宋_GB2312" w:cs="仿宋_GB2312"/>
                <w:b/>
                <w:bCs/>
                <w:color w:val="000000" w:themeColor="text1"/>
                <w:sz w:val="28"/>
                <w:szCs w:val="28"/>
              </w:rPr>
              <w:t>)</w:t>
            </w:r>
          </w:p>
        </w:tc>
        <w:tc>
          <w:tcPr>
            <w:tcW w:w="2580" w:type="dxa"/>
            <w:vAlign w:val="center"/>
          </w:tcPr>
          <w:p>
            <w:pPr>
              <w:pStyle w:val="2"/>
              <w:spacing w:line="460" w:lineRule="exact"/>
              <w:ind w:left="0" w:leftChars="0" w:firstLine="0" w:firstLineChars="0"/>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家庭养老床位计划建床任务数（张）</w:t>
            </w:r>
          </w:p>
        </w:tc>
        <w:tc>
          <w:tcPr>
            <w:tcW w:w="2235" w:type="dxa"/>
            <w:vAlign w:val="center"/>
          </w:tcPr>
          <w:p>
            <w:pPr>
              <w:pStyle w:val="2"/>
              <w:spacing w:line="460" w:lineRule="exact"/>
              <w:ind w:left="0" w:leftChars="0" w:firstLine="0" w:firstLineChars="0"/>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居家上门服务数量（人次）</w:t>
            </w:r>
          </w:p>
        </w:tc>
        <w:tc>
          <w:tcPr>
            <w:tcW w:w="3240" w:type="dxa"/>
            <w:vAlign w:val="center"/>
          </w:tcPr>
          <w:p>
            <w:pPr>
              <w:pStyle w:val="2"/>
              <w:ind w:left="0" w:leftChars="0" w:firstLine="0" w:firstLineChars="0"/>
              <w:jc w:val="center"/>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3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180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濉溪镇</w:t>
            </w:r>
          </w:p>
        </w:tc>
        <w:tc>
          <w:tcPr>
            <w:tcW w:w="258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63</w:t>
            </w:r>
          </w:p>
        </w:tc>
        <w:tc>
          <w:tcPr>
            <w:tcW w:w="2235"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118</w:t>
            </w:r>
          </w:p>
        </w:tc>
        <w:tc>
          <w:tcPr>
            <w:tcW w:w="3240" w:type="dxa"/>
            <w:vMerge w:val="restart"/>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上门服务每月不少于2次，全年不低于30次/人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180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溪口镇</w:t>
            </w:r>
          </w:p>
        </w:tc>
        <w:tc>
          <w:tcPr>
            <w:tcW w:w="258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w:t>
            </w:r>
          </w:p>
        </w:tc>
        <w:tc>
          <w:tcPr>
            <w:tcW w:w="2235"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52</w:t>
            </w:r>
          </w:p>
        </w:tc>
        <w:tc>
          <w:tcPr>
            <w:tcW w:w="3240" w:type="dxa"/>
            <w:vMerge w:val="continue"/>
          </w:tcPr>
          <w:p>
            <w:pPr>
              <w:pStyle w:val="2"/>
              <w:ind w:left="640" w:firstLine="56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180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c>
          <w:tcPr>
            <w:tcW w:w="2580"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85</w:t>
            </w:r>
          </w:p>
        </w:tc>
        <w:tc>
          <w:tcPr>
            <w:tcW w:w="2235" w:type="dxa"/>
            <w:vAlign w:val="center"/>
          </w:tcPr>
          <w:p>
            <w:pPr>
              <w:pStyle w:val="2"/>
              <w:ind w:left="0" w:leftChars="0" w:firstLine="0" w:firstLineChars="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170</w:t>
            </w:r>
          </w:p>
        </w:tc>
        <w:tc>
          <w:tcPr>
            <w:tcW w:w="3240" w:type="dxa"/>
            <w:vMerge w:val="continue"/>
          </w:tcPr>
          <w:p>
            <w:pPr>
              <w:pStyle w:val="2"/>
              <w:ind w:left="640" w:firstLine="560"/>
              <w:rPr>
                <w:rFonts w:ascii="仿宋_GB2312" w:hAnsi="仿宋_GB2312" w:eastAsia="仿宋_GB2312" w:cs="仿宋_GB2312"/>
                <w:color w:val="000000" w:themeColor="text1"/>
                <w:sz w:val="28"/>
                <w:szCs w:val="28"/>
              </w:rPr>
            </w:pPr>
          </w:p>
        </w:tc>
      </w:tr>
    </w:tbl>
    <w:p>
      <w:pPr>
        <w:widowControl/>
        <w:jc w:val="left"/>
        <w:rPr>
          <w:rFonts w:ascii="黑体" w:hAnsi="黑体" w:eastAsia="黑体" w:cs="黑体"/>
          <w:color w:val="000000" w:themeColor="text1"/>
        </w:rPr>
      </w:pPr>
      <w:r>
        <w:rPr>
          <w:rFonts w:ascii="黑体" w:hAnsi="黑体" w:eastAsia="黑体" w:cs="黑体"/>
          <w:color w:val="000000" w:themeColor="text1"/>
        </w:rPr>
        <w:br w:type="page"/>
      </w:r>
    </w:p>
    <w:p>
      <w:pPr>
        <w:widowControl/>
        <w:jc w:val="left"/>
        <w:rPr>
          <w:rFonts w:ascii="黑体" w:hAnsi="黑体" w:eastAsia="黑体" w:cs="黑体"/>
          <w:color w:val="000000" w:themeColor="text1"/>
        </w:rPr>
        <w:sectPr>
          <w:pgSz w:w="16838" w:h="11906" w:orient="landscape"/>
          <w:pgMar w:top="1531" w:right="1644" w:bottom="1531" w:left="1644" w:header="851" w:footer="992" w:gutter="0"/>
          <w:cols w:space="425" w:num="1"/>
          <w:docGrid w:type="linesAndChars" w:linePitch="312" w:charSpace="0"/>
        </w:sectPr>
      </w:pPr>
    </w:p>
    <w:p>
      <w:pPr>
        <w:pStyle w:val="7"/>
        <w:kinsoku w:val="0"/>
        <w:overflowPunct w:val="0"/>
        <w:spacing w:line="440" w:lineRule="exact"/>
        <w:rPr>
          <w:rFonts w:hint="default" w:ascii="黑体" w:hAnsi="黑体" w:eastAsia="黑体"/>
          <w:color w:val="000000" w:themeColor="text1"/>
          <w:sz w:val="32"/>
          <w:szCs w:val="32"/>
        </w:rPr>
      </w:pPr>
      <w:r>
        <w:rPr>
          <w:rFonts w:ascii="黑体" w:hAnsi="黑体" w:eastAsia="黑体"/>
          <w:color w:val="000000" w:themeColor="text1"/>
          <w:sz w:val="32"/>
          <w:szCs w:val="32"/>
        </w:rPr>
        <w:t>附件2</w:t>
      </w:r>
    </w:p>
    <w:p>
      <w:pPr>
        <w:spacing w:line="500" w:lineRule="exact"/>
        <w:jc w:val="center"/>
        <w:rPr>
          <w:rFonts w:ascii="方正小标宋简体" w:hAnsi="方正小标宋简体" w:eastAsia="方正小标宋简体" w:cs="方正小标宋简体"/>
          <w:color w:val="000000" w:themeColor="text1"/>
          <w:sz w:val="44"/>
          <w:szCs w:val="44"/>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ascii="方正小标宋简体" w:hAnsi="方正小标宋简体" w:eastAsia="方正小标宋简体" w:cs="方正小标宋简体"/>
          <w:color w:val="000000" w:themeColor="text1"/>
          <w:sz w:val="44"/>
          <w:szCs w:val="44"/>
        </w:rPr>
        <w:t>建宁县家庭养老床位建床指导清单</w:t>
      </w:r>
    </w:p>
    <w:tbl>
      <w:tblPr>
        <w:tblStyle w:val="12"/>
        <w:tblW w:w="51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88"/>
        <w:gridCol w:w="2036"/>
        <w:gridCol w:w="4062"/>
        <w:gridCol w:w="9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74"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527"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类型</w:t>
            </w:r>
          </w:p>
        </w:tc>
        <w:tc>
          <w:tcPr>
            <w:tcW w:w="1086"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设备类型</w:t>
            </w:r>
          </w:p>
        </w:tc>
        <w:tc>
          <w:tcPr>
            <w:tcW w:w="2167"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设备功能及基本要求</w:t>
            </w:r>
          </w:p>
        </w:tc>
        <w:tc>
          <w:tcPr>
            <w:tcW w:w="530"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指导价（元）</w:t>
            </w:r>
          </w:p>
        </w:tc>
        <w:tc>
          <w:tcPr>
            <w:tcW w:w="416" w:type="pct"/>
            <w:tcBorders>
              <w:tl2br w:val="nil"/>
              <w:tr2bl w:val="nil"/>
            </w:tcBorders>
            <w:shd w:val="clear" w:color="000000" w:fill="FFFFFF"/>
            <w:vAlign w:val="center"/>
          </w:tcPr>
          <w:p>
            <w:pPr>
              <w:widowControl/>
              <w:jc w:val="center"/>
              <w:rPr>
                <w:rFonts w:ascii="仿宋" w:hAnsi="仿宋" w:eastAsia="仿宋"/>
                <w:b/>
                <w:color w:val="000000" w:themeColor="text1"/>
                <w:sz w:val="24"/>
              </w:rPr>
            </w:pPr>
            <w:r>
              <w:rPr>
                <w:rFonts w:hint="eastAsia" w:ascii="仿宋" w:hAnsi="仿宋" w:eastAsia="仿宋"/>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527" w:type="pct"/>
            <w:vMerge w:val="restar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基础建床清单</w:t>
            </w: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网络连接设备</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包含路由器、智能网关等，保证信号传输稳定</w:t>
            </w:r>
          </w:p>
        </w:tc>
        <w:tc>
          <w:tcPr>
            <w:tcW w:w="530" w:type="pct"/>
            <w:vMerge w:val="restar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500/</w:t>
            </w:r>
            <w:r>
              <w:rPr>
                <w:rFonts w:hint="eastAsia" w:ascii="仿宋" w:hAnsi="仿宋" w:eastAsia="仿宋"/>
                <w:color w:val="000000" w:themeColor="text1"/>
                <w:sz w:val="24"/>
              </w:rPr>
              <w:t>套</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远程语音视频监控陪伴设备</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1.支持双向亲情视频通话，具备应急场景单向强制拉起视频功能（即向养老床位侧呼叫超时限(可设置)未响应时，可强制拉起通讯视频实施监护）;</w:t>
            </w:r>
          </w:p>
          <w:p>
            <w:pPr>
              <w:widowControl/>
              <w:rPr>
                <w:rFonts w:ascii="仿宋" w:hAnsi="仿宋" w:eastAsia="仿宋"/>
                <w:color w:val="000000" w:themeColor="text1"/>
                <w:sz w:val="24"/>
              </w:rPr>
            </w:pPr>
            <w:r>
              <w:rPr>
                <w:rFonts w:hint="eastAsia" w:ascii="仿宋" w:hAnsi="仿宋" w:eastAsia="仿宋"/>
                <w:color w:val="000000" w:themeColor="text1"/>
                <w:sz w:val="24"/>
              </w:rPr>
              <w:t xml:space="preserve">2.设备状态信息可远程监控，设备支持上门服务打卡、支持上门服务过程录音录屏、可扩展支持云端存储、可统计上门服务时长、可支持远程查房，相关服务数据可同步至服务机构信息平台; </w:t>
            </w:r>
          </w:p>
        </w:tc>
        <w:tc>
          <w:tcPr>
            <w:tcW w:w="530"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紧急呼叫器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安装在卧室、卫生间、淋浴间等位置或者佩戴在老年人身上，配备2个呼叫器，防水易操作，紧急呼叫信息实时反馈给服务机构信息平台和监护人（监护人手机可实时收到语音呼入提醒）</w:t>
            </w:r>
          </w:p>
        </w:tc>
        <w:tc>
          <w:tcPr>
            <w:tcW w:w="530"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74" w:type="pct"/>
            <w:vMerge w:val="restar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普通护理床</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辅助老人起身、上下床，防止翻身滚下床。</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1500/张</w:t>
            </w:r>
          </w:p>
        </w:tc>
        <w:tc>
          <w:tcPr>
            <w:tcW w:w="416" w:type="pct"/>
            <w:vMerge w:val="restar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4"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体征监测设备</w:t>
            </w:r>
          </w:p>
        </w:tc>
        <w:tc>
          <w:tcPr>
            <w:tcW w:w="2167" w:type="pct"/>
            <w:tcBorders>
              <w:tl2br w:val="nil"/>
              <w:tr2bl w:val="nil"/>
            </w:tcBorders>
            <w:shd w:val="clear" w:color="000000" w:fill="FFFFFF"/>
            <w:vAlign w:val="center"/>
          </w:tcPr>
          <w:p>
            <w:pPr>
              <w:rPr>
                <w:rFonts w:ascii="仿宋" w:hAnsi="仿宋" w:eastAsia="仿宋"/>
                <w:color w:val="000000" w:themeColor="text1"/>
                <w:sz w:val="24"/>
              </w:rPr>
            </w:pPr>
            <w:r>
              <w:rPr>
                <w:rFonts w:hint="eastAsia" w:ascii="仿宋" w:hAnsi="仿宋" w:eastAsia="仿宋"/>
                <w:color w:val="000000" w:themeColor="text1"/>
                <w:sz w:val="24"/>
              </w:rPr>
              <w:t>包括智能床垫、床带等，用于离床感应、体动感应、心率监测、呼吸监测等</w:t>
            </w:r>
          </w:p>
        </w:tc>
        <w:tc>
          <w:tcPr>
            <w:tcW w:w="530" w:type="pct"/>
            <w:tcBorders>
              <w:tl2br w:val="nil"/>
              <w:tr2bl w:val="nil"/>
            </w:tcBorders>
            <w:shd w:val="clear" w:color="000000" w:fill="FFFFFF"/>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1000/套</w:t>
            </w:r>
          </w:p>
        </w:tc>
        <w:tc>
          <w:tcPr>
            <w:tcW w:w="416" w:type="pct"/>
            <w:vMerge w:val="continue"/>
            <w:tcBorders>
              <w:tl2br w:val="nil"/>
              <w:tr2bl w:val="nil"/>
            </w:tcBorders>
            <w:shd w:val="clear" w:color="000000" w:fill="FFFFFF"/>
            <w:vAlign w:val="center"/>
          </w:tcPr>
          <w:p>
            <w:pPr>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527" w:type="pct"/>
            <w:vMerge w:val="restar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适老化改造清单</w:t>
            </w: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坡化改造（固定浇筑）</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将房屋内外地面的台阶、门槛以及坡度较大的位置改造为较为平缓的坡道（用水泥等建筑材料固定浇筑）。</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600/平米</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地面平整</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将房屋内外凹凸不平的地面用水泥、砂浆铺设平整</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600/平米</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7</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蹲坑改马桶坐便器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将有基台或没有基台的蹲坑改造成马桶坐便器（含马桶坐便器及水管配件）。马桶规格：720*374*727mm，冲水方式：漩涡虹吸式，盖板材质：阻尼缓冲PP盖板</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700/个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8</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地面防滑</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卫生间、淋浴间、厨房等区域铺设防滑垫或进行表面防滑处理</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 xml:space="preserve">60/平米 </w:t>
            </w:r>
          </w:p>
        </w:tc>
        <w:tc>
          <w:tcPr>
            <w:tcW w:w="416"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9</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扶手</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床边、卫生间、沐浴区等区域安装扶手，至少新增安装2处</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移动式助浴椅</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辅助老年人洗浴等，提高安全性，高度可调节</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250/个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11</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轮椅</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辅助家人、照护人员推行，扩大老年人活动空间</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12</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助行器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帮助老年人站立行走，扩大老年人活动空间</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150/个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13</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翻身辅助设备</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辅助翻身</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65/个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14</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体征监测设备</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包括智能床垫、床带等，用于离床感应、体动感应、心率监测、呼吸监测等</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1000/套</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15</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红外人体感应探测器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连接养老服务机构系统平台,当规定时间没有感知老年人活动，平台系统发出警报</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16</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门磁感应器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检测老年人开关门情况,及时掌握老年人生活状态</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17</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燃气报警器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自动检测空气中的可燃气体浓度，浓度超过一定比例实施预警</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300/个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18</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烟感探测器</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通过烟感探测设备实现老年人烟雾极警、煤气泄露实时动态监控、干预、及时处置</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300/个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74"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19</w:t>
            </w:r>
          </w:p>
        </w:tc>
        <w:tc>
          <w:tcPr>
            <w:tcW w:w="527" w:type="pct"/>
            <w:vMerge w:val="continue"/>
            <w:tcBorders>
              <w:tl2br w:val="nil"/>
              <w:tr2bl w:val="nil"/>
            </w:tcBorders>
            <w:shd w:val="clear" w:color="000000" w:fill="FFFFFF"/>
            <w:vAlign w:val="center"/>
          </w:tcPr>
          <w:p>
            <w:pPr>
              <w:widowControl/>
              <w:jc w:val="center"/>
              <w:rPr>
                <w:rFonts w:ascii="仿宋" w:hAnsi="仿宋" w:eastAsia="仿宋"/>
                <w:color w:val="000000" w:themeColor="text1"/>
                <w:sz w:val="24"/>
              </w:rPr>
            </w:pPr>
          </w:p>
        </w:tc>
        <w:tc>
          <w:tcPr>
            <w:tcW w:w="108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智能药箱</w:t>
            </w:r>
          </w:p>
        </w:tc>
        <w:tc>
          <w:tcPr>
            <w:tcW w:w="2167" w:type="pct"/>
            <w:tcBorders>
              <w:tl2br w:val="nil"/>
              <w:tr2bl w:val="nil"/>
            </w:tcBorders>
            <w:shd w:val="clear" w:color="000000" w:fill="FFFFFF"/>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辅助提醒需要服药的老年人定时服药</w:t>
            </w:r>
          </w:p>
        </w:tc>
        <w:tc>
          <w:tcPr>
            <w:tcW w:w="530"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800/个</w:t>
            </w:r>
          </w:p>
        </w:tc>
        <w:tc>
          <w:tcPr>
            <w:tcW w:w="416" w:type="pct"/>
            <w:tcBorders>
              <w:tl2br w:val="nil"/>
              <w:tr2bl w:val="nil"/>
            </w:tcBorders>
            <w:shd w:val="clear" w:color="000000" w:fill="FFFFFF"/>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999" w:type="pct"/>
            <w:gridSpan w:val="6"/>
            <w:tcBorders>
              <w:tl2br w:val="nil"/>
              <w:tr2bl w:val="nil"/>
            </w:tcBorders>
            <w:shd w:val="clear" w:color="000000" w:fill="FFFFFF"/>
            <w:vAlign w:val="center"/>
          </w:tcPr>
          <w:p>
            <w:pPr>
              <w:pStyle w:val="7"/>
              <w:kinsoku w:val="0"/>
              <w:overflowPunct w:val="0"/>
              <w:spacing w:line="360" w:lineRule="auto"/>
              <w:ind w:left="0"/>
              <w:jc w:val="left"/>
              <w:rPr>
                <w:rFonts w:hint="default" w:ascii="仿宋" w:hAnsi="仿宋" w:eastAsia="仿宋"/>
                <w:color w:val="000000" w:themeColor="text1"/>
                <w:sz w:val="24"/>
                <w:szCs w:val="24"/>
              </w:rPr>
            </w:pPr>
            <w:r>
              <w:rPr>
                <w:rFonts w:ascii="仿宋" w:hAnsi="仿宋" w:eastAsia="仿宋"/>
                <w:color w:val="000000" w:themeColor="text1"/>
                <w:sz w:val="24"/>
                <w:szCs w:val="24"/>
              </w:rPr>
              <w:t>备注：</w:t>
            </w:r>
          </w:p>
          <w:p>
            <w:pPr>
              <w:pStyle w:val="7"/>
              <w:kinsoku w:val="0"/>
              <w:overflowPunct w:val="0"/>
              <w:spacing w:line="360" w:lineRule="auto"/>
              <w:ind w:left="0" w:firstLine="480" w:firstLineChars="200"/>
              <w:jc w:val="left"/>
              <w:rPr>
                <w:rFonts w:hint="default" w:ascii="仿宋" w:hAnsi="仿宋" w:eastAsia="仿宋"/>
                <w:color w:val="000000" w:themeColor="text1"/>
                <w:sz w:val="24"/>
              </w:rPr>
            </w:pPr>
            <w:r>
              <w:rPr>
                <w:rFonts w:ascii="仿宋" w:hAnsi="仿宋" w:eastAsia="仿宋"/>
                <w:color w:val="000000" w:themeColor="text1"/>
                <w:sz w:val="24"/>
                <w:szCs w:val="24"/>
              </w:rPr>
              <w:t>每张床5</w:t>
            </w:r>
            <w:r>
              <w:rPr>
                <w:rFonts w:hint="default" w:ascii="仿宋" w:hAnsi="仿宋" w:eastAsia="仿宋"/>
                <w:color w:val="000000" w:themeColor="text1"/>
                <w:sz w:val="24"/>
                <w:szCs w:val="24"/>
              </w:rPr>
              <w:t>000</w:t>
            </w:r>
            <w:r>
              <w:rPr>
                <w:rFonts w:ascii="仿宋" w:hAnsi="仿宋" w:eastAsia="仿宋"/>
                <w:color w:val="000000" w:themeColor="text1"/>
                <w:sz w:val="24"/>
                <w:szCs w:val="24"/>
              </w:rPr>
              <w:t>元的建床标准，其中1</w:t>
            </w:r>
            <w:r>
              <w:rPr>
                <w:rFonts w:hint="default" w:ascii="仿宋" w:hAnsi="仿宋" w:eastAsia="仿宋"/>
                <w:color w:val="000000" w:themeColor="text1"/>
                <w:sz w:val="24"/>
                <w:szCs w:val="24"/>
              </w:rPr>
              <w:t>-</w:t>
            </w:r>
            <w:r>
              <w:rPr>
                <w:rFonts w:ascii="仿宋" w:hAnsi="仿宋" w:eastAsia="仿宋"/>
                <w:color w:val="000000" w:themeColor="text1"/>
                <w:sz w:val="24"/>
                <w:szCs w:val="24"/>
              </w:rPr>
              <w:t>4项设备清单为家庭养老床位基础配置，补贴标准3000-4</w:t>
            </w:r>
            <w:r>
              <w:rPr>
                <w:rFonts w:hint="default" w:ascii="仿宋" w:hAnsi="仿宋" w:eastAsia="仿宋"/>
                <w:color w:val="000000" w:themeColor="text1"/>
                <w:sz w:val="24"/>
                <w:szCs w:val="24"/>
              </w:rPr>
              <w:t>000</w:t>
            </w:r>
            <w:r>
              <w:rPr>
                <w:rFonts w:ascii="仿宋" w:hAnsi="仿宋" w:eastAsia="仿宋"/>
                <w:color w:val="000000" w:themeColor="text1"/>
                <w:sz w:val="24"/>
                <w:szCs w:val="24"/>
              </w:rPr>
              <w:t>元;适老化改造按照1000-2000标准，从5</w:t>
            </w:r>
            <w:r>
              <w:rPr>
                <w:rFonts w:hint="default" w:ascii="仿宋" w:hAnsi="仿宋" w:eastAsia="仿宋"/>
                <w:color w:val="000000" w:themeColor="text1"/>
                <w:sz w:val="24"/>
                <w:szCs w:val="24"/>
              </w:rPr>
              <w:t>-</w:t>
            </w:r>
            <w:r>
              <w:rPr>
                <w:rFonts w:ascii="仿宋" w:hAnsi="仿宋" w:eastAsia="仿宋"/>
                <w:color w:val="000000" w:themeColor="text1"/>
                <w:sz w:val="24"/>
                <w:szCs w:val="24"/>
              </w:rPr>
              <w:t>19项适老化改造设备清单中按需选择，制定适老改造方案。</w:t>
            </w:r>
          </w:p>
        </w:tc>
      </w:tr>
    </w:tbl>
    <w:p>
      <w:pPr>
        <w:widowControl/>
        <w:shd w:val="clear" w:color="auto" w:fill="FFFFFF"/>
        <w:spacing w:line="600" w:lineRule="exact"/>
        <w:rPr>
          <w:rFonts w:ascii="黑体" w:hAnsi="黑体" w:eastAsia="黑体" w:cs="黑体"/>
          <w:color w:val="000000" w:themeColor="text1"/>
          <w:szCs w:val="32"/>
          <w:shd w:val="clear" w:color="auto" w:fill="FFFFFF"/>
        </w:rPr>
      </w:pPr>
    </w:p>
    <w:p>
      <w:pPr>
        <w:pStyle w:val="2"/>
        <w:ind w:left="640" w:firstLine="640"/>
        <w:rPr>
          <w:color w:val="000000" w:themeColor="text1"/>
          <w:shd w:val="clear" w:color="auto" w:fill="FFFFFF"/>
        </w:rPr>
      </w:pPr>
      <w:r>
        <w:rPr>
          <w:color w:val="000000" w:themeColor="text1"/>
          <w:shd w:val="clear" w:color="auto" w:fill="FFFFFF"/>
        </w:rPr>
        <w:br w:type="page"/>
      </w:r>
    </w:p>
    <w:p>
      <w:pPr>
        <w:pStyle w:val="7"/>
        <w:kinsoku w:val="0"/>
        <w:overflowPunct w:val="0"/>
        <w:spacing w:line="440" w:lineRule="exact"/>
        <w:rPr>
          <w:rFonts w:hint="default" w:ascii="黑体" w:hAnsi="黑体" w:eastAsia="黑体"/>
          <w:color w:val="000000" w:themeColor="text1"/>
          <w:sz w:val="32"/>
          <w:szCs w:val="32"/>
        </w:rPr>
      </w:pPr>
      <w:r>
        <w:rPr>
          <w:rFonts w:ascii="黑体" w:hAnsi="黑体" w:eastAsia="黑体"/>
          <w:color w:val="000000" w:themeColor="text1"/>
          <w:sz w:val="32"/>
          <w:szCs w:val="32"/>
        </w:rPr>
        <w:t>附件3</w:t>
      </w:r>
    </w:p>
    <w:p>
      <w:pPr>
        <w:spacing w:line="500" w:lineRule="exact"/>
        <w:jc w:val="center"/>
        <w:rPr>
          <w:rFonts w:ascii="方正小标宋简体" w:hAnsi="方正小标宋简体" w:eastAsia="方正小标宋简体" w:cs="方正小标宋简体"/>
          <w:color w:val="000000" w:themeColor="text1"/>
          <w:sz w:val="44"/>
          <w:szCs w:val="44"/>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建宁县政府购买居家养老上门服务指导目录</w:t>
      </w:r>
    </w:p>
    <w:p>
      <w:pPr>
        <w:spacing w:line="500" w:lineRule="exact"/>
        <w:jc w:val="center"/>
        <w:rPr>
          <w:rFonts w:ascii="宋体" w:hAnsi="宋体" w:eastAsia="楷体_GB2312" w:cs="楷体_GB2312"/>
          <w:bCs/>
          <w:color w:val="000000" w:themeColor="text1"/>
          <w:szCs w:val="32"/>
        </w:rPr>
      </w:pPr>
      <w:r>
        <w:rPr>
          <w:rFonts w:hint="eastAsia" w:ascii="宋体" w:hAnsi="宋体" w:eastAsia="楷体_GB2312" w:cs="楷体_GB2312"/>
          <w:bCs/>
          <w:color w:val="000000" w:themeColor="text1"/>
          <w:szCs w:val="32"/>
        </w:rPr>
        <w:t>（试行）</w:t>
      </w:r>
    </w:p>
    <w:tbl>
      <w:tblPr>
        <w:tblStyle w:val="12"/>
        <w:tblpPr w:leftFromText="180" w:rightFromText="180" w:vertAnchor="text" w:horzAnchor="page" w:tblpX="1748" w:tblpY="59"/>
        <w:tblOverlap w:val="never"/>
        <w:tblW w:w="877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0"/>
        <w:gridCol w:w="75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9" w:hRule="atLeast"/>
        </w:trPr>
        <w:tc>
          <w:tcPr>
            <w:tcW w:w="1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360" w:lineRule="auto"/>
              <w:jc w:val="center"/>
              <w:rPr>
                <w:rFonts w:ascii="仿宋_GB2312" w:hAnsi="宋体" w:eastAsia="仿宋_GB2312"/>
                <w:b/>
                <w:bCs/>
                <w:color w:val="000000" w:themeColor="text1"/>
                <w:sz w:val="24"/>
              </w:rPr>
            </w:pPr>
            <w:r>
              <w:rPr>
                <w:rFonts w:hint="eastAsia" w:ascii="仿宋_GB2312" w:hAnsi="宋体" w:eastAsia="仿宋_GB2312"/>
                <w:b/>
                <w:bCs/>
                <w:color w:val="000000" w:themeColor="text1"/>
                <w:sz w:val="24"/>
              </w:rPr>
              <w:t>科   目</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360" w:lineRule="auto"/>
              <w:jc w:val="center"/>
              <w:rPr>
                <w:rFonts w:ascii="仿宋_GB2312" w:hAnsi="宋体" w:eastAsia="仿宋_GB2312"/>
                <w:b/>
                <w:bCs/>
                <w:color w:val="000000" w:themeColor="text1"/>
                <w:sz w:val="24"/>
              </w:rPr>
            </w:pPr>
            <w:r>
              <w:rPr>
                <w:rFonts w:hint="eastAsia" w:ascii="仿宋_GB2312" w:hAnsi="宋体" w:eastAsia="仿宋_GB2312"/>
                <w:b/>
                <w:bCs/>
                <w:color w:val="000000" w:themeColor="text1"/>
                <w:sz w:val="24"/>
              </w:rPr>
              <w:t>详    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67"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center"/>
              <w:rPr>
                <w:rFonts w:ascii="仿宋_GB2312" w:hAnsi="宋体" w:eastAsia="仿宋_GB2312"/>
                <w:color w:val="000000" w:themeColor="text1"/>
                <w:sz w:val="24"/>
              </w:rPr>
            </w:pPr>
            <w:bookmarkStart w:id="0" w:name="_Hlk77593256"/>
            <w:r>
              <w:rPr>
                <w:rFonts w:hint="eastAsia" w:ascii="仿宋_GB2312" w:hAnsi="宋体" w:eastAsia="仿宋_GB2312"/>
                <w:color w:val="000000" w:themeColor="text1"/>
                <w:sz w:val="24"/>
              </w:rPr>
              <w:t>紧急救援服务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1.提供紧急呼叫设备；2.设立24小时响应服务平台，老人紧急呼叫，应在5分钟内响应并对应处理；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32"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巡访关爱服务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为老年人提供上门家访、电话定期回访、生日关怀、节日关怀等服务。每月至少1次上门探访、每两日1次电话联系；对于独居老年人，每月至少2次上门探访，每日1次电话联系。采取技术手段掌握老人活动信息的，可适当减少电话互动。</w:t>
            </w:r>
          </w:p>
        </w:tc>
      </w:tr>
      <w:bookmarkEnd w:id="0"/>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9"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助餐服务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利用自有食堂或与餐饮企业合作、中央厨房配餐等方式向辐射区域内老年人提供符合食品安全规定要求的老年餐，包括集中用餐、上门送餐等。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91"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助洁服务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上门入户为老年人开展室内清洁服务和专项清洁服务。室内清洁服务包括地面和墙面清扫，家具及用品擦试，厨房清洁，卫生间清洁，卧床老年人床铺清洁等；专项清洁服务包括空调通风系统清洁，厨房抽油烟机清洁，衣服、床品清洗，室内消毒，老年专用设备清洁服务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0"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助行服务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为老年人提供上、下楼服务；从家到医院、从家到中心的交通接送服务；服务人员陪同老年人散步、陪同外出等服务。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78"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助浴服务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上门入户为老年人，尤其是针对失能老年人开展的淋浴、擦浴及个人卫生清洁（头、脸、手、脚清洁，剪指甲、修脚、理发、口腔护理、全身护理）等服务。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12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助医服务</w:t>
            </w:r>
          </w:p>
        </w:tc>
        <w:tc>
          <w:tcPr>
            <w:tcW w:w="75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为老年人就医和转诊提供陪同就诊、取药等服务；在社区卫生医疗机构医生的指导下提供医疗保健养生知识指导和咨询服务。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11" w:hRule="exact"/>
        </w:trPr>
        <w:tc>
          <w:tcPr>
            <w:tcW w:w="1240" w:type="dxa"/>
            <w:tcBorders>
              <w:top w:val="single" w:color="000000" w:sz="6" w:space="0"/>
              <w:left w:val="single" w:color="000000" w:sz="6" w:space="0"/>
              <w:bottom w:val="single" w:color="auto" w:sz="4" w:space="0"/>
              <w:right w:val="single" w:color="000000" w:sz="6" w:space="0"/>
            </w:tcBorders>
            <w:shd w:val="clear" w:color="auto" w:fill="FFFFFF"/>
            <w:vAlign w:val="center"/>
          </w:tcPr>
          <w:p>
            <w:pPr>
              <w:adjustRightInd w:val="0"/>
              <w:snapToGrid w:val="0"/>
              <w:spacing w:line="28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康复服务</w:t>
            </w:r>
          </w:p>
        </w:tc>
        <w:tc>
          <w:tcPr>
            <w:tcW w:w="7534" w:type="dxa"/>
            <w:tcBorders>
              <w:top w:val="single" w:color="000000" w:sz="6" w:space="0"/>
              <w:left w:val="single" w:color="000000" w:sz="6" w:space="0"/>
              <w:bottom w:val="single" w:color="auto" w:sz="4"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left"/>
              <w:rPr>
                <w:rFonts w:ascii="仿宋_GB2312" w:hAnsi="宋体" w:eastAsia="仿宋_GB2312"/>
                <w:color w:val="000000" w:themeColor="text1"/>
                <w:sz w:val="24"/>
              </w:rPr>
            </w:pPr>
            <w:r>
              <w:rPr>
                <w:rFonts w:hint="eastAsia" w:ascii="仿宋_GB2312" w:hAnsi="宋体" w:eastAsia="仿宋_GB2312"/>
                <w:color w:val="000000" w:themeColor="text1"/>
                <w:sz w:val="24"/>
              </w:rPr>
              <w:t>专业康复师为老年人提供康复知识指导和咨询服务。运用综合康复手段，为老年人提供维护身心功能的康复服务。</w:t>
            </w:r>
          </w:p>
        </w:tc>
      </w:tr>
    </w:tbl>
    <w:p>
      <w:pPr>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注：项目提供居家养老上门服务的“1人次”是指项目执行时间内须为同一位服务对象累计提供30次以上居家养老上门服务。</w:t>
      </w:r>
    </w:p>
    <w:p>
      <w:pPr>
        <w:pStyle w:val="2"/>
        <w:ind w:left="640" w:firstLine="640"/>
      </w:pPr>
      <w:r>
        <w:br w:type="page"/>
      </w:r>
    </w:p>
    <w:p>
      <w:pPr>
        <w:pStyle w:val="7"/>
        <w:kinsoku w:val="0"/>
        <w:overflowPunct w:val="0"/>
        <w:spacing w:line="440" w:lineRule="exact"/>
        <w:rPr>
          <w:rFonts w:hint="default" w:ascii="黑体" w:hAnsi="黑体" w:eastAsia="黑体"/>
          <w:color w:val="000000" w:themeColor="text1"/>
          <w:sz w:val="32"/>
          <w:szCs w:val="32"/>
        </w:rPr>
      </w:pPr>
      <w:r>
        <w:rPr>
          <w:rFonts w:ascii="黑体" w:hAnsi="黑体" w:eastAsia="黑体"/>
          <w:color w:val="000000" w:themeColor="text1"/>
          <w:sz w:val="32"/>
          <w:szCs w:val="32"/>
        </w:rPr>
        <w:t>附件4</w:t>
      </w: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建宁县居家养老上门服务指导清单</w:t>
      </w:r>
    </w:p>
    <w:p>
      <w:pPr>
        <w:widowControl/>
        <w:shd w:val="clear" w:color="auto" w:fill="FFFFFF"/>
        <w:spacing w:line="520" w:lineRule="exact"/>
        <w:rPr>
          <w:rFonts w:ascii="黑体" w:hAnsi="黑体" w:eastAsia="黑体" w:cs="黑体"/>
          <w:bCs/>
          <w:color w:val="000000" w:themeColor="text1"/>
          <w:sz w:val="30"/>
          <w:szCs w:val="30"/>
          <w:shd w:val="clear" w:color="auto" w:fill="FFFFFF"/>
        </w:rPr>
      </w:pPr>
    </w:p>
    <w:p>
      <w:pPr>
        <w:widowControl/>
        <w:shd w:val="clear" w:color="auto" w:fill="FFFFFF"/>
        <w:spacing w:line="520" w:lineRule="exact"/>
        <w:rPr>
          <w:rFonts w:ascii="黑体" w:hAnsi="黑体" w:eastAsia="黑体" w:cs="黑体"/>
          <w:bCs/>
          <w:color w:val="000000" w:themeColor="text1"/>
          <w:sz w:val="30"/>
          <w:szCs w:val="30"/>
          <w:shd w:val="clear" w:color="auto" w:fill="FFFFFF"/>
        </w:rPr>
      </w:pPr>
      <w:r>
        <w:rPr>
          <w:rFonts w:hint="eastAsia" w:ascii="黑体" w:hAnsi="黑体" w:eastAsia="黑体" w:cs="黑体"/>
          <w:bCs/>
          <w:color w:val="000000" w:themeColor="text1"/>
          <w:sz w:val="30"/>
          <w:szCs w:val="30"/>
          <w:shd w:val="clear" w:color="auto" w:fill="FFFFFF"/>
        </w:rPr>
        <w:t>（一）基础服务要求</w:t>
      </w:r>
    </w:p>
    <w:p>
      <w:pPr>
        <w:widowControl/>
        <w:shd w:val="clear" w:color="auto" w:fill="FFFFFF"/>
        <w:spacing w:line="520" w:lineRule="exact"/>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1.建立老年人信息档案。</w:t>
      </w:r>
    </w:p>
    <w:p>
      <w:pPr>
        <w:widowControl/>
        <w:shd w:val="clear" w:color="auto" w:fill="FFFFFF"/>
        <w:spacing w:line="520" w:lineRule="exact"/>
        <w:rPr>
          <w:rFonts w:ascii="仿宋_GB2312" w:hAnsi="仿宋_GB2312" w:eastAsia="仿宋_GB2312" w:cs="仿宋_GB2312"/>
          <w:color w:val="000000" w:themeColor="text1"/>
          <w:sz w:val="30"/>
          <w:szCs w:val="30"/>
          <w:shd w:val="clear" w:color="auto" w:fill="FFFFFF"/>
        </w:rPr>
      </w:pPr>
      <w:r>
        <w:rPr>
          <w:rFonts w:ascii="仿宋_GB2312" w:hAnsi="仿宋_GB2312" w:eastAsia="仿宋_GB2312" w:cs="仿宋_GB2312"/>
          <w:color w:val="000000" w:themeColor="text1"/>
          <w:sz w:val="30"/>
          <w:szCs w:val="30"/>
          <w:shd w:val="clear" w:color="auto" w:fill="FFFFFF"/>
        </w:rPr>
        <w:t>2.</w:t>
      </w:r>
      <w:r>
        <w:rPr>
          <w:rFonts w:hint="eastAsia" w:ascii="仿宋_GB2312" w:hAnsi="仿宋_GB2312" w:eastAsia="仿宋_GB2312" w:cs="仿宋_GB2312"/>
          <w:color w:val="000000" w:themeColor="text1"/>
          <w:sz w:val="30"/>
          <w:szCs w:val="30"/>
          <w:shd w:val="clear" w:color="auto" w:fill="FFFFFF"/>
        </w:rPr>
        <w:t>24小时值班，紧急呼叫及时处理。</w:t>
      </w:r>
    </w:p>
    <w:p>
      <w:pPr>
        <w:widowControl/>
        <w:shd w:val="clear" w:color="auto" w:fill="FFFFFF"/>
        <w:spacing w:line="520" w:lineRule="exact"/>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3.每天至少早、晚两次通过视频或语音远程查房服务。</w:t>
      </w:r>
    </w:p>
    <w:p>
      <w:pPr>
        <w:widowControl/>
        <w:shd w:val="clear" w:color="auto" w:fill="FFFFFF"/>
        <w:spacing w:line="520" w:lineRule="exact"/>
        <w:rPr>
          <w:rFonts w:ascii="仿宋_GB2312" w:hAnsi="仿宋_GB2312" w:eastAsia="仿宋_GB2312" w:cs="仿宋_GB2312"/>
          <w:color w:val="000000" w:themeColor="text1"/>
          <w:sz w:val="30"/>
          <w:szCs w:val="30"/>
          <w:shd w:val="clear" w:color="auto" w:fill="FFFFFF"/>
        </w:rPr>
      </w:pPr>
      <w:r>
        <w:rPr>
          <w:rFonts w:hint="eastAsia" w:ascii="仿宋_GB2312" w:hAnsi="仿宋_GB2312" w:eastAsia="仿宋_GB2312" w:cs="仿宋_GB2312"/>
          <w:color w:val="000000" w:themeColor="text1"/>
          <w:sz w:val="30"/>
          <w:szCs w:val="30"/>
          <w:shd w:val="clear" w:color="auto" w:fill="FFFFFF"/>
        </w:rPr>
        <w:t>4.根据实际需求选择服务项目，每月不低于2次。</w:t>
      </w:r>
    </w:p>
    <w:p>
      <w:pPr>
        <w:widowControl/>
        <w:shd w:val="clear" w:color="auto" w:fill="FFFFFF"/>
        <w:spacing w:line="520" w:lineRule="exact"/>
        <w:rPr>
          <w:rFonts w:ascii="黑体" w:hAnsi="黑体" w:eastAsia="黑体" w:cs="黑体"/>
          <w:bCs/>
          <w:color w:val="000000" w:themeColor="text1"/>
        </w:rPr>
      </w:pPr>
      <w:r>
        <w:rPr>
          <w:rFonts w:hint="eastAsia" w:ascii="黑体" w:hAnsi="黑体" w:eastAsia="黑体" w:cs="黑体"/>
          <w:bCs/>
          <w:color w:val="000000" w:themeColor="text1"/>
          <w:sz w:val="30"/>
          <w:szCs w:val="30"/>
          <w:shd w:val="clear" w:color="auto" w:fill="FFFFFF"/>
        </w:rPr>
        <w:t>（二）服务项目和标准</w:t>
      </w:r>
    </w:p>
    <w:tbl>
      <w:tblPr>
        <w:tblStyle w:val="12"/>
        <w:tblpPr w:leftFromText="180" w:rightFromText="180" w:vertAnchor="text" w:horzAnchor="page" w:tblpXSpec="center" w:tblpY="480"/>
        <w:tblOverlap w:val="never"/>
        <w:tblW w:w="4988" w:type="pct"/>
        <w:jc w:val="center"/>
        <w:tblLayout w:type="fixed"/>
        <w:tblCellMar>
          <w:top w:w="0" w:type="dxa"/>
          <w:left w:w="108" w:type="dxa"/>
          <w:bottom w:w="0" w:type="dxa"/>
          <w:right w:w="108" w:type="dxa"/>
        </w:tblCellMar>
      </w:tblPr>
      <w:tblGrid>
        <w:gridCol w:w="757"/>
        <w:gridCol w:w="915"/>
        <w:gridCol w:w="837"/>
        <w:gridCol w:w="1477"/>
        <w:gridCol w:w="3919"/>
        <w:gridCol w:w="1133"/>
      </w:tblGrid>
      <w:tr>
        <w:tblPrEx>
          <w:tblCellMar>
            <w:top w:w="0" w:type="dxa"/>
            <w:left w:w="108" w:type="dxa"/>
            <w:bottom w:w="0" w:type="dxa"/>
            <w:right w:w="108" w:type="dxa"/>
          </w:tblCellMar>
        </w:tblPrEx>
        <w:trPr>
          <w:trHeight w:val="505" w:hRule="atLeast"/>
          <w:jc w:val="center"/>
        </w:trPr>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b/>
                <w:color w:val="000000" w:themeColor="text1"/>
                <w:sz w:val="20"/>
                <w:szCs w:val="20"/>
              </w:rPr>
            </w:pPr>
            <w:r>
              <w:rPr>
                <w:rFonts w:hint="eastAsia" w:ascii="仿宋" w:hAnsi="仿宋" w:eastAsia="仿宋"/>
                <w:b/>
                <w:color w:val="000000" w:themeColor="text1"/>
                <w:sz w:val="20"/>
                <w:szCs w:val="20"/>
              </w:rPr>
              <w:t>序号</w:t>
            </w:r>
          </w:p>
        </w:tc>
        <w:tc>
          <w:tcPr>
            <w:tcW w:w="969" w:type="pct"/>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仿宋" w:hAnsi="仿宋" w:eastAsia="仿宋"/>
                <w:b/>
                <w:color w:val="000000" w:themeColor="text1"/>
                <w:sz w:val="20"/>
                <w:szCs w:val="20"/>
              </w:rPr>
            </w:pPr>
            <w:r>
              <w:rPr>
                <w:rFonts w:hint="eastAsia" w:ascii="仿宋" w:hAnsi="仿宋" w:eastAsia="仿宋"/>
                <w:b/>
                <w:color w:val="000000" w:themeColor="text1"/>
                <w:sz w:val="20"/>
                <w:szCs w:val="20"/>
              </w:rPr>
              <w:t>项目分类</w:t>
            </w:r>
          </w:p>
        </w:tc>
        <w:tc>
          <w:tcPr>
            <w:tcW w:w="817" w:type="pct"/>
            <w:tcBorders>
              <w:top w:val="single" w:color="auto" w:sz="4" w:space="0"/>
              <w:left w:val="nil"/>
              <w:bottom w:val="single" w:color="auto" w:sz="4" w:space="0"/>
              <w:right w:val="single" w:color="auto" w:sz="4" w:space="0"/>
              <w:tl2br w:val="nil"/>
              <w:tr2bl w:val="nil"/>
            </w:tcBorders>
            <w:vAlign w:val="center"/>
          </w:tcPr>
          <w:p>
            <w:pPr>
              <w:widowControl/>
              <w:jc w:val="center"/>
              <w:rPr>
                <w:rFonts w:ascii="仿宋" w:hAnsi="仿宋" w:eastAsia="仿宋"/>
                <w:b/>
                <w:color w:val="000000" w:themeColor="text1"/>
                <w:sz w:val="20"/>
                <w:szCs w:val="20"/>
              </w:rPr>
            </w:pPr>
            <w:r>
              <w:rPr>
                <w:rFonts w:hint="eastAsia" w:ascii="仿宋" w:hAnsi="仿宋" w:eastAsia="仿宋"/>
                <w:b/>
                <w:color w:val="000000" w:themeColor="text1"/>
                <w:sz w:val="20"/>
                <w:szCs w:val="20"/>
              </w:rPr>
              <w:t>项目名称</w:t>
            </w:r>
          </w:p>
        </w:tc>
        <w:tc>
          <w:tcPr>
            <w:tcW w:w="2168" w:type="pct"/>
            <w:tcBorders>
              <w:top w:val="single" w:color="auto" w:sz="4" w:space="0"/>
              <w:left w:val="nil"/>
              <w:bottom w:val="single" w:color="auto" w:sz="4" w:space="0"/>
              <w:right w:val="single" w:color="auto" w:sz="4" w:space="0"/>
              <w:tl2br w:val="nil"/>
              <w:tr2bl w:val="nil"/>
            </w:tcBorders>
            <w:vAlign w:val="center"/>
          </w:tcPr>
          <w:p>
            <w:pPr>
              <w:widowControl/>
              <w:jc w:val="center"/>
              <w:rPr>
                <w:rFonts w:ascii="仿宋" w:hAnsi="仿宋" w:eastAsia="仿宋"/>
                <w:b/>
                <w:color w:val="000000" w:themeColor="text1"/>
                <w:sz w:val="20"/>
                <w:szCs w:val="20"/>
              </w:rPr>
            </w:pPr>
            <w:r>
              <w:rPr>
                <w:rFonts w:hint="eastAsia" w:ascii="仿宋" w:hAnsi="仿宋" w:eastAsia="仿宋"/>
                <w:b/>
                <w:color w:val="000000" w:themeColor="text1"/>
                <w:sz w:val="20"/>
                <w:szCs w:val="20"/>
              </w:rPr>
              <w:t>项目内涵</w:t>
            </w:r>
          </w:p>
        </w:tc>
        <w:tc>
          <w:tcPr>
            <w:tcW w:w="627" w:type="pct"/>
            <w:tcBorders>
              <w:top w:val="single" w:color="auto" w:sz="4" w:space="0"/>
              <w:left w:val="nil"/>
              <w:bottom w:val="single" w:color="auto" w:sz="4" w:space="0"/>
              <w:right w:val="single" w:color="auto" w:sz="4" w:space="0"/>
              <w:tl2br w:val="nil"/>
              <w:tr2bl w:val="nil"/>
            </w:tcBorders>
            <w:vAlign w:val="center"/>
          </w:tcPr>
          <w:p>
            <w:pPr>
              <w:widowControl/>
              <w:jc w:val="center"/>
              <w:rPr>
                <w:rFonts w:ascii="仿宋" w:hAnsi="仿宋" w:eastAsia="仿宋"/>
                <w:b/>
                <w:color w:val="000000" w:themeColor="text1"/>
                <w:sz w:val="20"/>
                <w:szCs w:val="20"/>
              </w:rPr>
            </w:pPr>
            <w:r>
              <w:rPr>
                <w:rFonts w:hint="eastAsia" w:ascii="仿宋" w:hAnsi="仿宋" w:eastAsia="仿宋"/>
                <w:b/>
                <w:color w:val="000000" w:themeColor="text1"/>
                <w:sz w:val="20"/>
                <w:szCs w:val="20"/>
              </w:rPr>
              <w:t>服务价格（元）</w:t>
            </w:r>
          </w:p>
        </w:tc>
      </w:tr>
      <w:tr>
        <w:tblPrEx>
          <w:tblCellMar>
            <w:top w:w="0" w:type="dxa"/>
            <w:left w:w="108" w:type="dxa"/>
            <w:bottom w:w="0" w:type="dxa"/>
            <w:right w:w="108" w:type="dxa"/>
          </w:tblCellMar>
        </w:tblPrEx>
        <w:trPr>
          <w:trHeight w:val="382"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506" w:type="pct"/>
            <w:vMerge w:val="restart"/>
            <w:tcBorders>
              <w:top w:val="nil"/>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一、基本生活护理服务类</w:t>
            </w:r>
          </w:p>
          <w:p>
            <w:pPr>
              <w:widowControl/>
              <w:rPr>
                <w:rFonts w:ascii="仿宋" w:hAnsi="仿宋" w:eastAsia="仿宋"/>
                <w:color w:val="000000" w:themeColor="text1"/>
                <w:sz w:val="24"/>
              </w:rPr>
            </w:pPr>
          </w:p>
        </w:tc>
        <w:tc>
          <w:tcPr>
            <w:tcW w:w="463" w:type="pct"/>
            <w:vMerge w:val="restart"/>
            <w:tcBorders>
              <w:top w:val="nil"/>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清洁护理</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头面部清洁和梳理</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协助护理对象清洁面部和梳头，为男性护理对象剃须。</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310"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洗头</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协助护理对象清洗头发。</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758"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口腔清洁</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协助护理对象采用合适的方式和方法（刷牙、漱口、棉棒/棉球擦拭等）清洁口腔和义齿，过程中防止误吸。</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408"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手部、足部清洁</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协助护理对象清洗手和足部。</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630"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修剪指/趾甲</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选择合适的工具对护理对象指/趾甲进行处理，需要时协助联系专业人士处理灰指甲。</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440"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会阴清洁</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协助护理对象完成会阴部的清洁，保持干爽，无异味，预防感染。</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439"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7</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助浴</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在保障安全的前提下，选择适宜的方式对护理对象进行身体清洁。</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100/次</w:t>
            </w:r>
          </w:p>
        </w:tc>
      </w:tr>
      <w:tr>
        <w:tblPrEx>
          <w:tblCellMar>
            <w:top w:w="0" w:type="dxa"/>
            <w:left w:w="108" w:type="dxa"/>
            <w:bottom w:w="0" w:type="dxa"/>
            <w:right w:w="108" w:type="dxa"/>
          </w:tblCellMar>
        </w:tblPrEx>
        <w:trPr>
          <w:trHeight w:val="272"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8</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理发</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为护理对象修剪头发并清洗。</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57"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9</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饮食护理</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协助进食（水）</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协助经口进食的护理对象完成进食（水），鼻饲进食者协助完成鼻饲。</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446"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居家护理</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居室保洁</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为护理对象提供居室保洁服务，保证居室整洁。</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30/小时</w:t>
            </w:r>
          </w:p>
        </w:tc>
      </w:tr>
      <w:tr>
        <w:tblPrEx>
          <w:tblCellMar>
            <w:top w:w="0" w:type="dxa"/>
            <w:left w:w="108" w:type="dxa"/>
            <w:bottom w:w="0" w:type="dxa"/>
            <w:right w:w="108" w:type="dxa"/>
          </w:tblCellMar>
        </w:tblPrEx>
        <w:trPr>
          <w:trHeight w:val="406"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11</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体位转换</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协助移动</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协助护理对象选择适宜的移动工具，在室内移动。</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10/次</w:t>
            </w:r>
          </w:p>
        </w:tc>
      </w:tr>
      <w:tr>
        <w:tblPrEx>
          <w:tblCellMar>
            <w:top w:w="0" w:type="dxa"/>
            <w:left w:w="108" w:type="dxa"/>
            <w:bottom w:w="0" w:type="dxa"/>
            <w:right w:w="108" w:type="dxa"/>
          </w:tblCellMar>
        </w:tblPrEx>
        <w:trPr>
          <w:trHeight w:val="616"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12</w:t>
            </w:r>
          </w:p>
        </w:tc>
        <w:tc>
          <w:tcPr>
            <w:tcW w:w="506" w:type="pct"/>
            <w:vMerge w:val="continue"/>
            <w:tcBorders>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协助翻身叩背排痰</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选择合适的翻身频次、体位、方式帮助护理对象翻身拍背，促进排痰。</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10/次</w:t>
            </w:r>
          </w:p>
        </w:tc>
      </w:tr>
      <w:tr>
        <w:tblPrEx>
          <w:tblCellMar>
            <w:top w:w="0" w:type="dxa"/>
            <w:left w:w="108" w:type="dxa"/>
            <w:bottom w:w="0" w:type="dxa"/>
            <w:right w:w="108" w:type="dxa"/>
          </w:tblCellMar>
        </w:tblPrEx>
        <w:trPr>
          <w:trHeight w:val="865"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13</w:t>
            </w:r>
          </w:p>
        </w:tc>
        <w:tc>
          <w:tcPr>
            <w:tcW w:w="506" w:type="pct"/>
            <w:vMerge w:val="restart"/>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二、专业护理服务</w:t>
            </w:r>
          </w:p>
        </w:tc>
        <w:tc>
          <w:tcPr>
            <w:tcW w:w="463" w:type="pct"/>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非治疗性护理</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生命体征及血糖监测</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为护理对象进行体温、脉搏、呼吸、血压、血糖的监测，做好记录，监测指标异常及时上报并处理（血糖监测包含试纸及治疗性耗材）。</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666"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14</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协助如厕</w:t>
            </w:r>
          </w:p>
        </w:tc>
        <w:tc>
          <w:tcPr>
            <w:tcW w:w="2168" w:type="pct"/>
            <w:tcBorders>
              <w:top w:val="nil"/>
              <w:left w:val="nil"/>
              <w:bottom w:val="single" w:color="auto" w:sz="4" w:space="0"/>
              <w:right w:val="single" w:color="auto" w:sz="4" w:space="0"/>
              <w:tl2br w:val="nil"/>
              <w:tr2bl w:val="nil"/>
            </w:tcBorders>
            <w:vAlign w:val="center"/>
          </w:tcPr>
          <w:p>
            <w:pPr>
              <w:widowControl/>
              <w:spacing w:line="240" w:lineRule="exact"/>
              <w:rPr>
                <w:rFonts w:ascii="仿宋" w:hAnsi="仿宋" w:eastAsia="仿宋"/>
                <w:color w:val="000000" w:themeColor="text1"/>
                <w:sz w:val="24"/>
              </w:rPr>
            </w:pPr>
            <w:r>
              <w:rPr>
                <w:rFonts w:hint="eastAsia" w:ascii="仿宋" w:hAnsi="仿宋" w:eastAsia="仿宋"/>
                <w:color w:val="000000" w:themeColor="text1"/>
                <w:sz w:val="24"/>
              </w:rPr>
              <w:t>协助护理对象床上/床边使用便器，需要时使用轮椅、助行器、拐杖等移动工具至卫生间如厕。为大小便失禁的护理对象更换尿垫等。</w:t>
            </w:r>
          </w:p>
        </w:tc>
        <w:tc>
          <w:tcPr>
            <w:tcW w:w="627"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20/次</w:t>
            </w:r>
          </w:p>
        </w:tc>
      </w:tr>
      <w:tr>
        <w:tblPrEx>
          <w:tblCellMar>
            <w:top w:w="0" w:type="dxa"/>
            <w:left w:w="108" w:type="dxa"/>
            <w:bottom w:w="0" w:type="dxa"/>
            <w:right w:w="108" w:type="dxa"/>
          </w:tblCellMar>
        </w:tblPrEx>
        <w:trPr>
          <w:trHeight w:val="593"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15</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排泄护理</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为便秘嵌顿的护理对象给予开塞露通便或人工取便。为造瘘术后的护理对象提供人工肛门便袋护理。</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50/次</w:t>
            </w:r>
          </w:p>
        </w:tc>
      </w:tr>
      <w:tr>
        <w:tblPrEx>
          <w:tblCellMar>
            <w:top w:w="0" w:type="dxa"/>
            <w:left w:w="108" w:type="dxa"/>
            <w:bottom w:w="0" w:type="dxa"/>
            <w:right w:w="108" w:type="dxa"/>
          </w:tblCellMar>
        </w:tblPrEx>
        <w:trPr>
          <w:trHeight w:val="456"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16</w:t>
            </w:r>
          </w:p>
        </w:tc>
        <w:tc>
          <w:tcPr>
            <w:tcW w:w="506" w:type="pct"/>
            <w:vMerge w:val="continue"/>
            <w:tcBorders>
              <w:left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left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排泄污染物处理</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对裤子、床垫上的排泄物进行消毒处理。</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50/次</w:t>
            </w:r>
          </w:p>
        </w:tc>
      </w:tr>
      <w:tr>
        <w:tblPrEx>
          <w:tblCellMar>
            <w:top w:w="0" w:type="dxa"/>
            <w:left w:w="108" w:type="dxa"/>
            <w:bottom w:w="0" w:type="dxa"/>
            <w:right w:w="108" w:type="dxa"/>
          </w:tblCellMar>
        </w:tblPrEx>
        <w:trPr>
          <w:trHeight w:val="1263"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17</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留置鼻胃管/尿管护理</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留置鼻胃管的护理对象：评估鼻胃管是否在胃内，管内有无堵塞、污染，做好固定与清洁；留置尿管的护理对象：对护理对象做好会阴护理，妥善固定尿管及尿袋，保持尿道口清洁、消毒和尿管通畅。</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50/次</w:t>
            </w:r>
          </w:p>
        </w:tc>
      </w:tr>
      <w:tr>
        <w:tblPrEx>
          <w:tblCellMar>
            <w:top w:w="0" w:type="dxa"/>
            <w:left w:w="108" w:type="dxa"/>
            <w:bottom w:w="0" w:type="dxa"/>
            <w:right w:w="108" w:type="dxa"/>
          </w:tblCellMar>
        </w:tblPrEx>
        <w:trPr>
          <w:trHeight w:val="671"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18</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鼻胃管/尿管更换</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遵医嘱对护理对象鼻胃管/尿管留置或更换，并维持固定与清洁（不包括耗材）。</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50/次</w:t>
            </w:r>
          </w:p>
        </w:tc>
      </w:tr>
      <w:tr>
        <w:tblPrEx>
          <w:tblCellMar>
            <w:top w:w="0" w:type="dxa"/>
            <w:left w:w="108" w:type="dxa"/>
            <w:bottom w:w="0" w:type="dxa"/>
            <w:right w:w="108" w:type="dxa"/>
          </w:tblCellMar>
        </w:tblPrEx>
        <w:trPr>
          <w:trHeight w:val="1443"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19</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压疮护理及预防指导</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对护理对象选择适宜的药物和合适的敷料，对压疮伤口进行妥善处理，必要时转介专业机构处理。对易发生压疮的护理对象采取体位变换、气垫减压等方法预防压疮的发生，并提供预防压疮护理的健康指导。</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50/次</w:t>
            </w:r>
          </w:p>
        </w:tc>
      </w:tr>
      <w:tr>
        <w:tblPrEx>
          <w:tblCellMar>
            <w:top w:w="0" w:type="dxa"/>
            <w:left w:w="108" w:type="dxa"/>
            <w:bottom w:w="0" w:type="dxa"/>
            <w:right w:w="108" w:type="dxa"/>
          </w:tblCellMar>
        </w:tblPrEx>
        <w:trPr>
          <w:trHeight w:val="634"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20</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功能维护</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生活自理能力训练指导</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对进食方法、个人卫生、床椅转移等日常生活自理能力等方面进行训练示范及指导。</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25/次</w:t>
            </w:r>
          </w:p>
        </w:tc>
      </w:tr>
      <w:tr>
        <w:tblPrEx>
          <w:tblCellMar>
            <w:top w:w="0" w:type="dxa"/>
            <w:left w:w="108" w:type="dxa"/>
            <w:bottom w:w="0" w:type="dxa"/>
            <w:right w:w="108" w:type="dxa"/>
          </w:tblCellMar>
        </w:tblPrEx>
        <w:trPr>
          <w:trHeight w:val="511"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21</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肢体功能训练指导</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选择适宜的方式指导和协助护理对象进行肢体功能训练指导。</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25/次</w:t>
            </w:r>
          </w:p>
        </w:tc>
      </w:tr>
      <w:tr>
        <w:tblPrEx>
          <w:tblCellMar>
            <w:top w:w="0" w:type="dxa"/>
            <w:left w:w="108" w:type="dxa"/>
            <w:bottom w:w="0" w:type="dxa"/>
            <w:right w:w="108" w:type="dxa"/>
          </w:tblCellMar>
        </w:tblPrEx>
        <w:trPr>
          <w:trHeight w:val="651"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22</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认知能力训练指导</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使用专业的训练辅具及方法，对护理对象的认知能力进行训练示范及指导。</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25/次</w:t>
            </w:r>
          </w:p>
        </w:tc>
      </w:tr>
      <w:tr>
        <w:tblPrEx>
          <w:tblCellMar>
            <w:top w:w="0" w:type="dxa"/>
            <w:left w:w="108" w:type="dxa"/>
            <w:bottom w:w="0" w:type="dxa"/>
            <w:right w:w="108" w:type="dxa"/>
          </w:tblCellMar>
        </w:tblPrEx>
        <w:trPr>
          <w:trHeight w:val="677"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23</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其他服务</w:t>
            </w: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精神慰藉</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对护理对象进行亲情抚慰和心理疏导，引导其保持积极向上的生活状态和愉悦的心情。</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15/小时</w:t>
            </w:r>
          </w:p>
        </w:tc>
      </w:tr>
      <w:tr>
        <w:tblPrEx>
          <w:tblCellMar>
            <w:top w:w="0" w:type="dxa"/>
            <w:left w:w="108" w:type="dxa"/>
            <w:bottom w:w="0" w:type="dxa"/>
            <w:right w:w="108" w:type="dxa"/>
          </w:tblCellMar>
        </w:tblPrEx>
        <w:trPr>
          <w:trHeight w:val="580" w:hRule="atLeast"/>
          <w:jc w:val="center"/>
        </w:trPr>
        <w:tc>
          <w:tcPr>
            <w:tcW w:w="419" w:type="pct"/>
            <w:tcBorders>
              <w:top w:val="nil"/>
              <w:left w:val="single" w:color="auto" w:sz="4" w:space="0"/>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4</w:t>
            </w:r>
          </w:p>
        </w:tc>
        <w:tc>
          <w:tcPr>
            <w:tcW w:w="506"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463" w:type="pct"/>
            <w:vMerge w:val="continue"/>
            <w:tcBorders>
              <w:top w:val="nil"/>
              <w:left w:val="single" w:color="auto" w:sz="4" w:space="0"/>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p>
        </w:tc>
        <w:tc>
          <w:tcPr>
            <w:tcW w:w="81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安宁服务</w:t>
            </w:r>
          </w:p>
        </w:tc>
        <w:tc>
          <w:tcPr>
            <w:tcW w:w="2168" w:type="pct"/>
            <w:tcBorders>
              <w:top w:val="nil"/>
              <w:left w:val="nil"/>
              <w:bottom w:val="single" w:color="auto" w:sz="4" w:space="0"/>
              <w:right w:val="single" w:color="auto" w:sz="4" w:space="0"/>
              <w:tl2br w:val="nil"/>
              <w:tr2bl w:val="nil"/>
            </w:tcBorders>
            <w:vAlign w:val="center"/>
          </w:tcPr>
          <w:p>
            <w:pPr>
              <w:widowControl/>
              <w:rPr>
                <w:rFonts w:ascii="仿宋" w:hAnsi="仿宋" w:eastAsia="仿宋"/>
                <w:color w:val="000000" w:themeColor="text1"/>
                <w:sz w:val="24"/>
              </w:rPr>
            </w:pPr>
            <w:r>
              <w:rPr>
                <w:rFonts w:hint="eastAsia" w:ascii="仿宋" w:hAnsi="仿宋" w:eastAsia="仿宋"/>
                <w:color w:val="000000" w:themeColor="text1"/>
                <w:sz w:val="24"/>
              </w:rPr>
              <w:t>对临终老人提供沟通和陪伴，协助对临终老年人家属提供心理慰藉及哀伤应对。</w:t>
            </w:r>
          </w:p>
        </w:tc>
        <w:tc>
          <w:tcPr>
            <w:tcW w:w="627" w:type="pct"/>
            <w:tcBorders>
              <w:top w:val="nil"/>
              <w:left w:val="nil"/>
              <w:bottom w:val="single" w:color="auto" w:sz="4" w:space="0"/>
              <w:right w:val="single" w:color="auto" w:sz="4" w:space="0"/>
              <w:tl2br w:val="nil"/>
              <w:tr2bl w:val="nil"/>
            </w:tcBorders>
            <w:vAlign w:val="center"/>
          </w:tcPr>
          <w:p>
            <w:pPr>
              <w:widowControl/>
              <w:jc w:val="center"/>
              <w:rPr>
                <w:rFonts w:ascii="仿宋" w:hAnsi="仿宋" w:eastAsia="仿宋"/>
                <w:color w:val="000000" w:themeColor="text1"/>
                <w:sz w:val="24"/>
              </w:rPr>
            </w:pPr>
            <w:r>
              <w:rPr>
                <w:rFonts w:hint="eastAsia" w:ascii="仿宋" w:hAnsi="仿宋" w:eastAsia="仿宋"/>
                <w:color w:val="000000" w:themeColor="text1"/>
                <w:sz w:val="24"/>
              </w:rPr>
              <w:t>25/小时</w:t>
            </w:r>
          </w:p>
        </w:tc>
      </w:tr>
    </w:tbl>
    <w:p>
      <w:pPr>
        <w:pStyle w:val="7"/>
        <w:kinsoku w:val="0"/>
        <w:overflowPunct w:val="0"/>
        <w:spacing w:line="440" w:lineRule="exact"/>
        <w:ind w:left="0"/>
        <w:rPr>
          <w:rFonts w:hint="default" w:ascii="黑体" w:hAnsi="黑体" w:eastAsia="黑体"/>
          <w:color w:val="000000" w:themeColor="text1"/>
          <w:sz w:val="32"/>
          <w:szCs w:val="32"/>
        </w:rPr>
      </w:pPr>
      <w:r>
        <w:rPr>
          <w:rFonts w:ascii="黑体" w:hAnsi="黑体" w:eastAsia="黑体" w:cs="黑体"/>
          <w:color w:val="000000" w:themeColor="text1"/>
          <w:szCs w:val="32"/>
          <w:shd w:val="clear" w:color="auto" w:fill="FFFFFF"/>
        </w:rPr>
        <w:br w:type="page"/>
      </w:r>
      <w:r>
        <w:rPr>
          <w:rFonts w:ascii="黑体" w:hAnsi="黑体" w:eastAsia="黑体"/>
          <w:color w:val="000000" w:themeColor="text1"/>
          <w:sz w:val="32"/>
          <w:szCs w:val="32"/>
        </w:rPr>
        <w:t>附件5</w:t>
      </w:r>
    </w:p>
    <w:p>
      <w:pPr>
        <w:pStyle w:val="7"/>
        <w:kinsoku w:val="0"/>
        <w:overflowPunct w:val="0"/>
        <w:spacing w:line="440" w:lineRule="exact"/>
        <w:ind w:left="0"/>
        <w:rPr>
          <w:rFonts w:hint="default" w:ascii="黑体" w:hAnsi="黑体" w:eastAsia="黑体" w:cs="黑体"/>
          <w:color w:val="000000" w:themeColor="text1"/>
          <w:sz w:val="32"/>
          <w:szCs w:val="32"/>
          <w:shd w:val="clear" w:color="auto" w:fill="FFFFFF"/>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建宁县居家和社区基本养老服务提升行动</w:t>
      </w: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项目承接机构遴选标准</w:t>
      </w:r>
    </w:p>
    <w:p>
      <w:pPr>
        <w:pStyle w:val="2"/>
        <w:spacing w:line="500" w:lineRule="exact"/>
        <w:ind w:left="0" w:leftChars="0" w:firstLine="0" w:firstLineChars="0"/>
        <w:jc w:val="center"/>
        <w:rPr>
          <w:b/>
          <w:color w:val="000000" w:themeColor="text1"/>
          <w:sz w:val="44"/>
          <w:szCs w:val="44"/>
        </w:rPr>
      </w:pP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eastAsia="仿宋_GB2312"/>
          <w:color w:val="000000" w:themeColor="text1"/>
        </w:rPr>
        <w:t>1.</w:t>
      </w:r>
      <w:r>
        <w:rPr>
          <w:rFonts w:hint="eastAsia" w:ascii="仿宋_GB2312" w:hAnsi="仿宋_GB2312" w:eastAsia="仿宋_GB2312" w:cs="仿宋_GB2312"/>
          <w:color w:val="000000" w:themeColor="text1"/>
          <w:szCs w:val="32"/>
        </w:rPr>
        <w:t>依法在民政部门或市场监管部门登记备案、具备相应服务资质、运营状况良好的专业化养老机构或养老企业，提供医疗、康复服务的，需具有开展上门医疗康复服务的资质。</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2.在本行政区域内有与开展服务相适应的固定服务场所,服务场所应按指定要求安装两路以上视频监控，并接入市级养老服务信息平台。</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具有家庭养老床位、居家养老上门服务或适老化改造经验，具备相应的评估设计、施工改造及运营管理能力，拥有与服务内容相匹配的管理和服务团队，具有对失能、部分失能老年人专业照护能力和居家养老上门服务能力。</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服务团队包括但不限于医生、护士、养老护理员等，承接机构应与服务人员签订劳动合同，服务人员应持有健康证明、符合行业要求并具备相关资质，其中养老护理员同时需持有养老护理员职业资格证书（或老人照护专项证书、养老护理员职业技能等级证书、近两年内养老护理员职业技能培训结业证书）。</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4.有与开展家庭养老床位、居家养老上门服务相适应的信息化平台，以及相匹配的智能监控、监测设备，并与市级养老服务信息平台实现数据互联互通。具有24小时响应老年人服务需求的能力</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5.有开展家庭养老床位服务的设备，包括但不限于便携移动式洗澡床、便携式护理包等照料护理设备。</w:t>
      </w:r>
    </w:p>
    <w:p>
      <w:pPr>
        <w:adjustRightInd w:val="0"/>
        <w:snapToGrid w:val="0"/>
        <w:spacing w:line="4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4.承接机构近两年内未纳入社会失信名单、未发生重大安全事故或群体信访事件。</w:t>
      </w:r>
    </w:p>
    <w:p>
      <w:pPr>
        <w:pStyle w:val="7"/>
        <w:kinsoku w:val="0"/>
        <w:overflowPunct w:val="0"/>
        <w:spacing w:line="440" w:lineRule="exact"/>
        <w:ind w:left="0"/>
        <w:rPr>
          <w:rFonts w:hint="default" w:ascii="黑体" w:hAnsi="黑体" w:eastAsia="黑体"/>
          <w:color w:val="000000" w:themeColor="text1"/>
          <w:sz w:val="32"/>
          <w:szCs w:val="32"/>
        </w:rPr>
      </w:pPr>
    </w:p>
    <w:p>
      <w:pPr>
        <w:pStyle w:val="7"/>
        <w:kinsoku w:val="0"/>
        <w:overflowPunct w:val="0"/>
        <w:spacing w:line="440" w:lineRule="exact"/>
        <w:ind w:left="0"/>
        <w:rPr>
          <w:rFonts w:hint="default" w:ascii="黑体" w:hAnsi="黑体" w:eastAsia="黑体"/>
          <w:color w:val="000000" w:themeColor="text1"/>
          <w:sz w:val="32"/>
          <w:szCs w:val="32"/>
        </w:rPr>
      </w:pPr>
      <w:r>
        <w:rPr>
          <w:rFonts w:ascii="黑体" w:hAnsi="黑体" w:eastAsia="黑体"/>
          <w:color w:val="000000" w:themeColor="text1"/>
          <w:sz w:val="32"/>
          <w:szCs w:val="32"/>
        </w:rPr>
        <w:t>附件6</w:t>
      </w:r>
    </w:p>
    <w:p>
      <w:pPr>
        <w:pStyle w:val="7"/>
        <w:kinsoku w:val="0"/>
        <w:overflowPunct w:val="0"/>
        <w:spacing w:line="440" w:lineRule="exact"/>
        <w:ind w:left="0"/>
        <w:rPr>
          <w:rFonts w:hint="default" w:ascii="黑体" w:hAnsi="黑体" w:eastAsia="黑体"/>
          <w:color w:val="000000" w:themeColor="text1"/>
          <w:sz w:val="32"/>
          <w:szCs w:val="32"/>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ascii="方正小标宋简体" w:hAnsi="方正小标宋简体" w:eastAsia="方正小标宋简体" w:cs="方正小标宋简体"/>
          <w:color w:val="000000" w:themeColor="text1"/>
          <w:sz w:val="44"/>
          <w:szCs w:val="44"/>
        </w:rPr>
        <w:t>建宁县家庭养老床位建床申请审批表</w:t>
      </w:r>
    </w:p>
    <w:p>
      <w:pPr>
        <w:adjustRightInd w:val="0"/>
        <w:snapToGrid w:val="0"/>
        <w:ind w:firstLine="480" w:firstLineChars="200"/>
        <w:rPr>
          <w:rFonts w:ascii="宋体" w:hAnsi="宋体"/>
          <w:color w:val="000000" w:themeColor="text1"/>
          <w:sz w:val="24"/>
        </w:rPr>
      </w:pPr>
      <w:r>
        <w:rPr>
          <w:rFonts w:hint="eastAsia" w:ascii="宋体" w:hAnsi="宋体"/>
          <w:color w:val="000000" w:themeColor="text1"/>
          <w:sz w:val="24"/>
        </w:rPr>
        <w:t>建床地区：</w:t>
      </w:r>
      <w:r>
        <w:rPr>
          <w:rFonts w:hint="eastAsia" w:ascii="宋体" w:hAnsi="宋体"/>
          <w:color w:val="000000" w:themeColor="text1"/>
          <w:sz w:val="24"/>
          <w:u w:val="single"/>
        </w:rPr>
        <w:t xml:space="preserve">        </w:t>
      </w:r>
      <w:r>
        <w:rPr>
          <w:rFonts w:hint="eastAsia" w:ascii="宋体" w:hAnsi="宋体"/>
          <w:color w:val="000000" w:themeColor="text1"/>
          <w:sz w:val="24"/>
        </w:rPr>
        <w:t>县（市、区）</w:t>
      </w:r>
      <w:r>
        <w:rPr>
          <w:rFonts w:hint="eastAsia" w:ascii="宋体" w:hAnsi="宋体"/>
          <w:color w:val="000000" w:themeColor="text1"/>
          <w:sz w:val="24"/>
          <w:u w:val="single"/>
        </w:rPr>
        <w:t xml:space="preserve">        </w:t>
      </w:r>
      <w:r>
        <w:rPr>
          <w:rFonts w:hint="eastAsia" w:ascii="宋体" w:hAnsi="宋体"/>
          <w:color w:val="000000" w:themeColor="text1"/>
          <w:sz w:val="24"/>
        </w:rPr>
        <w:t>街道（乡镇）</w:t>
      </w:r>
      <w:r>
        <w:rPr>
          <w:rFonts w:hint="eastAsia" w:ascii="宋体" w:hAnsi="宋体"/>
          <w:color w:val="000000" w:themeColor="text1"/>
          <w:sz w:val="24"/>
          <w:u w:val="single"/>
        </w:rPr>
        <w:t xml:space="preserve">         </w:t>
      </w:r>
      <w:r>
        <w:rPr>
          <w:rFonts w:hint="eastAsia" w:ascii="宋体" w:hAnsi="宋体"/>
          <w:color w:val="000000" w:themeColor="text1"/>
          <w:sz w:val="24"/>
        </w:rPr>
        <w:t>社区（村）</w:t>
      </w:r>
    </w:p>
    <w:tbl>
      <w:tblPr>
        <w:tblStyle w:val="13"/>
        <w:tblpPr w:leftFromText="180" w:rightFromText="180" w:vertAnchor="text" w:horzAnchor="page" w:tblpXSpec="center" w:tblpY="297"/>
        <w:tblOverlap w:val="neve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34"/>
        <w:gridCol w:w="480"/>
        <w:gridCol w:w="765"/>
        <w:gridCol w:w="90"/>
        <w:gridCol w:w="1305"/>
        <w:gridCol w:w="14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姓名</w:t>
            </w:r>
          </w:p>
        </w:tc>
        <w:tc>
          <w:tcPr>
            <w:tcW w:w="1914" w:type="dxa"/>
            <w:gridSpan w:val="2"/>
          </w:tcPr>
          <w:p>
            <w:pPr>
              <w:adjustRightInd w:val="0"/>
              <w:snapToGrid w:val="0"/>
              <w:rPr>
                <w:rFonts w:ascii="宋体" w:hAnsi="宋体"/>
                <w:color w:val="000000" w:themeColor="text1"/>
                <w:sz w:val="24"/>
              </w:rPr>
            </w:pPr>
          </w:p>
        </w:tc>
        <w:tc>
          <w:tcPr>
            <w:tcW w:w="765" w:type="dxa"/>
            <w:vMerge w:val="restart"/>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联系电话</w:t>
            </w:r>
          </w:p>
        </w:tc>
        <w:tc>
          <w:tcPr>
            <w:tcW w:w="1537" w:type="dxa"/>
            <w:gridSpan w:val="3"/>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本人联系电话</w:t>
            </w:r>
          </w:p>
        </w:tc>
        <w:tc>
          <w:tcPr>
            <w:tcW w:w="3553" w:type="dxa"/>
          </w:tcPr>
          <w:p>
            <w:pPr>
              <w:adjustRightInd w:val="0"/>
              <w:snapToGrid w:val="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性别</w:t>
            </w:r>
          </w:p>
        </w:tc>
        <w:tc>
          <w:tcPr>
            <w:tcW w:w="1914" w:type="dxa"/>
            <w:gridSpan w:val="2"/>
          </w:tcPr>
          <w:p>
            <w:pPr>
              <w:adjustRightInd w:val="0"/>
              <w:snapToGrid w:val="0"/>
              <w:rPr>
                <w:rFonts w:ascii="宋体" w:hAnsi="宋体"/>
                <w:color w:val="000000" w:themeColor="text1"/>
                <w:sz w:val="24"/>
              </w:rPr>
            </w:pPr>
          </w:p>
        </w:tc>
        <w:tc>
          <w:tcPr>
            <w:tcW w:w="765" w:type="dxa"/>
            <w:vMerge w:val="continue"/>
          </w:tcPr>
          <w:p>
            <w:pPr>
              <w:adjustRightInd w:val="0"/>
              <w:snapToGrid w:val="0"/>
              <w:rPr>
                <w:rFonts w:ascii="宋体" w:hAnsi="宋体"/>
                <w:color w:val="000000" w:themeColor="text1"/>
                <w:sz w:val="24"/>
              </w:rPr>
            </w:pPr>
          </w:p>
        </w:tc>
        <w:tc>
          <w:tcPr>
            <w:tcW w:w="1537" w:type="dxa"/>
            <w:gridSpan w:val="3"/>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紧急联系人</w:t>
            </w:r>
          </w:p>
        </w:tc>
        <w:tc>
          <w:tcPr>
            <w:tcW w:w="3553" w:type="dxa"/>
            <w:vAlign w:val="center"/>
          </w:tcPr>
          <w:p>
            <w:pPr>
              <w:adjustRightInd w:val="0"/>
              <w:snapToGrid w:val="0"/>
              <w:rPr>
                <w:rFonts w:ascii="宋体" w:hAnsi="宋体"/>
                <w:color w:val="000000" w:themeColor="text1"/>
                <w:sz w:val="24"/>
              </w:rPr>
            </w:pPr>
            <w:r>
              <w:rPr>
                <w:rFonts w:hint="eastAsia" w:ascii="宋体" w:hAnsi="宋体"/>
                <w:color w:val="000000" w:themeColor="text1"/>
                <w:sz w:val="24"/>
              </w:rPr>
              <w:t>姓名：</w:t>
            </w:r>
          </w:p>
          <w:p>
            <w:pPr>
              <w:adjustRightInd w:val="0"/>
              <w:snapToGrid w:val="0"/>
              <w:rPr>
                <w:rFonts w:ascii="宋体" w:hAnsi="宋体"/>
                <w:color w:val="000000" w:themeColor="text1"/>
                <w:sz w:val="24"/>
              </w:rPr>
            </w:pPr>
            <w:r>
              <w:rPr>
                <w:rFonts w:hint="eastAsia" w:ascii="宋体" w:hAnsi="宋体"/>
                <w:color w:val="000000" w:themeColor="text1"/>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可支配月收入</w:t>
            </w:r>
          </w:p>
          <w:p>
            <w:pPr>
              <w:adjustRightInd w:val="0"/>
              <w:snapToGrid w:val="0"/>
              <w:jc w:val="center"/>
              <w:rPr>
                <w:rFonts w:ascii="宋体" w:hAnsi="宋体"/>
                <w:color w:val="000000" w:themeColor="text1"/>
                <w:sz w:val="24"/>
              </w:rPr>
            </w:pPr>
            <w:r>
              <w:rPr>
                <w:rFonts w:hint="eastAsia" w:ascii="宋体" w:hAnsi="宋体"/>
                <w:color w:val="000000" w:themeColor="text1"/>
                <w:sz w:val="24"/>
              </w:rPr>
              <w:t>（元）</w:t>
            </w:r>
          </w:p>
        </w:tc>
        <w:tc>
          <w:tcPr>
            <w:tcW w:w="1914" w:type="dxa"/>
            <w:gridSpan w:val="2"/>
            <w:vAlign w:val="center"/>
          </w:tcPr>
          <w:p>
            <w:pPr>
              <w:adjustRightInd w:val="0"/>
              <w:snapToGrid w:val="0"/>
              <w:jc w:val="center"/>
              <w:rPr>
                <w:rFonts w:ascii="宋体" w:hAnsi="宋体"/>
                <w:color w:val="000000" w:themeColor="text1"/>
                <w:sz w:val="24"/>
              </w:rPr>
            </w:pPr>
          </w:p>
        </w:tc>
        <w:tc>
          <w:tcPr>
            <w:tcW w:w="765"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身份证号</w:t>
            </w:r>
          </w:p>
        </w:tc>
        <w:tc>
          <w:tcPr>
            <w:tcW w:w="5090" w:type="dxa"/>
            <w:gridSpan w:val="4"/>
          </w:tcPr>
          <w:p>
            <w:pPr>
              <w:adjustRightInd w:val="0"/>
              <w:snapToGrid w:val="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户籍地</w:t>
            </w:r>
          </w:p>
        </w:tc>
        <w:tc>
          <w:tcPr>
            <w:tcW w:w="7769" w:type="dxa"/>
            <w:gridSpan w:val="7"/>
            <w:vAlign w:val="center"/>
          </w:tcPr>
          <w:p>
            <w:pPr>
              <w:adjustRightInd w:val="0"/>
              <w:snapToGrid w:val="0"/>
              <w:rPr>
                <w:rFonts w:ascii="宋体" w:hAnsi="宋体"/>
                <w:color w:val="000000" w:themeColor="text1"/>
                <w:sz w:val="24"/>
                <w:u w:val="single"/>
              </w:rPr>
            </w:pPr>
            <w:r>
              <w:rPr>
                <w:rFonts w:hint="eastAsia" w:ascii="宋体" w:hAnsi="宋体"/>
                <w:color w:val="000000" w:themeColor="text1"/>
                <w:sz w:val="24"/>
              </w:rPr>
              <w:t>三明市</w:t>
            </w:r>
            <w:r>
              <w:rPr>
                <w:rFonts w:hint="eastAsia" w:ascii="宋体" w:hAnsi="宋体"/>
                <w:color w:val="000000" w:themeColor="text1"/>
                <w:sz w:val="24"/>
                <w:u w:val="single"/>
              </w:rPr>
              <w:t xml:space="preserve">        </w:t>
            </w:r>
            <w:r>
              <w:rPr>
                <w:rFonts w:hint="eastAsia" w:ascii="宋体" w:hAnsi="宋体"/>
                <w:color w:val="000000" w:themeColor="text1"/>
                <w:sz w:val="24"/>
              </w:rPr>
              <w:t>县（市、区）</w:t>
            </w:r>
            <w:r>
              <w:rPr>
                <w:rFonts w:hint="eastAsia" w:ascii="宋体" w:hAnsi="宋体"/>
                <w:color w:val="000000" w:themeColor="text1"/>
                <w:sz w:val="24"/>
                <w:u w:val="single"/>
              </w:rPr>
              <w:t xml:space="preserve">     </w:t>
            </w:r>
            <w:r>
              <w:rPr>
                <w:rFonts w:hint="eastAsia" w:ascii="宋体" w:hAnsi="宋体"/>
                <w:color w:val="000000" w:themeColor="text1"/>
                <w:sz w:val="24"/>
              </w:rPr>
              <w:t>街道（乡镇）</w:t>
            </w:r>
            <w:r>
              <w:rPr>
                <w:rFonts w:hint="eastAsia" w:ascii="宋体" w:hAnsi="宋体"/>
                <w:color w:val="000000" w:themeColor="text1"/>
                <w:sz w:val="24"/>
                <w:u w:val="single"/>
              </w:rPr>
              <w:t xml:space="preserve">      </w:t>
            </w:r>
            <w:r>
              <w:rPr>
                <w:rFonts w:hint="eastAsia" w:ascii="宋体" w:hAnsi="宋体"/>
                <w:color w:val="000000" w:themeColor="text1"/>
                <w:sz w:val="24"/>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申请资质</w:t>
            </w:r>
          </w:p>
          <w:p>
            <w:pPr>
              <w:adjustRightInd w:val="0"/>
              <w:snapToGrid w:val="0"/>
              <w:jc w:val="center"/>
              <w:rPr>
                <w:rFonts w:ascii="宋体" w:hAnsi="宋体"/>
                <w:color w:val="000000" w:themeColor="text1"/>
                <w:sz w:val="24"/>
              </w:rPr>
            </w:pPr>
            <w:r>
              <w:rPr>
                <w:rFonts w:hint="eastAsia" w:ascii="宋体" w:hAnsi="宋体"/>
                <w:color w:val="000000" w:themeColor="text1"/>
                <w:sz w:val="24"/>
              </w:rPr>
              <w:t>（身份）</w:t>
            </w:r>
          </w:p>
        </w:tc>
        <w:tc>
          <w:tcPr>
            <w:tcW w:w="7769" w:type="dxa"/>
            <w:gridSpan w:val="7"/>
            <w:vAlign w:val="center"/>
          </w:tcPr>
          <w:p>
            <w:pPr>
              <w:adjustRightInd w:val="0"/>
              <w:snapToGrid w:val="0"/>
              <w:jc w:val="left"/>
              <w:rPr>
                <w:rFonts w:ascii="宋体" w:hAnsi="宋体"/>
                <w:color w:val="000000" w:themeColor="text1"/>
                <w:sz w:val="24"/>
              </w:rPr>
            </w:pPr>
            <w:r>
              <w:rPr>
                <w:rFonts w:hint="eastAsia" w:ascii="宋体" w:hAnsi="宋体"/>
                <w:color w:val="000000" w:themeColor="text1"/>
                <w:sz w:val="24"/>
              </w:rPr>
              <w:t>□散供养特困人员、低保对象、易返贫致贫人口和脱贫不稳定人口中的中度及以下失能、重度失能老年人</w:t>
            </w:r>
          </w:p>
          <w:p>
            <w:pPr>
              <w:adjustRightInd w:val="0"/>
              <w:snapToGrid w:val="0"/>
              <w:jc w:val="left"/>
              <w:rPr>
                <w:rFonts w:ascii="宋体" w:hAnsi="宋体"/>
                <w:color w:val="000000" w:themeColor="text1"/>
                <w:sz w:val="24"/>
              </w:rPr>
            </w:pPr>
            <w:r>
              <w:rPr>
                <w:rFonts w:hint="eastAsia" w:ascii="宋体" w:hAnsi="宋体"/>
                <w:color w:val="000000" w:themeColor="text1"/>
                <w:sz w:val="24"/>
              </w:rPr>
              <w:t>□其他经济困难的中度及以下失能、重度失能老年人；</w:t>
            </w:r>
          </w:p>
          <w:p>
            <w:pPr>
              <w:adjustRightInd w:val="0"/>
              <w:snapToGrid w:val="0"/>
              <w:ind w:firstLine="2640" w:firstLineChars="1100"/>
              <w:jc w:val="left"/>
              <w:rPr>
                <w:rFonts w:ascii="宋体" w:hAnsi="宋体"/>
                <w:color w:val="000000" w:themeColor="text1"/>
                <w:sz w:val="24"/>
              </w:rPr>
            </w:pPr>
            <w:r>
              <w:rPr>
                <w:rFonts w:hint="eastAsia" w:ascii="宋体" w:hAnsi="宋体"/>
                <w:color w:val="000000" w:themeColor="text1"/>
                <w:sz w:val="24"/>
              </w:rPr>
              <w:t>（在所选的□内打√，并附相关证明材料）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申请建床</w:t>
            </w:r>
          </w:p>
          <w:p>
            <w:pPr>
              <w:adjustRightInd w:val="0"/>
              <w:snapToGrid w:val="0"/>
              <w:jc w:val="center"/>
              <w:rPr>
                <w:rFonts w:ascii="宋体" w:hAnsi="宋体"/>
                <w:color w:val="000000" w:themeColor="text1"/>
                <w:sz w:val="24"/>
              </w:rPr>
            </w:pPr>
            <w:r>
              <w:rPr>
                <w:rFonts w:hint="eastAsia" w:ascii="宋体" w:hAnsi="宋体"/>
                <w:color w:val="000000" w:themeColor="text1"/>
                <w:sz w:val="24"/>
              </w:rPr>
              <w:t>住宅地址</w:t>
            </w:r>
          </w:p>
        </w:tc>
        <w:tc>
          <w:tcPr>
            <w:tcW w:w="7769" w:type="dxa"/>
            <w:gridSpan w:val="7"/>
            <w:vAlign w:val="center"/>
          </w:tcPr>
          <w:p>
            <w:pPr>
              <w:adjustRightInd w:val="0"/>
              <w:snapToGrid w:val="0"/>
              <w:jc w:val="left"/>
              <w:rPr>
                <w:rFonts w:ascii="宋体" w:hAnsi="宋体"/>
                <w:color w:val="000000" w:themeColor="text1"/>
                <w:sz w:val="24"/>
              </w:rPr>
            </w:pPr>
            <w:r>
              <w:rPr>
                <w:rFonts w:hint="eastAsia" w:ascii="宋体" w:hAnsi="宋体"/>
                <w:color w:val="000000" w:themeColor="text1"/>
                <w:sz w:val="24"/>
              </w:rPr>
              <w:t>地址：</w:t>
            </w:r>
          </w:p>
          <w:p>
            <w:pPr>
              <w:adjustRightInd w:val="0"/>
              <w:snapToGrid w:val="0"/>
              <w:jc w:val="left"/>
              <w:rPr>
                <w:rFonts w:ascii="宋体" w:hAnsi="宋体"/>
                <w:color w:val="000000" w:themeColor="text1"/>
                <w:sz w:val="24"/>
              </w:rPr>
            </w:pPr>
          </w:p>
          <w:p>
            <w:pPr>
              <w:adjustRightInd w:val="0"/>
              <w:snapToGrid w:val="0"/>
              <w:ind w:firstLine="960" w:firstLineChars="400"/>
              <w:jc w:val="left"/>
              <w:rPr>
                <w:rFonts w:ascii="宋体" w:hAnsi="宋体"/>
                <w:color w:val="000000" w:themeColor="text1"/>
                <w:sz w:val="24"/>
              </w:rPr>
            </w:pPr>
            <w:r>
              <w:rPr>
                <w:rFonts w:hint="eastAsia" w:ascii="宋体" w:hAnsi="宋体"/>
                <w:color w:val="000000" w:themeColor="text1"/>
                <w:sz w:val="24"/>
              </w:rPr>
              <w:t>是否与户籍地属同一地区：□是/□否（在所选的□内打√）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704" w:type="dxa"/>
            <w:vMerge w:val="restart"/>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申请建床</w:t>
            </w:r>
          </w:p>
          <w:p>
            <w:pPr>
              <w:adjustRightInd w:val="0"/>
              <w:snapToGrid w:val="0"/>
              <w:jc w:val="center"/>
              <w:rPr>
                <w:rFonts w:ascii="宋体" w:hAnsi="宋体"/>
                <w:color w:val="000000" w:themeColor="text1"/>
                <w:sz w:val="24"/>
              </w:rPr>
            </w:pPr>
            <w:r>
              <w:rPr>
                <w:rFonts w:hint="eastAsia" w:ascii="宋体" w:hAnsi="宋体"/>
                <w:color w:val="000000" w:themeColor="text1"/>
                <w:sz w:val="24"/>
              </w:rPr>
              <w:t>住宅情况</w:t>
            </w:r>
          </w:p>
        </w:tc>
        <w:tc>
          <w:tcPr>
            <w:tcW w:w="143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房屋建筑</w:t>
            </w:r>
          </w:p>
          <w:p>
            <w:pPr>
              <w:adjustRightInd w:val="0"/>
              <w:snapToGrid w:val="0"/>
              <w:jc w:val="center"/>
              <w:rPr>
                <w:rFonts w:ascii="宋体" w:hAnsi="宋体"/>
                <w:color w:val="000000" w:themeColor="text1"/>
                <w:sz w:val="24"/>
              </w:rPr>
            </w:pPr>
            <w:r>
              <w:rPr>
                <w:rFonts w:hint="eastAsia" w:ascii="宋体" w:hAnsi="宋体"/>
                <w:color w:val="000000" w:themeColor="text1"/>
                <w:sz w:val="24"/>
              </w:rPr>
              <w:t>面积</w:t>
            </w:r>
          </w:p>
          <w:p>
            <w:pPr>
              <w:adjustRightInd w:val="0"/>
              <w:snapToGrid w:val="0"/>
              <w:jc w:val="center"/>
              <w:rPr>
                <w:rFonts w:ascii="宋体" w:hAnsi="宋体"/>
                <w:color w:val="000000" w:themeColor="text1"/>
                <w:sz w:val="24"/>
              </w:rPr>
            </w:pPr>
            <w:r>
              <w:rPr>
                <w:rFonts w:hint="eastAsia" w:ascii="宋体" w:hAnsi="宋体"/>
                <w:color w:val="000000" w:themeColor="text1"/>
                <w:sz w:val="24"/>
              </w:rPr>
              <w:t>（平方米）</w:t>
            </w:r>
          </w:p>
        </w:tc>
        <w:tc>
          <w:tcPr>
            <w:tcW w:w="1335" w:type="dxa"/>
            <w:gridSpan w:val="3"/>
            <w:vAlign w:val="center"/>
          </w:tcPr>
          <w:p>
            <w:pPr>
              <w:adjustRightInd w:val="0"/>
              <w:snapToGrid w:val="0"/>
              <w:ind w:firstLine="960" w:firstLineChars="400"/>
              <w:jc w:val="left"/>
              <w:rPr>
                <w:rFonts w:ascii="宋体" w:hAnsi="宋体"/>
                <w:color w:val="000000" w:themeColor="text1"/>
                <w:sz w:val="24"/>
              </w:rPr>
            </w:pPr>
          </w:p>
        </w:tc>
        <w:tc>
          <w:tcPr>
            <w:tcW w:w="1305"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接受改</w:t>
            </w:r>
          </w:p>
          <w:p>
            <w:pPr>
              <w:adjustRightInd w:val="0"/>
              <w:snapToGrid w:val="0"/>
              <w:jc w:val="center"/>
              <w:rPr>
                <w:rFonts w:ascii="宋体" w:hAnsi="宋体"/>
                <w:color w:val="000000" w:themeColor="text1"/>
                <w:sz w:val="24"/>
              </w:rPr>
            </w:pPr>
            <w:r>
              <w:rPr>
                <w:rFonts w:hint="eastAsia" w:ascii="宋体" w:hAnsi="宋体"/>
                <w:color w:val="000000" w:themeColor="text1"/>
                <w:sz w:val="24"/>
              </w:rPr>
              <w:t>造情况</w:t>
            </w:r>
          </w:p>
        </w:tc>
        <w:tc>
          <w:tcPr>
            <w:tcW w:w="3695" w:type="dxa"/>
            <w:gridSpan w:val="2"/>
            <w:vAlign w:val="center"/>
          </w:tcPr>
          <w:p>
            <w:pPr>
              <w:adjustRightInd w:val="0"/>
              <w:snapToGrid w:val="0"/>
              <w:rPr>
                <w:rFonts w:ascii="宋体" w:hAnsi="宋体"/>
                <w:color w:val="000000" w:themeColor="text1"/>
                <w:sz w:val="24"/>
              </w:rPr>
            </w:pPr>
            <w:r>
              <w:rPr>
                <w:rFonts w:hint="eastAsia" w:ascii="宋体" w:hAnsi="宋体"/>
                <w:color w:val="000000" w:themeColor="text1"/>
                <w:sz w:val="24"/>
              </w:rPr>
              <w:t>□未接受过任何政府保障改造</w:t>
            </w:r>
          </w:p>
          <w:p>
            <w:pPr>
              <w:adjustRightInd w:val="0"/>
              <w:snapToGrid w:val="0"/>
              <w:rPr>
                <w:rFonts w:ascii="宋体" w:hAnsi="宋体"/>
                <w:color w:val="000000" w:themeColor="text1"/>
                <w:sz w:val="24"/>
              </w:rPr>
            </w:pPr>
            <w:r>
              <w:rPr>
                <w:rFonts w:hint="eastAsia" w:ascii="宋体" w:hAnsi="宋体"/>
                <w:color w:val="000000" w:themeColor="text1"/>
                <w:sz w:val="24"/>
              </w:rPr>
              <w:t>□已享受家庭适老化改造</w:t>
            </w:r>
          </w:p>
          <w:p>
            <w:pPr>
              <w:adjustRightInd w:val="0"/>
              <w:snapToGrid w:val="0"/>
              <w:rPr>
                <w:rFonts w:ascii="宋体" w:hAnsi="宋体"/>
                <w:color w:val="000000" w:themeColor="text1"/>
                <w:sz w:val="24"/>
              </w:rPr>
            </w:pPr>
            <w:r>
              <w:rPr>
                <w:rFonts w:hint="eastAsia" w:ascii="宋体" w:hAnsi="宋体"/>
                <w:color w:val="000000" w:themeColor="text1"/>
                <w:sz w:val="24"/>
              </w:rPr>
              <w:t>□已享受残疾人家庭无障碍改造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4" w:type="dxa"/>
            <w:vMerge w:val="continue"/>
            <w:vAlign w:val="center"/>
          </w:tcPr>
          <w:p>
            <w:pPr>
              <w:adjustRightInd w:val="0"/>
              <w:snapToGrid w:val="0"/>
              <w:jc w:val="center"/>
              <w:rPr>
                <w:rFonts w:ascii="宋体" w:hAnsi="宋体"/>
                <w:color w:val="000000" w:themeColor="text1"/>
                <w:sz w:val="24"/>
              </w:rPr>
            </w:pPr>
          </w:p>
        </w:tc>
        <w:tc>
          <w:tcPr>
            <w:tcW w:w="143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产权人姓名</w:t>
            </w:r>
          </w:p>
        </w:tc>
        <w:tc>
          <w:tcPr>
            <w:tcW w:w="1335" w:type="dxa"/>
            <w:gridSpan w:val="3"/>
            <w:vAlign w:val="center"/>
          </w:tcPr>
          <w:p>
            <w:pPr>
              <w:adjustRightInd w:val="0"/>
              <w:snapToGrid w:val="0"/>
              <w:ind w:firstLine="960" w:firstLineChars="400"/>
              <w:jc w:val="center"/>
              <w:rPr>
                <w:rFonts w:ascii="宋体" w:hAnsi="宋体"/>
                <w:color w:val="000000" w:themeColor="text1"/>
                <w:sz w:val="24"/>
              </w:rPr>
            </w:pPr>
          </w:p>
        </w:tc>
        <w:tc>
          <w:tcPr>
            <w:tcW w:w="1305"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产权人</w:t>
            </w:r>
          </w:p>
          <w:p>
            <w:pPr>
              <w:adjustRightInd w:val="0"/>
              <w:snapToGrid w:val="0"/>
              <w:jc w:val="center"/>
              <w:rPr>
                <w:rFonts w:ascii="宋体" w:hAnsi="宋体"/>
                <w:color w:val="000000" w:themeColor="text1"/>
                <w:sz w:val="24"/>
              </w:rPr>
            </w:pPr>
            <w:r>
              <w:rPr>
                <w:rFonts w:hint="eastAsia" w:ascii="宋体" w:hAnsi="宋体"/>
                <w:color w:val="000000" w:themeColor="text1"/>
                <w:sz w:val="24"/>
              </w:rPr>
              <w:t>联系电话</w:t>
            </w:r>
          </w:p>
        </w:tc>
        <w:tc>
          <w:tcPr>
            <w:tcW w:w="3695" w:type="dxa"/>
            <w:gridSpan w:val="2"/>
            <w:vAlign w:val="center"/>
          </w:tcPr>
          <w:p>
            <w:pPr>
              <w:adjustRightInd w:val="0"/>
              <w:snapToGrid w:val="0"/>
              <w:ind w:firstLine="960" w:firstLineChars="40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4" w:type="dxa"/>
            <w:vMerge w:val="continue"/>
            <w:vAlign w:val="center"/>
          </w:tcPr>
          <w:p>
            <w:pPr>
              <w:adjustRightInd w:val="0"/>
              <w:snapToGrid w:val="0"/>
              <w:jc w:val="center"/>
              <w:rPr>
                <w:rFonts w:ascii="宋体" w:hAnsi="宋体"/>
                <w:color w:val="000000" w:themeColor="text1"/>
                <w:sz w:val="24"/>
              </w:rPr>
            </w:pPr>
          </w:p>
        </w:tc>
        <w:tc>
          <w:tcPr>
            <w:tcW w:w="143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同住人姓名</w:t>
            </w:r>
          </w:p>
        </w:tc>
        <w:tc>
          <w:tcPr>
            <w:tcW w:w="1335" w:type="dxa"/>
            <w:gridSpan w:val="3"/>
            <w:vAlign w:val="center"/>
          </w:tcPr>
          <w:p>
            <w:pPr>
              <w:adjustRightInd w:val="0"/>
              <w:snapToGrid w:val="0"/>
              <w:ind w:firstLine="960" w:firstLineChars="400"/>
              <w:jc w:val="center"/>
              <w:rPr>
                <w:rFonts w:ascii="宋体" w:hAnsi="宋体"/>
                <w:color w:val="000000" w:themeColor="text1"/>
                <w:sz w:val="24"/>
              </w:rPr>
            </w:pPr>
          </w:p>
        </w:tc>
        <w:tc>
          <w:tcPr>
            <w:tcW w:w="1305"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同住人</w:t>
            </w:r>
          </w:p>
          <w:p>
            <w:pPr>
              <w:adjustRightInd w:val="0"/>
              <w:snapToGrid w:val="0"/>
              <w:jc w:val="center"/>
              <w:rPr>
                <w:rFonts w:ascii="宋体" w:hAnsi="宋体"/>
                <w:color w:val="000000" w:themeColor="text1"/>
                <w:sz w:val="24"/>
              </w:rPr>
            </w:pPr>
            <w:r>
              <w:rPr>
                <w:rFonts w:hint="eastAsia" w:ascii="宋体" w:hAnsi="宋体"/>
                <w:color w:val="000000" w:themeColor="text1"/>
                <w:sz w:val="24"/>
              </w:rPr>
              <w:t>联系电话</w:t>
            </w:r>
          </w:p>
        </w:tc>
        <w:tc>
          <w:tcPr>
            <w:tcW w:w="3695" w:type="dxa"/>
            <w:gridSpan w:val="2"/>
            <w:vAlign w:val="center"/>
          </w:tcPr>
          <w:p>
            <w:pPr>
              <w:adjustRightInd w:val="0"/>
              <w:snapToGrid w:val="0"/>
              <w:ind w:firstLine="960" w:firstLineChars="400"/>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申请人</w:t>
            </w:r>
          </w:p>
          <w:p>
            <w:pPr>
              <w:adjustRightInd w:val="0"/>
              <w:snapToGrid w:val="0"/>
              <w:jc w:val="center"/>
              <w:rPr>
                <w:rFonts w:ascii="宋体" w:hAnsi="宋体"/>
                <w:color w:val="000000" w:themeColor="text1"/>
                <w:sz w:val="24"/>
              </w:rPr>
            </w:pPr>
            <w:r>
              <w:rPr>
                <w:rFonts w:hint="eastAsia" w:ascii="宋体" w:hAnsi="宋体"/>
                <w:color w:val="000000" w:themeColor="text1"/>
                <w:sz w:val="24"/>
              </w:rPr>
              <w:t>（代办人）</w:t>
            </w:r>
          </w:p>
          <w:p>
            <w:pPr>
              <w:adjustRightInd w:val="0"/>
              <w:snapToGrid w:val="0"/>
              <w:jc w:val="center"/>
              <w:rPr>
                <w:rFonts w:ascii="宋体" w:hAnsi="宋体"/>
                <w:color w:val="000000" w:themeColor="text1"/>
                <w:sz w:val="24"/>
              </w:rPr>
            </w:pPr>
            <w:r>
              <w:rPr>
                <w:rFonts w:hint="eastAsia" w:ascii="宋体" w:hAnsi="宋体"/>
                <w:color w:val="000000" w:themeColor="text1"/>
                <w:sz w:val="24"/>
              </w:rPr>
              <w:t>确认</w:t>
            </w:r>
          </w:p>
        </w:tc>
        <w:tc>
          <w:tcPr>
            <w:tcW w:w="7769" w:type="dxa"/>
            <w:gridSpan w:val="7"/>
            <w:vAlign w:val="center"/>
          </w:tcPr>
          <w:p>
            <w:pPr>
              <w:adjustRightInd w:val="0"/>
              <w:snapToGrid w:val="0"/>
              <w:ind w:firstLine="480" w:firstLineChars="200"/>
              <w:rPr>
                <w:rFonts w:ascii="宋体" w:hAnsi="宋体"/>
                <w:color w:val="000000" w:themeColor="text1"/>
                <w:sz w:val="24"/>
              </w:rPr>
            </w:pPr>
            <w:r>
              <w:rPr>
                <w:rFonts w:hint="eastAsia" w:ascii="宋体" w:hAnsi="宋体"/>
                <w:color w:val="000000" w:themeColor="text1"/>
                <w:sz w:val="24"/>
              </w:rPr>
              <w:t>本人自愿申请建设家庭养老床位，提供证明材料真实有效。同意并遵守政府相关补助规定，自愿接受必要的信息化建设和服务，履行相关协议合同。</w:t>
            </w:r>
          </w:p>
          <w:p>
            <w:pPr>
              <w:adjustRightInd w:val="0"/>
              <w:snapToGrid w:val="0"/>
              <w:ind w:firstLine="4800" w:firstLineChars="2000"/>
              <w:rPr>
                <w:rFonts w:ascii="宋体" w:hAnsi="宋体"/>
                <w:color w:val="000000" w:themeColor="text1"/>
                <w:sz w:val="24"/>
              </w:rPr>
            </w:pPr>
            <w:r>
              <w:rPr>
                <w:rFonts w:hint="eastAsia" w:ascii="宋体" w:hAnsi="宋体"/>
                <w:color w:val="000000" w:themeColor="text1"/>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704" w:type="dxa"/>
            <w:vAlign w:val="center"/>
          </w:tcPr>
          <w:p>
            <w:pPr>
              <w:adjustRightInd w:val="0"/>
              <w:snapToGrid w:val="0"/>
              <w:jc w:val="center"/>
              <w:rPr>
                <w:rFonts w:ascii="宋体" w:hAnsi="宋体"/>
                <w:color w:val="000000" w:themeColor="text1"/>
                <w:sz w:val="24"/>
              </w:rPr>
            </w:pPr>
            <w:r>
              <w:rPr>
                <w:rFonts w:hint="eastAsia" w:ascii="宋体" w:hAnsi="宋体"/>
                <w:color w:val="000000" w:themeColor="text1"/>
                <w:sz w:val="24"/>
              </w:rPr>
              <w:t>产权人确认</w:t>
            </w:r>
          </w:p>
        </w:tc>
        <w:tc>
          <w:tcPr>
            <w:tcW w:w="7769" w:type="dxa"/>
            <w:gridSpan w:val="7"/>
            <w:vAlign w:val="center"/>
          </w:tcPr>
          <w:p>
            <w:pPr>
              <w:adjustRightInd w:val="0"/>
              <w:snapToGrid w:val="0"/>
              <w:ind w:firstLine="480" w:firstLineChars="200"/>
              <w:rPr>
                <w:rFonts w:ascii="宋体" w:hAnsi="宋体"/>
                <w:color w:val="000000" w:themeColor="text1"/>
                <w:sz w:val="24"/>
              </w:rPr>
            </w:pPr>
            <w:r>
              <w:rPr>
                <w:rFonts w:hint="eastAsia" w:ascii="宋体" w:hAnsi="宋体"/>
                <w:color w:val="000000" w:themeColor="text1"/>
                <w:sz w:val="24"/>
              </w:rPr>
              <w:t xml:space="preserve">本人作为房屋产权人，自愿接受相关机构对该住宅进行必要的适老化智能化改造，履行相关协议合同。     </w:t>
            </w:r>
          </w:p>
          <w:p>
            <w:pPr>
              <w:adjustRightInd w:val="0"/>
              <w:snapToGrid w:val="0"/>
              <w:ind w:firstLine="4800" w:firstLineChars="2000"/>
              <w:rPr>
                <w:rFonts w:ascii="宋体" w:hAnsi="宋体"/>
                <w:color w:val="000000" w:themeColor="text1"/>
                <w:sz w:val="24"/>
              </w:rPr>
            </w:pPr>
            <w:r>
              <w:rPr>
                <w:rFonts w:hint="eastAsia" w:ascii="宋体" w:hAnsi="宋体"/>
                <w:color w:val="000000" w:themeColor="text1"/>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adjustRightInd w:val="0"/>
              <w:snapToGrid w:val="0"/>
              <w:spacing w:line="360" w:lineRule="auto"/>
              <w:jc w:val="center"/>
              <w:rPr>
                <w:rFonts w:ascii="宋体" w:hAnsi="宋体"/>
                <w:color w:val="000000" w:themeColor="text1"/>
                <w:sz w:val="24"/>
              </w:rPr>
            </w:pPr>
            <w:r>
              <w:rPr>
                <w:rFonts w:hint="eastAsia" w:ascii="宋体" w:hAnsi="宋体"/>
                <w:color w:val="000000" w:themeColor="text1"/>
                <w:sz w:val="24"/>
              </w:rPr>
              <w:t>村（居）初审</w:t>
            </w:r>
          </w:p>
        </w:tc>
        <w:tc>
          <w:tcPr>
            <w:tcW w:w="7769" w:type="dxa"/>
            <w:gridSpan w:val="7"/>
            <w:vAlign w:val="center"/>
          </w:tcPr>
          <w:p>
            <w:pPr>
              <w:adjustRightInd w:val="0"/>
              <w:snapToGrid w:val="0"/>
              <w:spacing w:line="360" w:lineRule="auto"/>
              <w:ind w:firstLine="4800" w:firstLineChars="20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04" w:type="dxa"/>
            <w:vAlign w:val="center"/>
          </w:tcPr>
          <w:p>
            <w:pPr>
              <w:adjustRightInd w:val="0"/>
              <w:snapToGrid w:val="0"/>
              <w:spacing w:line="360" w:lineRule="auto"/>
              <w:jc w:val="center"/>
              <w:rPr>
                <w:rFonts w:ascii="宋体" w:hAnsi="宋体"/>
                <w:color w:val="000000" w:themeColor="text1"/>
                <w:sz w:val="24"/>
              </w:rPr>
            </w:pPr>
            <w:r>
              <w:rPr>
                <w:rFonts w:hint="eastAsia" w:ascii="宋体" w:hAnsi="宋体"/>
                <w:color w:val="000000" w:themeColor="text1"/>
                <w:sz w:val="24"/>
              </w:rPr>
              <w:t>乡镇审核</w:t>
            </w:r>
          </w:p>
        </w:tc>
        <w:tc>
          <w:tcPr>
            <w:tcW w:w="7769" w:type="dxa"/>
            <w:gridSpan w:val="7"/>
            <w:vAlign w:val="center"/>
          </w:tcPr>
          <w:p>
            <w:pPr>
              <w:adjustRightInd w:val="0"/>
              <w:snapToGrid w:val="0"/>
              <w:spacing w:line="360" w:lineRule="auto"/>
              <w:ind w:firstLine="4800" w:firstLineChars="20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04" w:type="dxa"/>
            <w:vAlign w:val="center"/>
          </w:tcPr>
          <w:p>
            <w:pPr>
              <w:adjustRightInd w:val="0"/>
              <w:snapToGrid w:val="0"/>
              <w:spacing w:line="360" w:lineRule="auto"/>
              <w:jc w:val="center"/>
              <w:rPr>
                <w:rFonts w:ascii="宋体" w:hAnsi="宋体"/>
                <w:color w:val="000000" w:themeColor="text1"/>
                <w:sz w:val="24"/>
              </w:rPr>
            </w:pPr>
            <w:r>
              <w:rPr>
                <w:rFonts w:hint="eastAsia" w:ascii="宋体" w:hAnsi="宋体"/>
                <w:color w:val="000000" w:themeColor="text1"/>
                <w:sz w:val="24"/>
              </w:rPr>
              <w:t>县民政局审批</w:t>
            </w:r>
          </w:p>
        </w:tc>
        <w:tc>
          <w:tcPr>
            <w:tcW w:w="7769" w:type="dxa"/>
            <w:gridSpan w:val="7"/>
            <w:vAlign w:val="center"/>
          </w:tcPr>
          <w:p>
            <w:pPr>
              <w:adjustRightInd w:val="0"/>
              <w:snapToGrid w:val="0"/>
              <w:spacing w:line="360" w:lineRule="auto"/>
              <w:ind w:firstLine="4800" w:firstLineChars="2000"/>
              <w:rPr>
                <w:rFonts w:ascii="宋体" w:hAnsi="宋体"/>
                <w:color w:val="000000" w:themeColor="text1"/>
                <w:sz w:val="24"/>
              </w:rPr>
            </w:pPr>
          </w:p>
        </w:tc>
      </w:tr>
    </w:tbl>
    <w:p>
      <w:pPr>
        <w:pStyle w:val="7"/>
        <w:kinsoku w:val="0"/>
        <w:overflowPunct w:val="0"/>
        <w:spacing w:line="440" w:lineRule="exact"/>
        <w:ind w:left="0"/>
        <w:rPr>
          <w:rFonts w:hint="default" w:hAnsi="宋体" w:eastAsia="黑体" w:cs="黑体"/>
          <w:color w:val="000000" w:themeColor="text1"/>
          <w:sz w:val="24"/>
        </w:rPr>
      </w:pPr>
      <w:r>
        <w:rPr>
          <w:rFonts w:hAnsi="宋体" w:eastAsia="黑体" w:cs="黑体"/>
          <w:color w:val="000000" w:themeColor="text1"/>
          <w:sz w:val="32"/>
          <w:szCs w:val="32"/>
        </w:rPr>
        <w:br w:type="page"/>
      </w:r>
      <w:r>
        <w:rPr>
          <w:rFonts w:ascii="黑体" w:hAnsi="黑体" w:eastAsia="黑体"/>
          <w:color w:val="000000" w:themeColor="text1"/>
          <w:sz w:val="32"/>
          <w:szCs w:val="32"/>
        </w:rPr>
        <w:t>附件7</w:t>
      </w:r>
    </w:p>
    <w:p>
      <w:pPr>
        <w:adjustRightInd w:val="0"/>
        <w:snapToGrid w:val="0"/>
        <w:ind w:left="4320" w:hanging="4320" w:hangingChars="1200"/>
        <w:rPr>
          <w:rFonts w:ascii="宋体" w:hAnsi="宋体" w:eastAsia="方正小标宋简体" w:cs="方正小标宋简体"/>
          <w:bCs/>
          <w:color w:val="000000" w:themeColor="text1"/>
          <w:sz w:val="36"/>
          <w:szCs w:val="36"/>
          <w:shd w:val="clear" w:color="auto" w:fill="FFFFFF"/>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建宁县政府购买居家养老上门服务</w:t>
      </w: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补贴申请审批表</w:t>
      </w:r>
    </w:p>
    <w:p>
      <w:pPr>
        <w:adjustRightInd w:val="0"/>
        <w:snapToGrid w:val="0"/>
        <w:ind w:firstLine="4200" w:firstLineChars="1500"/>
        <w:rPr>
          <w:rFonts w:ascii="宋体" w:hAnsi="宋体" w:eastAsia="仿宋"/>
          <w:color w:val="000000" w:themeColor="text1"/>
          <w:sz w:val="28"/>
          <w:szCs w:val="28"/>
        </w:rPr>
      </w:pPr>
      <w:r>
        <w:rPr>
          <w:rFonts w:hint="eastAsia" w:ascii="宋体" w:hAnsi="宋体" w:eastAsia="仿宋"/>
          <w:color w:val="000000" w:themeColor="text1"/>
          <w:sz w:val="28"/>
          <w:szCs w:val="28"/>
        </w:rPr>
        <w:t>填表时间：</w:t>
      </w:r>
      <w:r>
        <w:rPr>
          <w:rFonts w:hint="eastAsia" w:ascii="宋体" w:hAnsi="宋体" w:eastAsia="仿宋"/>
          <w:color w:val="000000" w:themeColor="text1"/>
          <w:sz w:val="28"/>
          <w:szCs w:val="28"/>
          <w:u w:val="single"/>
        </w:rPr>
        <w:t xml:space="preserve">      </w:t>
      </w:r>
      <w:r>
        <w:rPr>
          <w:rFonts w:hint="eastAsia" w:ascii="宋体" w:hAnsi="宋体" w:eastAsia="仿宋"/>
          <w:color w:val="000000" w:themeColor="text1"/>
          <w:sz w:val="28"/>
          <w:szCs w:val="28"/>
        </w:rPr>
        <w:t>年</w:t>
      </w:r>
      <w:r>
        <w:rPr>
          <w:rFonts w:hint="eastAsia" w:ascii="宋体" w:hAnsi="宋体" w:eastAsia="仿宋"/>
          <w:color w:val="000000" w:themeColor="text1"/>
          <w:sz w:val="28"/>
          <w:szCs w:val="28"/>
          <w:u w:val="single"/>
        </w:rPr>
        <w:t xml:space="preserve">     </w:t>
      </w:r>
      <w:r>
        <w:rPr>
          <w:rFonts w:hint="eastAsia" w:ascii="宋体" w:hAnsi="宋体" w:eastAsia="仿宋"/>
          <w:color w:val="000000" w:themeColor="text1"/>
          <w:sz w:val="28"/>
          <w:szCs w:val="28"/>
        </w:rPr>
        <w:t>月</w:t>
      </w:r>
      <w:r>
        <w:rPr>
          <w:rFonts w:hint="eastAsia" w:ascii="宋体" w:hAnsi="宋体" w:eastAsia="仿宋"/>
          <w:color w:val="000000" w:themeColor="text1"/>
          <w:sz w:val="28"/>
          <w:szCs w:val="28"/>
          <w:u w:val="single"/>
        </w:rPr>
        <w:t xml:space="preserve">    </w:t>
      </w:r>
      <w:r>
        <w:rPr>
          <w:rFonts w:hint="eastAsia" w:ascii="宋体" w:hAnsi="宋体" w:eastAsia="仿宋"/>
          <w:color w:val="000000" w:themeColor="text1"/>
          <w:sz w:val="28"/>
          <w:szCs w:val="28"/>
        </w:rPr>
        <w:t>日</w:t>
      </w:r>
    </w:p>
    <w:tbl>
      <w:tblPr>
        <w:tblStyle w:val="12"/>
        <w:tblpPr w:leftFromText="180" w:rightFromText="180" w:vertAnchor="text" w:horzAnchor="page" w:tblpXSpec="center" w:tblpY="267"/>
        <w:tblOverlap w:val="never"/>
        <w:tblW w:w="985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15"/>
        <w:gridCol w:w="879"/>
        <w:gridCol w:w="299"/>
        <w:gridCol w:w="600"/>
        <w:gridCol w:w="672"/>
        <w:gridCol w:w="158"/>
        <w:gridCol w:w="442"/>
        <w:gridCol w:w="650"/>
        <w:gridCol w:w="204"/>
        <w:gridCol w:w="840"/>
        <w:gridCol w:w="394"/>
        <w:gridCol w:w="1080"/>
        <w:gridCol w:w="650"/>
        <w:gridCol w:w="1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2"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申请人姓名</w:t>
            </w:r>
          </w:p>
        </w:tc>
        <w:tc>
          <w:tcPr>
            <w:tcW w:w="117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 </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性别</w:t>
            </w:r>
          </w:p>
        </w:tc>
        <w:tc>
          <w:tcPr>
            <w:tcW w:w="6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 </w:t>
            </w:r>
          </w:p>
        </w:tc>
        <w:tc>
          <w:tcPr>
            <w:tcW w:w="6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年龄</w:t>
            </w:r>
          </w:p>
        </w:tc>
        <w:tc>
          <w:tcPr>
            <w:tcW w:w="6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 </w:t>
            </w:r>
          </w:p>
        </w:tc>
        <w:tc>
          <w:tcPr>
            <w:tcW w:w="104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身份证号</w:t>
            </w:r>
          </w:p>
        </w:tc>
        <w:tc>
          <w:tcPr>
            <w:tcW w:w="2124"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 </w:t>
            </w:r>
          </w:p>
        </w:tc>
        <w:tc>
          <w:tcPr>
            <w:tcW w:w="1476" w:type="dxa"/>
            <w:vMerge w:val="restart"/>
            <w:tcBorders>
              <w:top w:val="single" w:color="000000" w:sz="6" w:space="0"/>
              <w:left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照片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户籍地址</w:t>
            </w:r>
          </w:p>
        </w:tc>
        <w:tc>
          <w:tcPr>
            <w:tcW w:w="6868" w:type="dxa"/>
            <w:gridSpan w:val="1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c>
          <w:tcPr>
            <w:tcW w:w="1476" w:type="dxa"/>
            <w:vMerge w:val="continue"/>
            <w:tcBorders>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现居住地址</w:t>
            </w:r>
          </w:p>
        </w:tc>
        <w:tc>
          <w:tcPr>
            <w:tcW w:w="6868" w:type="dxa"/>
            <w:gridSpan w:val="1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c>
          <w:tcPr>
            <w:tcW w:w="1476" w:type="dxa"/>
            <w:vMerge w:val="continue"/>
            <w:tcBorders>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2"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能力评估</w:t>
            </w:r>
          </w:p>
        </w:tc>
        <w:tc>
          <w:tcPr>
            <w:tcW w:w="6868" w:type="dxa"/>
            <w:gridSpan w:val="1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 xml:space="preserve">□基本正常  □轻度失能  □中度失能  □重度失能  □未评估 </w:t>
            </w:r>
          </w:p>
        </w:tc>
        <w:tc>
          <w:tcPr>
            <w:tcW w:w="1476" w:type="dxa"/>
            <w:vMerge w:val="continue"/>
            <w:tcBorders>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11"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申请人</w:t>
            </w:r>
          </w:p>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身份类别</w:t>
            </w:r>
          </w:p>
        </w:tc>
        <w:tc>
          <w:tcPr>
            <w:tcW w:w="8344" w:type="dxa"/>
            <w:gridSpan w:val="1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□低保对象中的老年人；</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□计划生育特殊家庭中的老年人；</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□重度残疾人中的老年人；</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□易返贫致贫人口和脱贫不稳定人口中的老年人；</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□重点优抚对象中的老年人；</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□80周岁及以上未领取机关企事业单位退休金的老年人。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15" w:hRule="atLeast"/>
          <w:jc w:val="center"/>
        </w:trPr>
        <w:tc>
          <w:tcPr>
            <w:tcW w:w="1515" w:type="dxa"/>
            <w:vMerge w:val="restart"/>
            <w:tcBorders>
              <w:top w:val="single" w:color="000000" w:sz="6" w:space="0"/>
              <w:left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申请补贴</w:t>
            </w:r>
          </w:p>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类别</w:t>
            </w:r>
          </w:p>
        </w:tc>
        <w:tc>
          <w:tcPr>
            <w:tcW w:w="3904" w:type="dxa"/>
            <w:gridSpan w:val="8"/>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b/>
                <w:bCs/>
                <w:color w:val="000000" w:themeColor="text1"/>
                <w:sz w:val="21"/>
                <w:szCs w:val="21"/>
              </w:rPr>
            </w:pPr>
            <w:r>
              <w:rPr>
                <w:rFonts w:hint="eastAsia" w:ascii="宋体" w:hAnsi="宋体"/>
                <w:color w:val="000000" w:themeColor="text1"/>
                <w:sz w:val="21"/>
                <w:szCs w:val="21"/>
              </w:rPr>
              <w:t>紧急救援、巡访关爱和居家养老上门服务补贴</w:t>
            </w:r>
          </w:p>
        </w:tc>
        <w:tc>
          <w:tcPr>
            <w:tcW w:w="4440"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b/>
                <w:bCs/>
                <w:color w:val="000000" w:themeColor="text1"/>
                <w:sz w:val="21"/>
                <w:szCs w:val="21"/>
              </w:rPr>
            </w:pPr>
            <w:r>
              <w:rPr>
                <w:rFonts w:hint="eastAsia" w:ascii="宋体" w:hAnsi="宋体"/>
                <w:color w:val="000000" w:themeColor="text1"/>
                <w:sz w:val="21"/>
                <w:szCs w:val="21"/>
              </w:rPr>
              <w:t>失能老年人护理服务补贴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7" w:hRule="atLeast"/>
          <w:jc w:val="center"/>
        </w:trPr>
        <w:tc>
          <w:tcPr>
            <w:tcW w:w="1515" w:type="dxa"/>
            <w:vMerge w:val="continue"/>
            <w:tcBorders>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p>
        </w:tc>
        <w:tc>
          <w:tcPr>
            <w:tcW w:w="3904" w:type="dxa"/>
            <w:gridSpan w:val="8"/>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w:t>
            </w:r>
          </w:p>
        </w:tc>
        <w:tc>
          <w:tcPr>
            <w:tcW w:w="4440"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3"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联系人（或代理人）</w:t>
            </w:r>
          </w:p>
        </w:tc>
        <w:tc>
          <w:tcPr>
            <w:tcW w:w="8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姓名</w:t>
            </w:r>
          </w:p>
        </w:tc>
        <w:tc>
          <w:tcPr>
            <w:tcW w:w="1729"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c>
          <w:tcPr>
            <w:tcW w:w="129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与本人关系</w:t>
            </w:r>
          </w:p>
        </w:tc>
        <w:tc>
          <w:tcPr>
            <w:tcW w:w="123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联系电话</w:t>
            </w:r>
          </w:p>
        </w:tc>
        <w:tc>
          <w:tcPr>
            <w:tcW w:w="2126"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sz w:val="21"/>
                <w:szCs w:val="21"/>
              </w:rPr>
            </w:pPr>
            <w:r>
              <w:rPr>
                <w:rFonts w:hint="eastAsia" w:ascii="宋体" w:hAnsi="宋体"/>
                <w:color w:val="000000" w:themeColor="text1"/>
                <w:sz w:val="21"/>
                <w:szCs w:val="21"/>
              </w:rPr>
              <w:t>提交申请人材料目录</w:t>
            </w:r>
          </w:p>
        </w:tc>
        <w:tc>
          <w:tcPr>
            <w:tcW w:w="8344" w:type="dxa"/>
            <w:gridSpan w:val="1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□身份证复印件</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□户口簿首页及个人页复印件</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□与申请身份相对应的资格证明材料</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□能力评估证明材料</w:t>
            </w:r>
          </w:p>
          <w:p>
            <w:pPr>
              <w:adjustRightInd w:val="0"/>
              <w:snapToGrid w:val="0"/>
              <w:spacing w:line="280" w:lineRule="exact"/>
              <w:rPr>
                <w:rFonts w:ascii="宋体" w:hAnsi="宋体"/>
                <w:color w:val="000000" w:themeColor="text1"/>
                <w:sz w:val="21"/>
                <w:szCs w:val="21"/>
              </w:rPr>
            </w:pPr>
            <w:r>
              <w:rPr>
                <w:rFonts w:hint="eastAsia" w:ascii="宋体" w:hAnsi="宋体"/>
                <w:color w:val="000000" w:themeColor="text1"/>
                <w:sz w:val="21"/>
                <w:szCs w:val="21"/>
              </w:rPr>
              <w:t>□其他证明材料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59" w:type="dxa"/>
            <w:gridSpan w:val="14"/>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rPr>
                <w:rFonts w:ascii="宋体" w:hAnsi="宋体"/>
                <w:color w:val="000000" w:themeColor="text1"/>
                <w:sz w:val="21"/>
                <w:szCs w:val="21"/>
                <w:u w:val="single"/>
              </w:rPr>
            </w:pPr>
            <w:r>
              <w:rPr>
                <w:rFonts w:hint="eastAsia" w:ascii="宋体" w:hAnsi="宋体"/>
                <w:color w:val="000000" w:themeColor="text1"/>
                <w:sz w:val="21"/>
                <w:szCs w:val="21"/>
              </w:rPr>
              <w:t>申请人其他需说明情况</w:t>
            </w:r>
            <w:r>
              <w:rPr>
                <w:rFonts w:hint="eastAsia" w:ascii="宋体" w:hAnsi="宋体"/>
                <w:color w:val="000000" w:themeColor="text1"/>
                <w:sz w:val="21"/>
                <w:szCs w:val="21"/>
                <w:u w:val="single"/>
              </w:rPr>
              <w:t xml:space="preserve">                                                            </w:t>
            </w:r>
          </w:p>
          <w:p>
            <w:pPr>
              <w:adjustRightInd w:val="0"/>
              <w:snapToGrid w:val="0"/>
              <w:spacing w:line="280" w:lineRule="exact"/>
              <w:rPr>
                <w:rFonts w:ascii="宋体" w:hAnsi="宋体"/>
                <w:color w:val="000000" w:themeColor="text1"/>
                <w:sz w:val="21"/>
                <w:szCs w:val="21"/>
                <w:u w:val="single"/>
              </w:rPr>
            </w:pPr>
          </w:p>
          <w:p>
            <w:pPr>
              <w:adjustRightInd w:val="0"/>
              <w:snapToGrid w:val="0"/>
              <w:spacing w:line="280" w:lineRule="exact"/>
              <w:ind w:firstLine="5880" w:firstLineChars="2800"/>
              <w:rPr>
                <w:rFonts w:ascii="宋体" w:hAnsi="宋体"/>
                <w:color w:val="000000" w:themeColor="text1"/>
                <w:sz w:val="21"/>
                <w:szCs w:val="21"/>
              </w:rPr>
            </w:pPr>
            <w:r>
              <w:rPr>
                <w:rFonts w:hint="eastAsia" w:ascii="宋体" w:hAnsi="宋体"/>
                <w:color w:val="000000" w:themeColor="text1"/>
                <w:sz w:val="21"/>
                <w:szCs w:val="21"/>
              </w:rPr>
              <w:t>申请人（或代理人）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tcW w:w="1515" w:type="dxa"/>
            <w:tcBorders>
              <w:top w:val="single" w:color="000000" w:sz="6" w:space="0"/>
              <w:left w:val="single" w:color="000000" w:sz="6" w:space="0"/>
              <w:bottom w:val="single" w:color="000000" w:sz="6" w:space="0"/>
              <w:right w:val="single" w:color="auto" w:sz="4"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kern w:val="2"/>
                <w:sz w:val="21"/>
                <w:szCs w:val="21"/>
              </w:rPr>
            </w:pPr>
            <w:r>
              <w:rPr>
                <w:rFonts w:hint="eastAsia" w:ascii="宋体" w:hAnsi="宋体"/>
                <w:color w:val="000000" w:themeColor="text1"/>
                <w:sz w:val="21"/>
                <w:szCs w:val="21"/>
              </w:rPr>
              <w:t>村（居）初审</w:t>
            </w:r>
          </w:p>
        </w:tc>
        <w:tc>
          <w:tcPr>
            <w:tcW w:w="8344" w:type="dxa"/>
            <w:gridSpan w:val="13"/>
            <w:tcBorders>
              <w:top w:val="single" w:color="000000" w:sz="6" w:space="0"/>
              <w:left w:val="single" w:color="auto" w:sz="4"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ind w:firstLine="5880" w:firstLineChars="2800"/>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1515" w:type="dxa"/>
            <w:tcBorders>
              <w:top w:val="single" w:color="000000" w:sz="6" w:space="0"/>
              <w:left w:val="single" w:color="000000" w:sz="6" w:space="0"/>
              <w:bottom w:val="single" w:color="000000" w:sz="6" w:space="0"/>
              <w:right w:val="single" w:color="auto" w:sz="4"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kern w:val="2"/>
                <w:sz w:val="21"/>
                <w:szCs w:val="21"/>
              </w:rPr>
            </w:pPr>
            <w:r>
              <w:rPr>
                <w:rFonts w:hint="eastAsia" w:ascii="宋体" w:hAnsi="宋体"/>
                <w:color w:val="000000" w:themeColor="text1"/>
                <w:sz w:val="21"/>
                <w:szCs w:val="21"/>
              </w:rPr>
              <w:t>乡镇审核</w:t>
            </w:r>
          </w:p>
        </w:tc>
        <w:tc>
          <w:tcPr>
            <w:tcW w:w="8344" w:type="dxa"/>
            <w:gridSpan w:val="13"/>
            <w:tcBorders>
              <w:top w:val="single" w:color="000000" w:sz="6" w:space="0"/>
              <w:left w:val="single" w:color="auto" w:sz="4"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ind w:firstLine="5880" w:firstLineChars="2800"/>
              <w:rPr>
                <w:rFonts w:ascii="宋体" w:hAnsi="宋体"/>
                <w:color w:val="000000" w:themeColor="text1"/>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515" w:type="dxa"/>
            <w:tcBorders>
              <w:top w:val="single" w:color="000000" w:sz="6" w:space="0"/>
              <w:left w:val="single" w:color="000000" w:sz="6" w:space="0"/>
              <w:bottom w:val="single" w:color="000000" w:sz="6" w:space="0"/>
              <w:right w:val="single" w:color="auto" w:sz="4" w:space="0"/>
            </w:tcBorders>
            <w:shd w:val="clear" w:color="auto" w:fill="FFFFFF"/>
            <w:tcMar>
              <w:top w:w="75" w:type="dxa"/>
              <w:left w:w="75" w:type="dxa"/>
              <w:bottom w:w="75" w:type="dxa"/>
              <w:right w:w="75" w:type="dxa"/>
            </w:tcMar>
            <w:vAlign w:val="center"/>
          </w:tcPr>
          <w:p>
            <w:pPr>
              <w:adjustRightInd w:val="0"/>
              <w:snapToGrid w:val="0"/>
              <w:spacing w:line="280" w:lineRule="exact"/>
              <w:jc w:val="center"/>
              <w:rPr>
                <w:rFonts w:ascii="宋体" w:hAnsi="宋体"/>
                <w:color w:val="000000" w:themeColor="text1"/>
                <w:kern w:val="2"/>
                <w:sz w:val="21"/>
                <w:szCs w:val="21"/>
              </w:rPr>
            </w:pPr>
            <w:r>
              <w:rPr>
                <w:rFonts w:hint="eastAsia" w:ascii="宋体" w:hAnsi="宋体"/>
                <w:color w:val="000000" w:themeColor="text1"/>
                <w:sz w:val="21"/>
                <w:szCs w:val="21"/>
              </w:rPr>
              <w:t>县民政局审批</w:t>
            </w:r>
          </w:p>
        </w:tc>
        <w:tc>
          <w:tcPr>
            <w:tcW w:w="8344" w:type="dxa"/>
            <w:gridSpan w:val="13"/>
            <w:tcBorders>
              <w:top w:val="single" w:color="000000" w:sz="6" w:space="0"/>
              <w:left w:val="single" w:color="auto" w:sz="4" w:space="0"/>
              <w:bottom w:val="single" w:color="000000" w:sz="6" w:space="0"/>
              <w:right w:val="single" w:color="000000" w:sz="6" w:space="0"/>
            </w:tcBorders>
            <w:shd w:val="clear" w:color="auto" w:fill="FFFFFF"/>
            <w:tcMar>
              <w:top w:w="75" w:type="dxa"/>
              <w:left w:w="75" w:type="dxa"/>
              <w:bottom w:w="75" w:type="dxa"/>
              <w:right w:w="75" w:type="dxa"/>
            </w:tcMar>
            <w:vAlign w:val="center"/>
          </w:tcPr>
          <w:p>
            <w:pPr>
              <w:adjustRightInd w:val="0"/>
              <w:snapToGrid w:val="0"/>
              <w:spacing w:line="280" w:lineRule="exact"/>
              <w:ind w:firstLine="5880" w:firstLineChars="2800"/>
              <w:rPr>
                <w:rFonts w:ascii="宋体" w:hAnsi="宋体"/>
                <w:color w:val="000000" w:themeColor="text1"/>
                <w:sz w:val="21"/>
                <w:szCs w:val="21"/>
              </w:rPr>
            </w:pPr>
          </w:p>
        </w:tc>
      </w:tr>
    </w:tbl>
    <w:p>
      <w:pPr>
        <w:pStyle w:val="7"/>
        <w:kinsoku w:val="0"/>
        <w:overflowPunct w:val="0"/>
        <w:spacing w:line="440" w:lineRule="exact"/>
        <w:ind w:left="0"/>
        <w:rPr>
          <w:rFonts w:hint="default" w:hAnsi="宋体" w:eastAsia="黑体" w:cs="黑体"/>
          <w:color w:val="000000" w:themeColor="text1"/>
          <w:sz w:val="32"/>
          <w:szCs w:val="32"/>
          <w:shd w:val="clear" w:color="auto" w:fill="FFFFFF"/>
        </w:rPr>
      </w:pPr>
      <w:r>
        <w:rPr>
          <w:rFonts w:ascii="黑体" w:hAnsi="黑体" w:eastAsia="黑体"/>
          <w:color w:val="000000" w:themeColor="text1"/>
          <w:sz w:val="32"/>
          <w:szCs w:val="32"/>
        </w:rPr>
        <w:t xml:space="preserve">附件8 </w:t>
      </w:r>
      <w:r>
        <w:rPr>
          <w:rFonts w:hAnsi="宋体" w:eastAsia="黑体"/>
          <w:color w:val="000000" w:themeColor="text1"/>
          <w:sz w:val="32"/>
          <w:szCs w:val="32"/>
        </w:rPr>
        <w:t xml:space="preserve"> </w:t>
      </w:r>
      <w:r>
        <w:rPr>
          <w:rFonts w:hAnsi="宋体" w:eastAsia="黑体" w:cs="黑体"/>
          <w:color w:val="000000" w:themeColor="text1"/>
          <w:sz w:val="32"/>
          <w:szCs w:val="32"/>
          <w:shd w:val="clear" w:color="auto" w:fill="FFFFFF"/>
        </w:rPr>
        <w:t xml:space="preserve">       </w:t>
      </w:r>
    </w:p>
    <w:p>
      <w:pPr>
        <w:pStyle w:val="7"/>
        <w:kinsoku w:val="0"/>
        <w:overflowPunct w:val="0"/>
        <w:spacing w:line="520" w:lineRule="exact"/>
        <w:ind w:left="0"/>
        <w:jc w:val="center"/>
        <w:rPr>
          <w:rFonts w:hint="default" w:ascii="方正小标宋简体" w:hAnsi="方正小标宋简体" w:eastAsia="方正小标宋简体" w:cs="方正小标宋简体"/>
          <w:color w:val="000000" w:themeColor="text1"/>
          <w:sz w:val="44"/>
          <w:szCs w:val="44"/>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ascii="方正小标宋简体" w:hAnsi="方正小标宋简体" w:eastAsia="方正小标宋简体" w:cs="方正小标宋简体"/>
          <w:color w:val="000000" w:themeColor="text1"/>
          <w:sz w:val="44"/>
          <w:szCs w:val="44"/>
        </w:rPr>
        <w:t>建宁县家庭养老床位建床协议</w:t>
      </w:r>
    </w:p>
    <w:p>
      <w:pPr>
        <w:adjustRightInd w:val="0"/>
        <w:snapToGrid w:val="0"/>
        <w:spacing w:line="520" w:lineRule="exact"/>
        <w:rPr>
          <w:rFonts w:ascii="仿宋_GB2312" w:hAnsi="宋体" w:eastAsia="仿宋_GB2312"/>
          <w:bCs/>
          <w:color w:val="000000" w:themeColor="text1"/>
          <w:sz w:val="28"/>
          <w:szCs w:val="28"/>
        </w:rPr>
      </w:pPr>
    </w:p>
    <w:p>
      <w:pPr>
        <w:adjustRightInd w:val="0"/>
        <w:snapToGrid w:val="0"/>
        <w:spacing w:line="520" w:lineRule="exact"/>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承接机构</w:t>
      </w:r>
      <w:r>
        <w:rPr>
          <w:rFonts w:hint="eastAsia" w:ascii="仿宋_GB2312" w:hAnsi="宋体" w:eastAsia="仿宋_GB2312"/>
          <w:b/>
          <w:color w:val="000000" w:themeColor="text1"/>
          <w:sz w:val="28"/>
          <w:szCs w:val="28"/>
        </w:rPr>
        <w:t xml:space="preserve">： </w:t>
      </w:r>
      <w:r>
        <w:rPr>
          <w:rFonts w:hint="eastAsia" w:ascii="仿宋_GB2312" w:hAnsi="宋体" w:eastAsia="仿宋_GB2312"/>
          <w:b/>
          <w:color w:val="000000" w:themeColor="text1"/>
          <w:sz w:val="28"/>
          <w:szCs w:val="28"/>
          <w:u w:val="single"/>
        </w:rPr>
        <w:t xml:space="preserve">              </w:t>
      </w:r>
      <w:r>
        <w:rPr>
          <w:rFonts w:hint="eastAsia" w:ascii="仿宋_GB2312" w:hAnsi="宋体" w:eastAsia="仿宋_GB2312"/>
          <w:bCs/>
          <w:color w:val="000000" w:themeColor="text1"/>
          <w:sz w:val="28"/>
          <w:szCs w:val="28"/>
          <w:u w:val="single"/>
        </w:rPr>
        <w:t xml:space="preserve">               </w:t>
      </w:r>
      <w:r>
        <w:rPr>
          <w:rFonts w:hint="eastAsia" w:ascii="仿宋_GB2312" w:hAnsi="宋体" w:eastAsia="仿宋_GB2312"/>
          <w:bCs/>
          <w:color w:val="000000" w:themeColor="text1"/>
          <w:sz w:val="28"/>
          <w:szCs w:val="28"/>
        </w:rPr>
        <w:t xml:space="preserve">  </w:t>
      </w:r>
    </w:p>
    <w:p>
      <w:pPr>
        <w:adjustRightInd w:val="0"/>
        <w:snapToGrid w:val="0"/>
        <w:spacing w:line="520" w:lineRule="exact"/>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服务对象</w:t>
      </w:r>
      <w:r>
        <w:rPr>
          <w:rFonts w:hint="eastAsia" w:ascii="仿宋_GB2312" w:hAnsi="宋体" w:eastAsia="仿宋_GB2312"/>
          <w:b/>
          <w:color w:val="000000" w:themeColor="text1"/>
          <w:sz w:val="28"/>
          <w:szCs w:val="28"/>
        </w:rPr>
        <w:t>：</w:t>
      </w:r>
      <w:r>
        <w:rPr>
          <w:rFonts w:hint="eastAsia" w:ascii="仿宋_GB2312" w:hAnsi="宋体" w:eastAsia="仿宋_GB2312"/>
          <w:bCs/>
          <w:color w:val="000000" w:themeColor="text1"/>
          <w:sz w:val="28"/>
          <w:szCs w:val="28"/>
        </w:rPr>
        <w:t xml:space="preserve"> </w:t>
      </w:r>
      <w:r>
        <w:rPr>
          <w:rFonts w:hint="eastAsia" w:ascii="仿宋_GB2312" w:hAnsi="宋体" w:eastAsia="仿宋_GB2312"/>
          <w:bCs/>
          <w:color w:val="000000" w:themeColor="text1"/>
          <w:sz w:val="28"/>
          <w:szCs w:val="28"/>
          <w:u w:val="single"/>
        </w:rPr>
        <w:t xml:space="preserve">                             </w:t>
      </w:r>
      <w:r>
        <w:rPr>
          <w:rFonts w:hint="eastAsia" w:ascii="仿宋_GB2312" w:hAnsi="宋体" w:eastAsia="仿宋_GB2312"/>
          <w:bCs/>
          <w:color w:val="000000" w:themeColor="text1"/>
          <w:sz w:val="28"/>
          <w:szCs w:val="28"/>
        </w:rPr>
        <w:t xml:space="preserve">            </w:t>
      </w:r>
    </w:p>
    <w:p>
      <w:pPr>
        <w:adjustRightInd w:val="0"/>
        <w:spacing w:line="520" w:lineRule="exact"/>
        <w:ind w:firstLine="560" w:firstLineChars="200"/>
        <w:jc w:val="left"/>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28"/>
          <w:szCs w:val="28"/>
        </w:rPr>
        <w:t>为贯彻落实国家积极应对人口老龄化战略，实施居家和社区基本养老服务提升行动</w:t>
      </w:r>
      <w:r>
        <w:rPr>
          <w:rFonts w:hint="eastAsia" w:ascii="宋体" w:hAnsi="宋体" w:eastAsia="仿宋_GB2312"/>
          <w:color w:val="000000" w:themeColor="text1"/>
          <w:szCs w:val="32"/>
        </w:rPr>
        <w:t>，</w:t>
      </w:r>
      <w:r>
        <w:rPr>
          <w:rFonts w:hint="eastAsia" w:ascii="仿宋_GB2312" w:hAnsi="仿宋_GB2312" w:eastAsia="仿宋_GB2312" w:cs="仿宋_GB2312"/>
          <w:color w:val="000000" w:themeColor="text1"/>
          <w:sz w:val="28"/>
          <w:szCs w:val="28"/>
        </w:rPr>
        <w:t>根据《建宁县居家和社区基本养老服务提升行动项目实施方案</w:t>
      </w:r>
      <w:r>
        <w:rPr>
          <w:rFonts w:hint="eastAsia" w:ascii="仿宋_GB2312" w:hAnsi="宋体" w:eastAsia="仿宋_GB2312"/>
          <w:color w:val="000000" w:themeColor="text1"/>
          <w:sz w:val="28"/>
          <w:szCs w:val="28"/>
        </w:rPr>
        <w:t>》文件精神，</w:t>
      </w:r>
      <w:r>
        <w:rPr>
          <w:rFonts w:hint="eastAsia" w:ascii="仿宋_GB2312" w:hAnsi="仿宋_GB2312" w:eastAsia="仿宋_GB2312" w:cs="仿宋_GB2312"/>
          <w:color w:val="000000" w:themeColor="text1"/>
          <w:sz w:val="28"/>
          <w:szCs w:val="28"/>
        </w:rPr>
        <w:t>经</w:t>
      </w:r>
      <w:r>
        <w:rPr>
          <w:rFonts w:hint="eastAsia" w:ascii="仿宋_GB2312" w:hAnsi="宋体" w:eastAsia="仿宋_GB2312"/>
          <w:color w:val="000000" w:themeColor="text1"/>
          <w:sz w:val="28"/>
          <w:szCs w:val="28"/>
        </w:rPr>
        <w:t>双方协商一致签订本协议。</w:t>
      </w:r>
    </w:p>
    <w:p>
      <w:pPr>
        <w:adjustRightInd w:val="0"/>
        <w:snapToGrid w:val="0"/>
        <w:spacing w:line="52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一、建床地点</w:t>
      </w:r>
    </w:p>
    <w:p>
      <w:pPr>
        <w:adjustRightInd w:val="0"/>
        <w:snapToGrid w:val="0"/>
        <w:spacing w:line="520" w:lineRule="exact"/>
        <w:ind w:firstLine="560" w:firstLineChars="200"/>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1.服务地点为服务对象居住地，即建宁县</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乡（镇）</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村</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号。</w:t>
      </w:r>
    </w:p>
    <w:p>
      <w:pPr>
        <w:adjustRightInd w:val="0"/>
        <w:snapToGrid w:val="0"/>
        <w:spacing w:line="5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2.服务对象变更服务地点，在符合政策情况下，须提前向承接机构再次提出申请，承接机构同意变更后应协助服务对象完成服务地点变更工作，但迁床费由服务对象承担。</w:t>
      </w:r>
      <w:r>
        <w:rPr>
          <w:rFonts w:hint="eastAsia" w:ascii="仿宋_GB2312" w:hAnsi="宋体" w:eastAsia="仿宋_GB2312"/>
          <w:color w:val="000000" w:themeColor="text1"/>
          <w:sz w:val="28"/>
          <w:szCs w:val="28"/>
        </w:rPr>
        <w:tab/>
      </w:r>
    </w:p>
    <w:p>
      <w:pPr>
        <w:adjustRightInd w:val="0"/>
        <w:snapToGrid w:val="0"/>
        <w:spacing w:line="52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二、建床内容</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宋体" w:eastAsia="仿宋_GB2312"/>
          <w:color w:val="000000" w:themeColor="text1"/>
          <w:sz w:val="28"/>
          <w:szCs w:val="28"/>
        </w:rPr>
        <w:t>1.承接机构</w:t>
      </w:r>
      <w:r>
        <w:rPr>
          <w:rFonts w:hint="eastAsia" w:ascii="仿宋_GB2312" w:hAnsi="仿宋_GB2312" w:eastAsia="仿宋_GB2312" w:cs="仿宋_GB2312"/>
          <w:color w:val="000000" w:themeColor="text1"/>
          <w:sz w:val="28"/>
          <w:szCs w:val="28"/>
        </w:rPr>
        <w:t>根据服务对象申请，入户开展评估，参考《</w:t>
      </w:r>
      <w:r>
        <w:rPr>
          <w:rFonts w:hint="eastAsia" w:ascii="仿宋_GB2312" w:hAnsi="仿宋_GB2312" w:eastAsia="仿宋_GB2312" w:cs="仿宋_GB2312"/>
          <w:color w:val="000000" w:themeColor="text1"/>
          <w:kern w:val="2"/>
          <w:sz w:val="28"/>
          <w:szCs w:val="28"/>
        </w:rPr>
        <w:t>建宁县家庭养老床位建床指导清单</w:t>
      </w:r>
      <w:r>
        <w:rPr>
          <w:rFonts w:hint="eastAsia" w:ascii="仿宋_GB2312" w:hAnsi="仿宋_GB2312" w:eastAsia="仿宋_GB2312" w:cs="仿宋_GB2312"/>
          <w:color w:val="000000" w:themeColor="text1"/>
          <w:sz w:val="28"/>
          <w:szCs w:val="28"/>
        </w:rPr>
        <w:t>》，与服务对象商定以下建床项目：</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424"/>
        <w:gridCol w:w="858"/>
        <w:gridCol w:w="843"/>
        <w:gridCol w:w="9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序号</w:t>
            </w: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设施设备名称</w:t>
            </w:r>
          </w:p>
        </w:tc>
        <w:tc>
          <w:tcPr>
            <w:tcW w:w="858" w:type="dxa"/>
          </w:tcPr>
          <w:p>
            <w:pPr>
              <w:adjustRightInd w:val="0"/>
              <w:snapToGrid w:val="0"/>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单位</w:t>
            </w:r>
          </w:p>
        </w:tc>
        <w:tc>
          <w:tcPr>
            <w:tcW w:w="843" w:type="dxa"/>
          </w:tcPr>
          <w:p>
            <w:pPr>
              <w:adjustRightInd w:val="0"/>
              <w:snapToGrid w:val="0"/>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数量</w:t>
            </w:r>
          </w:p>
        </w:tc>
        <w:tc>
          <w:tcPr>
            <w:tcW w:w="970" w:type="dxa"/>
          </w:tcPr>
          <w:p>
            <w:pPr>
              <w:adjustRightInd w:val="0"/>
              <w:snapToGrid w:val="0"/>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单价</w:t>
            </w:r>
          </w:p>
        </w:tc>
        <w:tc>
          <w:tcPr>
            <w:tcW w:w="1701" w:type="dxa"/>
          </w:tcPr>
          <w:p>
            <w:pPr>
              <w:adjustRightInd w:val="0"/>
              <w:snapToGrid w:val="0"/>
              <w:spacing w:line="52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1" w:type="dxa"/>
          </w:tcPr>
          <w:p>
            <w:pPr>
              <w:adjustRightInd w:val="0"/>
              <w:snapToGrid w:val="0"/>
              <w:spacing w:line="5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1" w:type="dxa"/>
          </w:tcPr>
          <w:p>
            <w:pPr>
              <w:adjustRightInd w:val="0"/>
              <w:snapToGrid w:val="0"/>
              <w:spacing w:line="5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51" w:type="dxa"/>
          </w:tcPr>
          <w:p>
            <w:pPr>
              <w:adjustRightInd w:val="0"/>
              <w:snapToGrid w:val="0"/>
              <w:spacing w:line="52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1" w:type="dxa"/>
          </w:tcPr>
          <w:p>
            <w:pPr>
              <w:adjustRightInd w:val="0"/>
              <w:snapToGrid w:val="0"/>
              <w:spacing w:line="520" w:lineRule="exact"/>
              <w:ind w:firstLine="560" w:firstLineChars="200"/>
              <w:jc w:val="center"/>
              <w:rPr>
                <w:rFonts w:ascii="仿宋_GB2312" w:hAnsi="仿宋_GB2312" w:eastAsia="仿宋_GB2312" w:cs="仿宋_GB2312"/>
                <w:color w:val="000000" w:themeColor="text1"/>
                <w:sz w:val="28"/>
                <w:szCs w:val="28"/>
              </w:rPr>
            </w:pPr>
          </w:p>
        </w:tc>
        <w:tc>
          <w:tcPr>
            <w:tcW w:w="3424"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c>
          <w:tcPr>
            <w:tcW w:w="858"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p>
        </w:tc>
      </w:tr>
    </w:tbl>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2.承接机构对安装的设施设备不少于18个月的质保期，并负责维保。</w:t>
      </w:r>
    </w:p>
    <w:p>
      <w:pPr>
        <w:adjustRightInd w:val="0"/>
        <w:snapToGrid w:val="0"/>
        <w:spacing w:line="52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三、建床声明</w:t>
      </w:r>
    </w:p>
    <w:p>
      <w:pPr>
        <w:pStyle w:val="7"/>
        <w:kinsoku w:val="0"/>
        <w:overflowPunct w:val="0"/>
        <w:spacing w:line="520" w:lineRule="exact"/>
        <w:ind w:left="0" w:firstLine="560" w:firstLineChars="200"/>
        <w:rPr>
          <w:rFonts w:hint="default" w:ascii="仿宋_GB2312" w:hAnsi="仿宋_GB2312" w:eastAsia="仿宋_GB2312" w:cs="仿宋_GB2312"/>
          <w:color w:val="000000" w:themeColor="text1"/>
          <w:sz w:val="28"/>
          <w:szCs w:val="28"/>
        </w:rPr>
      </w:pPr>
      <w:r>
        <w:rPr>
          <w:rFonts w:ascii="仿宋_GB2312" w:hAnsi="仿宋_GB2312" w:eastAsia="仿宋_GB2312" w:cs="仿宋_GB2312"/>
          <w:color w:val="000000" w:themeColor="text1"/>
          <w:sz w:val="28"/>
          <w:szCs w:val="28"/>
        </w:rPr>
        <w:t>1.床位建设补贴不超过5000元，超出部分由服务对象承担，并列出超出部分清单。</w:t>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2.经政府有关部门组织验收合格后由承接机构向民政局申领建床补贴。</w:t>
      </w:r>
    </w:p>
    <w:p>
      <w:pPr>
        <w:adjustRightInd w:val="0"/>
        <w:snapToGrid w:val="0"/>
        <w:spacing w:line="520" w:lineRule="exact"/>
        <w:ind w:firstLine="560" w:firstLineChars="200"/>
        <w:rPr>
          <w:rFonts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r>
        <w:rPr>
          <w:rFonts w:hint="eastAsia" w:hAnsi="仿宋_GB2312" w:eastAsia="仿宋_GB2312" w:cs="仿宋_GB2312"/>
          <w:color w:val="000000" w:themeColor="text1"/>
          <w:sz w:val="28"/>
          <w:szCs w:val="28"/>
        </w:rPr>
        <w:t>承接机构对服务对象及监护人负责设施设备操作培训，培训合格后双方签署设备交接清单。</w:t>
      </w:r>
    </w:p>
    <w:p>
      <w:pPr>
        <w:adjustRightInd w:val="0"/>
        <w:snapToGrid w:val="0"/>
        <w:spacing w:line="520" w:lineRule="exact"/>
        <w:ind w:firstLine="560" w:firstLineChars="200"/>
        <w:rPr>
          <w:color w:val="000000" w:themeColor="text1"/>
        </w:rPr>
      </w:pPr>
      <w:r>
        <w:rPr>
          <w:rFonts w:hint="eastAsia" w:ascii="仿宋_GB2312" w:hAnsi="宋体" w:eastAsia="仿宋_GB2312"/>
          <w:color w:val="000000" w:themeColor="text1"/>
          <w:sz w:val="28"/>
          <w:szCs w:val="28"/>
        </w:rPr>
        <w:t>4.服务对象不按规范操作护理床和电子设备设施的，造成人身或财产安全问题产生的责任后果由服务对象自行负责。</w:t>
      </w:r>
      <w:r>
        <w:rPr>
          <w:rFonts w:hint="eastAsia" w:ascii="仿宋_GB2312" w:hAnsi="宋体" w:eastAsia="仿宋_GB2312"/>
          <w:color w:val="000000" w:themeColor="text1"/>
          <w:sz w:val="28"/>
          <w:szCs w:val="28"/>
        </w:rPr>
        <w:tab/>
      </w:r>
    </w:p>
    <w:p>
      <w:pPr>
        <w:adjustRightInd w:val="0"/>
        <w:snapToGrid w:val="0"/>
        <w:spacing w:line="52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5.建</w:t>
      </w:r>
      <w:r>
        <w:rPr>
          <w:rFonts w:hint="eastAsia" w:hAnsi="仿宋_GB2312" w:eastAsia="仿宋_GB2312" w:cs="仿宋_GB2312"/>
          <w:color w:val="000000" w:themeColor="text1"/>
          <w:sz w:val="28"/>
          <w:szCs w:val="28"/>
        </w:rPr>
        <w:t>床期间，由承接机构负责设备免费维修维保。</w:t>
      </w:r>
      <w:r>
        <w:rPr>
          <w:rFonts w:hint="eastAsia" w:ascii="仿宋_GB2312" w:hAnsi="仿宋_GB2312" w:eastAsia="仿宋_GB2312" w:cs="仿宋_GB2312"/>
          <w:color w:val="000000" w:themeColor="text1"/>
          <w:sz w:val="28"/>
          <w:szCs w:val="28"/>
        </w:rPr>
        <w:t>服务对象应爱护建床设备，</w:t>
      </w:r>
      <w:r>
        <w:rPr>
          <w:rFonts w:hint="eastAsia" w:ascii="仿宋_GB2312" w:hAnsi="宋体" w:eastAsia="仿宋_GB2312"/>
          <w:color w:val="000000" w:themeColor="text1"/>
          <w:sz w:val="28"/>
          <w:szCs w:val="28"/>
        </w:rPr>
        <w:t>保证设备设施外表无明显划痕、标签、零配件和说明书的完整性，</w:t>
      </w:r>
      <w:r>
        <w:rPr>
          <w:rFonts w:hint="eastAsia" w:ascii="仿宋_GB2312" w:hAnsi="仿宋_GB2312" w:eastAsia="仿宋_GB2312" w:cs="仿宋_GB2312"/>
          <w:color w:val="000000" w:themeColor="text1"/>
          <w:sz w:val="28"/>
          <w:szCs w:val="28"/>
        </w:rPr>
        <w:t xml:space="preserve">若发生人为破坏，维修费由服务对象自行承担。 </w:t>
      </w:r>
    </w:p>
    <w:p>
      <w:pPr>
        <w:adjustRightInd w:val="0"/>
        <w:snapToGrid w:val="0"/>
        <w:spacing w:line="520" w:lineRule="exact"/>
        <w:ind w:firstLine="560" w:firstLineChars="200"/>
        <w:rPr>
          <w:color w:val="000000" w:themeColor="text1"/>
          <w:sz w:val="28"/>
          <w:szCs w:val="28"/>
        </w:rPr>
      </w:pPr>
      <w:r>
        <w:rPr>
          <w:rFonts w:hint="eastAsia" w:ascii="仿宋_GB2312" w:hAnsi="宋体" w:eastAsia="仿宋_GB2312"/>
          <w:color w:val="000000" w:themeColor="text1"/>
          <w:sz w:val="28"/>
          <w:szCs w:val="28"/>
        </w:rPr>
        <w:t>6.服务对象不得将设备转移、拆卸、转借、出租或赠与他人，或用做其他商业用途等，否则，服务对象应承担违约责任。</w:t>
      </w:r>
    </w:p>
    <w:p>
      <w:pPr>
        <w:adjustRightInd w:val="0"/>
        <w:snapToGrid w:val="0"/>
        <w:spacing w:line="520" w:lineRule="exact"/>
        <w:ind w:firstLine="560" w:firstLineChars="200"/>
        <w:rPr>
          <w:color w:val="000000" w:themeColor="text1"/>
        </w:rPr>
      </w:pPr>
      <w:r>
        <w:rPr>
          <w:rFonts w:hint="eastAsia" w:ascii="仿宋_GB2312" w:hAnsi="仿宋_GB2312" w:eastAsia="仿宋_GB2312" w:cs="仿宋_GB2312"/>
          <w:color w:val="000000" w:themeColor="text1"/>
          <w:sz w:val="28"/>
          <w:szCs w:val="28"/>
        </w:rPr>
        <w:t>7.建床终止后，对可循环使用的设备由承接机构回收，对低值易耗品或不可拆卸设备，由服务对象自行处理；服务对象自费购买设备，可双方协商由承接机构折价回收。</w:t>
      </w:r>
    </w:p>
    <w:p>
      <w:pPr>
        <w:adjustRightInd w:val="0"/>
        <w:snapToGrid w:val="0"/>
        <w:spacing w:line="52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四、期限及终止</w:t>
      </w:r>
    </w:p>
    <w:p>
      <w:pPr>
        <w:adjustRightInd w:val="0"/>
        <w:snapToGrid w:val="0"/>
        <w:spacing w:line="5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1.协议期限自</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年</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月</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日至</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年</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月</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日。</w:t>
      </w:r>
    </w:p>
    <w:p>
      <w:pPr>
        <w:adjustRightInd w:val="0"/>
        <w:snapToGrid w:val="0"/>
        <w:spacing w:line="520" w:lineRule="exact"/>
        <w:ind w:firstLine="560" w:firstLineChars="200"/>
        <w:rPr>
          <w:rFonts w:ascii="仿宋_GB2312" w:hAnsi="宋体" w:eastAsia="仿宋_GB2312" w:cs="Times New Roman"/>
          <w:color w:val="000000" w:themeColor="text1"/>
          <w:kern w:val="2"/>
          <w:sz w:val="28"/>
          <w:szCs w:val="28"/>
        </w:rPr>
      </w:pPr>
      <w:r>
        <w:rPr>
          <w:rFonts w:hint="eastAsia" w:ascii="仿宋_GB2312" w:hAnsi="宋体" w:eastAsia="仿宋_GB2312"/>
          <w:color w:val="000000" w:themeColor="text1"/>
          <w:sz w:val="28"/>
          <w:szCs w:val="28"/>
        </w:rPr>
        <w:t>2.</w:t>
      </w:r>
      <w:r>
        <w:rPr>
          <w:rFonts w:hint="eastAsia" w:ascii="仿宋_GB2312" w:hAnsi="仿宋_GB2312" w:eastAsia="仿宋_GB2312" w:cs="仿宋_GB2312"/>
          <w:color w:val="000000" w:themeColor="text1"/>
          <w:sz w:val="28"/>
          <w:szCs w:val="28"/>
        </w:rPr>
        <w:t>发生以下情形之一，终止服务：签约服务对象死亡；签约服务对象变更的居住地超出县域；签约承接机构被依法依规责令停业整顿或关停；经老年人能力评估复评，服务对象不再符合服务条件的；其他导致服务终止的情形。</w:t>
      </w:r>
    </w:p>
    <w:p>
      <w:pPr>
        <w:adjustRightInd w:val="0"/>
        <w:snapToGrid w:val="0"/>
        <w:spacing w:line="52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3.协议期未满，服务对象要求解除协议的，应提前7天告知承接机构。</w:t>
      </w:r>
    </w:p>
    <w:p>
      <w:pPr>
        <w:adjustRightInd w:val="0"/>
        <w:snapToGrid w:val="0"/>
        <w:spacing w:line="52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五、争议解决</w:t>
      </w:r>
    </w:p>
    <w:p>
      <w:pPr>
        <w:pStyle w:val="11"/>
        <w:widowControl/>
        <w:spacing w:before="0" w:beforeAutospacing="0" w:after="0" w:afterAutospacing="0" w:line="520" w:lineRule="exact"/>
        <w:ind w:firstLine="560" w:firstLineChars="200"/>
        <w:jc w:val="both"/>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28"/>
          <w:szCs w:val="28"/>
        </w:rPr>
        <w:t>1.</w:t>
      </w:r>
      <w:r>
        <w:rPr>
          <w:rFonts w:hint="eastAsia" w:ascii="仿宋_GB2312" w:hAnsi="宋体" w:eastAsia="仿宋_GB2312"/>
          <w:color w:val="000000" w:themeColor="text1"/>
          <w:sz w:val="28"/>
          <w:szCs w:val="28"/>
        </w:rPr>
        <w:t>任何一方违反本协议约定，守约方有权要求违约方赔偿所造的损失（包括但不限于诉讼费、律师费、保全费、保全担保费、鉴定费、差旅费、调查取证费等）。</w:t>
      </w:r>
    </w:p>
    <w:p>
      <w:pPr>
        <w:pStyle w:val="11"/>
        <w:widowControl/>
        <w:spacing w:before="0" w:beforeAutospacing="0" w:after="0" w:afterAutospacing="0" w:line="520" w:lineRule="exact"/>
        <w:ind w:firstLine="560" w:firstLineChars="200"/>
        <w:jc w:val="both"/>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28"/>
          <w:szCs w:val="28"/>
        </w:rPr>
        <w:t>2.</w:t>
      </w:r>
      <w:r>
        <w:rPr>
          <w:rFonts w:hint="eastAsia" w:ascii="仿宋_GB2312" w:hAnsi="宋体" w:eastAsia="仿宋_GB2312"/>
          <w:color w:val="000000" w:themeColor="text1"/>
          <w:sz w:val="28"/>
          <w:szCs w:val="28"/>
        </w:rPr>
        <w:t>本协议项目发生争议的，由双方当事人协商解决或向相关部门申请调解解决；协商或调解解决不成的，向建宁县人民法院诉讼解决。</w:t>
      </w:r>
    </w:p>
    <w:p>
      <w:pPr>
        <w:widowControl/>
        <w:spacing w:line="520" w:lineRule="exact"/>
        <w:ind w:firstLine="560" w:firstLineChars="200"/>
        <w:jc w:val="left"/>
        <w:rPr>
          <w:rFonts w:ascii="Microsoft YaHei UI" w:hAnsi="Microsoft YaHei UI" w:eastAsia="Microsoft YaHei UI" w:cs="Microsoft YaHei UI"/>
          <w:color w:val="000000" w:themeColor="text1"/>
          <w:spacing w:val="8"/>
          <w:sz w:val="25"/>
          <w:szCs w:val="25"/>
          <w:shd w:val="clear" w:color="auto" w:fill="FFFFFF"/>
        </w:rPr>
      </w:pPr>
      <w:r>
        <w:rPr>
          <w:rFonts w:hint="eastAsia" w:ascii="黑体" w:hAnsi="黑体" w:eastAsia="黑体" w:cs="黑体"/>
          <w:bCs/>
          <w:color w:val="000000" w:themeColor="text1"/>
          <w:sz w:val="28"/>
          <w:szCs w:val="28"/>
        </w:rPr>
        <w:t>六、其它事项</w:t>
      </w:r>
      <w:r>
        <w:rPr>
          <w:rFonts w:hint="eastAsia" w:ascii="黑体" w:hAnsi="黑体" w:eastAsia="黑体" w:cs="黑体"/>
          <w:bCs/>
          <w:color w:val="000000" w:themeColor="text1"/>
          <w:sz w:val="28"/>
          <w:szCs w:val="28"/>
        </w:rPr>
        <w:tab/>
      </w:r>
      <w:r>
        <w:rPr>
          <w:rFonts w:hint="eastAsia" w:ascii="黑体" w:hAnsi="黑体" w:eastAsia="黑体" w:cs="黑体"/>
          <w:bCs/>
          <w:color w:val="000000" w:themeColor="text1"/>
          <w:sz w:val="28"/>
          <w:szCs w:val="28"/>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p>
    <w:p>
      <w:pPr>
        <w:widowControl/>
        <w:spacing w:line="520" w:lineRule="exact"/>
        <w:ind w:firstLine="560" w:firstLineChars="200"/>
        <w:jc w:val="left"/>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本协议一式叁份，承接机构、服务对象双方各执一份，县民政局备案一份，自签订之日起生效。如有未尽事宜可另订补充协议，附件作为本合同的组成部分，具有同等法律效力。</w:t>
      </w:r>
    </w:p>
    <w:p>
      <w:pPr>
        <w:pStyle w:val="11"/>
        <w:widowControl/>
        <w:spacing w:before="0" w:beforeAutospacing="0" w:after="0" w:afterAutospacing="0" w:line="520" w:lineRule="exact"/>
        <w:jc w:val="both"/>
        <w:rPr>
          <w:color w:val="000000" w:themeColor="text1"/>
        </w:rPr>
      </w:pPr>
    </w:p>
    <w:p>
      <w:pPr>
        <w:pStyle w:val="11"/>
        <w:widowControl/>
        <w:spacing w:before="0" w:beforeAutospacing="0" w:after="0" w:afterAutospacing="0" w:line="600" w:lineRule="exact"/>
        <w:jc w:val="both"/>
        <w:rPr>
          <w:color w:val="000000" w:themeColor="text1"/>
        </w:rPr>
      </w:pPr>
    </w:p>
    <w:p>
      <w:pPr>
        <w:adjustRightInd w:val="0"/>
        <w:snapToGrid w:val="0"/>
        <w:spacing w:line="8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承接机构：                    服务对象：</w:t>
      </w:r>
    </w:p>
    <w:p>
      <w:pPr>
        <w:adjustRightInd w:val="0"/>
        <w:snapToGrid w:val="0"/>
        <w:spacing w:line="8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代    表：                    服务对象监护人：</w:t>
      </w:r>
    </w:p>
    <w:p>
      <w:pPr>
        <w:adjustRightInd w:val="0"/>
        <w:snapToGrid w:val="0"/>
        <w:spacing w:line="80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电    话：                    电    话：</w:t>
      </w:r>
    </w:p>
    <w:p>
      <w:pPr>
        <w:adjustRightInd w:val="0"/>
        <w:snapToGrid w:val="0"/>
        <w:spacing w:line="800" w:lineRule="exact"/>
        <w:ind w:firstLine="560" w:firstLineChars="200"/>
        <w:rPr>
          <w:rFonts w:ascii="仿宋" w:hAnsi="仿宋" w:eastAsia="仿宋" w:cs="仿宋"/>
          <w:b/>
          <w:color w:val="000000" w:themeColor="text1"/>
          <w:sz w:val="28"/>
          <w:szCs w:val="28"/>
        </w:rPr>
      </w:pPr>
      <w:r>
        <w:rPr>
          <w:rFonts w:hint="eastAsia" w:ascii="仿宋" w:hAnsi="仿宋" w:eastAsia="仿宋" w:cs="仿宋"/>
          <w:color w:val="000000" w:themeColor="text1"/>
          <w:sz w:val="28"/>
          <w:szCs w:val="28"/>
        </w:rPr>
        <w:t>日    期：  年    月   日     日    期：    年    月    日</w:t>
      </w:r>
    </w:p>
    <w:p>
      <w:pPr>
        <w:adjustRightInd w:val="0"/>
        <w:snapToGrid w:val="0"/>
        <w:spacing w:line="800" w:lineRule="exact"/>
        <w:ind w:firstLine="562" w:firstLineChars="200"/>
        <w:rPr>
          <w:rFonts w:ascii="仿宋" w:hAnsi="仿宋" w:eastAsia="仿宋" w:cs="仿宋"/>
          <w:b/>
          <w:color w:val="000000" w:themeColor="text1"/>
          <w:sz w:val="28"/>
          <w:szCs w:val="28"/>
        </w:rPr>
      </w:pPr>
    </w:p>
    <w:p>
      <w:pPr>
        <w:pStyle w:val="19"/>
        <w:spacing w:line="600" w:lineRule="exact"/>
        <w:ind w:firstLine="562"/>
        <w:rPr>
          <w:rFonts w:ascii="仿宋" w:hAnsi="仿宋" w:eastAsia="仿宋" w:cs="仿宋"/>
          <w:b/>
          <w:color w:val="000000" w:themeColor="text1"/>
          <w:sz w:val="28"/>
          <w:szCs w:val="28"/>
        </w:rPr>
      </w:pPr>
    </w:p>
    <w:p>
      <w:pPr>
        <w:spacing w:line="600" w:lineRule="exact"/>
        <w:rPr>
          <w:rFonts w:ascii="宋体" w:hAnsi="宋体" w:eastAsia="黑体" w:cs="黑体"/>
          <w:color w:val="000000" w:themeColor="text1"/>
          <w:szCs w:val="32"/>
          <w:shd w:val="clear" w:color="auto" w:fill="FFFFFF"/>
        </w:rPr>
      </w:pPr>
      <w:r>
        <w:rPr>
          <w:rFonts w:hint="eastAsia" w:ascii="宋体" w:hAnsi="宋体" w:eastAsia="黑体" w:cs="黑体"/>
          <w:color w:val="000000" w:themeColor="text1"/>
          <w:szCs w:val="32"/>
          <w:shd w:val="clear" w:color="auto" w:fill="FFFFFF"/>
        </w:rPr>
        <w:br w:type="page"/>
      </w:r>
    </w:p>
    <w:p>
      <w:pPr>
        <w:pStyle w:val="7"/>
        <w:kinsoku w:val="0"/>
        <w:overflowPunct w:val="0"/>
        <w:spacing w:line="440" w:lineRule="exact"/>
        <w:ind w:left="0"/>
        <w:rPr>
          <w:rFonts w:hint="default" w:ascii="黑体" w:hAnsi="黑体" w:eastAsia="黑体"/>
          <w:color w:val="000000" w:themeColor="text1"/>
          <w:sz w:val="32"/>
          <w:szCs w:val="32"/>
        </w:rPr>
      </w:pPr>
      <w:r>
        <w:rPr>
          <w:rFonts w:ascii="黑体" w:hAnsi="黑体" w:eastAsia="黑体"/>
          <w:color w:val="000000" w:themeColor="text1"/>
          <w:sz w:val="32"/>
          <w:szCs w:val="32"/>
        </w:rPr>
        <w:t>附件9</w:t>
      </w:r>
    </w:p>
    <w:p>
      <w:pPr>
        <w:spacing w:line="500" w:lineRule="exact"/>
        <w:jc w:val="center"/>
        <w:rPr>
          <w:rFonts w:ascii="方正小标宋简体" w:hAnsi="方正小标宋简体" w:eastAsia="方正小标宋简体" w:cs="方正小标宋简体"/>
          <w:color w:val="000000" w:themeColor="text1"/>
          <w:sz w:val="44"/>
          <w:szCs w:val="44"/>
        </w:rPr>
      </w:pPr>
    </w:p>
    <w:p>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建宁县居家养老上门服务协议</w:t>
      </w:r>
    </w:p>
    <w:p>
      <w:pPr>
        <w:spacing w:line="500" w:lineRule="exact"/>
        <w:rPr>
          <w:rFonts w:ascii="宋体" w:hAnsi="宋体"/>
          <w:color w:val="000000" w:themeColor="text1"/>
          <w:szCs w:val="32"/>
        </w:rPr>
      </w:pPr>
    </w:p>
    <w:p>
      <w:pPr>
        <w:adjustRightInd w:val="0"/>
        <w:snapToGrid w:val="0"/>
        <w:spacing w:line="500" w:lineRule="exact"/>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承接机构</w:t>
      </w:r>
      <w:r>
        <w:rPr>
          <w:rFonts w:hint="eastAsia" w:ascii="仿宋_GB2312" w:hAnsi="宋体" w:eastAsia="仿宋_GB2312"/>
          <w:b/>
          <w:color w:val="000000" w:themeColor="text1"/>
          <w:sz w:val="28"/>
          <w:szCs w:val="28"/>
        </w:rPr>
        <w:t xml:space="preserve">： </w:t>
      </w:r>
      <w:r>
        <w:rPr>
          <w:rFonts w:hint="eastAsia" w:ascii="仿宋_GB2312" w:hAnsi="宋体" w:eastAsia="仿宋_GB2312"/>
          <w:b/>
          <w:color w:val="000000" w:themeColor="text1"/>
          <w:sz w:val="28"/>
          <w:szCs w:val="28"/>
          <w:u w:val="single"/>
        </w:rPr>
        <w:t xml:space="preserve">              </w:t>
      </w:r>
      <w:r>
        <w:rPr>
          <w:rFonts w:hint="eastAsia" w:ascii="仿宋_GB2312" w:hAnsi="宋体" w:eastAsia="仿宋_GB2312"/>
          <w:bCs/>
          <w:color w:val="000000" w:themeColor="text1"/>
          <w:sz w:val="28"/>
          <w:szCs w:val="28"/>
          <w:u w:val="single"/>
        </w:rPr>
        <w:t xml:space="preserve">               </w:t>
      </w:r>
      <w:r>
        <w:rPr>
          <w:rFonts w:hint="eastAsia" w:ascii="仿宋_GB2312" w:hAnsi="宋体" w:eastAsia="仿宋_GB2312"/>
          <w:bCs/>
          <w:color w:val="000000" w:themeColor="text1"/>
          <w:sz w:val="28"/>
          <w:szCs w:val="28"/>
        </w:rPr>
        <w:t xml:space="preserve">  </w:t>
      </w:r>
    </w:p>
    <w:p>
      <w:pPr>
        <w:adjustRightInd w:val="0"/>
        <w:snapToGrid w:val="0"/>
        <w:spacing w:line="500" w:lineRule="exact"/>
        <w:rPr>
          <w:rFonts w:ascii="仿宋_GB2312" w:hAnsi="宋体" w:eastAsia="仿宋_GB2312"/>
          <w:bCs/>
          <w:color w:val="000000" w:themeColor="text1"/>
          <w:sz w:val="28"/>
          <w:szCs w:val="28"/>
        </w:rPr>
      </w:pPr>
      <w:r>
        <w:rPr>
          <w:rFonts w:hint="eastAsia" w:ascii="仿宋_GB2312" w:hAnsi="宋体" w:eastAsia="仿宋_GB2312"/>
          <w:bCs/>
          <w:color w:val="000000" w:themeColor="text1"/>
          <w:sz w:val="28"/>
          <w:szCs w:val="28"/>
        </w:rPr>
        <w:t>服务对象</w:t>
      </w:r>
      <w:r>
        <w:rPr>
          <w:rFonts w:hint="eastAsia" w:ascii="仿宋_GB2312" w:hAnsi="宋体" w:eastAsia="仿宋_GB2312"/>
          <w:b/>
          <w:color w:val="000000" w:themeColor="text1"/>
          <w:sz w:val="28"/>
          <w:szCs w:val="28"/>
        </w:rPr>
        <w:t>：</w:t>
      </w:r>
      <w:r>
        <w:rPr>
          <w:rFonts w:hint="eastAsia" w:ascii="仿宋_GB2312" w:hAnsi="宋体" w:eastAsia="仿宋_GB2312"/>
          <w:bCs/>
          <w:color w:val="000000" w:themeColor="text1"/>
          <w:sz w:val="28"/>
          <w:szCs w:val="28"/>
        </w:rPr>
        <w:t xml:space="preserve"> </w:t>
      </w:r>
      <w:r>
        <w:rPr>
          <w:rFonts w:hint="eastAsia" w:ascii="仿宋_GB2312" w:hAnsi="宋体" w:eastAsia="仿宋_GB2312"/>
          <w:bCs/>
          <w:color w:val="000000" w:themeColor="text1"/>
          <w:sz w:val="28"/>
          <w:szCs w:val="28"/>
          <w:u w:val="single"/>
        </w:rPr>
        <w:t xml:space="preserve">                             </w:t>
      </w:r>
      <w:r>
        <w:rPr>
          <w:rFonts w:hint="eastAsia" w:ascii="仿宋_GB2312" w:hAnsi="宋体" w:eastAsia="仿宋_GB2312"/>
          <w:bCs/>
          <w:color w:val="000000" w:themeColor="text1"/>
          <w:sz w:val="28"/>
          <w:szCs w:val="28"/>
        </w:rPr>
        <w:t xml:space="preserve">            </w:t>
      </w:r>
    </w:p>
    <w:p>
      <w:pPr>
        <w:adjustRightInd w:val="0"/>
        <w:spacing w:line="500" w:lineRule="exact"/>
        <w:ind w:firstLine="560" w:firstLineChars="200"/>
        <w:jc w:val="left"/>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28"/>
          <w:szCs w:val="28"/>
        </w:rPr>
        <w:t>为贯彻落实国家积极应对人口老龄化战略，实施居家和社区基本养老服务提升行动，根据《建宁县居家和社区基本养老服务提升行动项目实施方案》文件精神，经双方协商一致签订本协议</w:t>
      </w:r>
      <w:r>
        <w:rPr>
          <w:rFonts w:hint="eastAsia" w:ascii="仿宋_GB2312" w:hAnsi="宋体" w:eastAsia="仿宋_GB2312"/>
          <w:color w:val="000000" w:themeColor="text1"/>
          <w:sz w:val="28"/>
          <w:szCs w:val="28"/>
        </w:rPr>
        <w:t>。</w:t>
      </w:r>
    </w:p>
    <w:p>
      <w:pPr>
        <w:adjustRightInd w:val="0"/>
        <w:snapToGrid w:val="0"/>
        <w:spacing w:line="50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一、服务地点</w:t>
      </w:r>
    </w:p>
    <w:p>
      <w:pPr>
        <w:adjustRightInd w:val="0"/>
        <w:snapToGrid w:val="0"/>
        <w:spacing w:line="500" w:lineRule="exact"/>
        <w:ind w:firstLine="560" w:firstLineChars="200"/>
        <w:jc w:val="lef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1.服务地点为服务对象居住地，即建宁县</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乡（镇）</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村</w:t>
      </w:r>
      <w:r>
        <w:rPr>
          <w:rFonts w:hint="eastAsia" w:ascii="仿宋_GB2312" w:hAnsi="宋体" w:eastAsia="仿宋_GB2312"/>
          <w:color w:val="000000" w:themeColor="text1"/>
          <w:sz w:val="28"/>
          <w:szCs w:val="28"/>
          <w:u w:val="single"/>
        </w:rPr>
        <w:t xml:space="preserve">   </w:t>
      </w:r>
      <w:r>
        <w:rPr>
          <w:rFonts w:hint="eastAsia" w:ascii="仿宋_GB2312" w:hAnsi="宋体" w:eastAsia="仿宋_GB2312"/>
          <w:color w:val="000000" w:themeColor="text1"/>
          <w:sz w:val="28"/>
          <w:szCs w:val="28"/>
        </w:rPr>
        <w:t>号。</w:t>
      </w:r>
    </w:p>
    <w:p>
      <w:pPr>
        <w:adjustRightInd w:val="0"/>
        <w:snapToGrid w:val="0"/>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2.服务对象变更服务地点，在符合政策情况下，须提前向承接机构再次提出申请。</w:t>
      </w:r>
    </w:p>
    <w:p>
      <w:pPr>
        <w:adjustRightInd w:val="0"/>
        <w:snapToGrid w:val="0"/>
        <w:spacing w:line="50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二、服务内容</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宋体" w:eastAsia="仿宋_GB2312"/>
          <w:color w:val="000000" w:themeColor="text1"/>
          <w:sz w:val="28"/>
          <w:szCs w:val="28"/>
        </w:rPr>
        <w:t>1.承接机构</w:t>
      </w:r>
      <w:r>
        <w:rPr>
          <w:rFonts w:hint="eastAsia" w:ascii="仿宋_GB2312" w:hAnsi="仿宋_GB2312" w:eastAsia="仿宋_GB2312" w:cs="仿宋_GB2312"/>
          <w:color w:val="000000" w:themeColor="text1"/>
          <w:sz w:val="28"/>
          <w:szCs w:val="28"/>
        </w:rPr>
        <w:t>根据服务对象申请，入户开展评估，根据《</w:t>
      </w:r>
      <w:r>
        <w:rPr>
          <w:rFonts w:hint="eastAsia" w:ascii="仿宋_GB2312" w:hAnsi="仿宋_GB2312" w:eastAsia="仿宋_GB2312" w:cs="仿宋_GB2312"/>
          <w:color w:val="000000" w:themeColor="text1"/>
          <w:kern w:val="2"/>
          <w:sz w:val="28"/>
          <w:szCs w:val="28"/>
        </w:rPr>
        <w:t>建宁县居家养老上门服务指导清单</w:t>
      </w:r>
      <w:r>
        <w:rPr>
          <w:rFonts w:hint="eastAsia" w:ascii="仿宋_GB2312" w:hAnsi="仿宋_GB2312" w:eastAsia="仿宋_GB2312" w:cs="仿宋_GB2312"/>
          <w:color w:val="000000" w:themeColor="text1"/>
          <w:sz w:val="28"/>
          <w:szCs w:val="28"/>
        </w:rPr>
        <w:t>》全年至少提</w:t>
      </w:r>
      <w:r>
        <w:rPr>
          <w:rFonts w:hint="eastAsia" w:ascii="仿宋_GB2312" w:hAnsi="宋体" w:eastAsia="仿宋_GB2312"/>
          <w:color w:val="000000" w:themeColor="text1"/>
          <w:sz w:val="28"/>
          <w:szCs w:val="28"/>
        </w:rPr>
        <w:t>供30次服务，</w:t>
      </w:r>
      <w:r>
        <w:rPr>
          <w:rFonts w:hint="eastAsia" w:ascii="仿宋_GB2312" w:hAnsi="仿宋_GB2312" w:eastAsia="仿宋_GB2312" w:cs="仿宋_GB2312"/>
          <w:color w:val="000000" w:themeColor="text1"/>
          <w:sz w:val="28"/>
          <w:szCs w:val="28"/>
        </w:rPr>
        <w:t>双方商定以下服务项目：</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424"/>
        <w:gridCol w:w="858"/>
        <w:gridCol w:w="843"/>
        <w:gridCol w:w="9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序号</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服务项目名称</w:t>
            </w:r>
          </w:p>
        </w:tc>
        <w:tc>
          <w:tcPr>
            <w:tcW w:w="858" w:type="dxa"/>
          </w:tcPr>
          <w:p>
            <w:pPr>
              <w:adjustRightInd w:val="0"/>
              <w:snapToGrid w:val="0"/>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单位</w:t>
            </w:r>
          </w:p>
        </w:tc>
        <w:tc>
          <w:tcPr>
            <w:tcW w:w="843" w:type="dxa"/>
          </w:tcPr>
          <w:p>
            <w:pPr>
              <w:adjustRightInd w:val="0"/>
              <w:snapToGrid w:val="0"/>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数量</w:t>
            </w:r>
          </w:p>
        </w:tc>
        <w:tc>
          <w:tcPr>
            <w:tcW w:w="970" w:type="dxa"/>
          </w:tcPr>
          <w:p>
            <w:pPr>
              <w:adjustRightInd w:val="0"/>
              <w:snapToGrid w:val="0"/>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单价</w:t>
            </w:r>
          </w:p>
        </w:tc>
        <w:tc>
          <w:tcPr>
            <w:tcW w:w="1701" w:type="dxa"/>
          </w:tcPr>
          <w:p>
            <w:pPr>
              <w:adjustRightInd w:val="0"/>
              <w:snapToGrid w:val="0"/>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280" w:firstLineChars="1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w:t>
            </w: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3424"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c>
          <w:tcPr>
            <w:tcW w:w="858"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843"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970"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c>
          <w:tcPr>
            <w:tcW w:w="1701" w:type="dxa"/>
          </w:tcPr>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tc>
      </w:tr>
    </w:tbl>
    <w:p>
      <w:pPr>
        <w:adjustRightIn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2.服务对象如有其他临时服务，拨打承接机构提供的24小时服务热线。</w:t>
      </w:r>
    </w:p>
    <w:p>
      <w:pPr>
        <w:adjustRightInd w:val="0"/>
        <w:snapToGrid w:val="0"/>
        <w:spacing w:line="50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三、服务声明</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r>
        <w:rPr>
          <w:rFonts w:hint="eastAsia" w:ascii="仿宋_GB2312" w:hAnsi="宋体" w:eastAsia="仿宋_GB2312" w:cs="黑体"/>
          <w:color w:val="000000" w:themeColor="text1"/>
          <w:sz w:val="28"/>
          <w:szCs w:val="28"/>
        </w:rPr>
        <w:t>五保户(不含集中供养对象）、低保户、易返贫致贫和脱贫不稳定人口、一户多残的困难家庭以及符合经济困难的完全失能、半失能老人等服务对象的居家上门服务费按实际费用的100%补贴，每床每月最高不超过300元；中间偏下收入的经济困难</w:t>
      </w:r>
      <w:r>
        <w:rPr>
          <w:rFonts w:hint="eastAsia" w:ascii="仿宋_GB2312" w:hAnsi="仿宋_GB2312" w:eastAsia="仿宋_GB2312" w:cs="仿宋_GB2312"/>
          <w:color w:val="000000" w:themeColor="text1"/>
          <w:sz w:val="28"/>
          <w:szCs w:val="28"/>
        </w:rPr>
        <w:t>对象的服务费费，按实际支出费用的50%补贴，每床每月最高不超过150元。</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2.承接机构根据服务协议，每月向县民政局提交服务清单，经审核无误后由承接机构统一申领服务补贴，用于抵扣居家养老上门服务费用。超出补贴部分由服务对象承担。</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3.承接机构应开通监督电话，加强服务人员队伍管理，规范服务行为。上门服务人员必须身体健康、具有一定沟通能力、具备基本养老服务技能。  </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4.承接机构为服务对象提供服务过程中，若非服务人员故意，服务对象所发生的身体损伤事故或财产损失的，由服务机构、服务对象和服务人员三方协商解决或按第五条规定执行。</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5.承接机构每月需对服务对象进行服务质量电话回访，及时协调解决在服务过程中出现的问题。</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6.服务对象或其监护人应积极配合承接机构做好居家养老上门服务各项工作，有权对服务人员的服务态度作出评价，对服务人员工作不满意的，有权向承接机构要求更换，协商不成可向县民政局反映或投诉。</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7.服务对象应尊重上门服务人员的人格尊严和劳动，提供安全的服务环境，不得歧视、虐待或性骚扰。</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8.服务对象对承接机构提供的设施设备不得转移、拆卸、转借、出租或赠与任何第三方使用或用做其他商业用途等，</w:t>
      </w:r>
      <w:r>
        <w:rPr>
          <w:rFonts w:hint="eastAsia" w:ascii="仿宋_GB2312" w:hAnsi="宋体" w:eastAsia="仿宋_GB2312"/>
          <w:color w:val="000000" w:themeColor="text1"/>
          <w:sz w:val="28"/>
          <w:szCs w:val="28"/>
        </w:rPr>
        <w:t>否则，服务对象应承担违约责任。</w:t>
      </w:r>
    </w:p>
    <w:p>
      <w:pPr>
        <w:adjustRightInd w:val="0"/>
        <w:snapToGrid w:val="0"/>
        <w:spacing w:line="50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四、期限及终止</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1.协议期限自     年   月   日至     年   月  日。</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发生以下情形之一，终止服务：签约服务对象死亡；签约服务对象变更的居住地超出县域；签约承接机构被依法依规责令停业整顿或关停；经老年人能力评估复评，服务对象不再符合服务条件的；其他导致服务终止的情形。</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3.协议期未满，服务对象要求解除协议的，应提前7天告知承接机构。</w:t>
      </w:r>
    </w:p>
    <w:p>
      <w:pPr>
        <w:adjustRightInd w:val="0"/>
        <w:snapToGrid w:val="0"/>
        <w:spacing w:line="500" w:lineRule="exact"/>
        <w:ind w:firstLine="560" w:firstLineChars="200"/>
        <w:jc w:val="left"/>
        <w:rPr>
          <w:rFonts w:ascii="黑体" w:hAnsi="黑体" w:eastAsia="黑体" w:cs="黑体"/>
          <w:bCs/>
          <w:color w:val="000000" w:themeColor="text1"/>
          <w:sz w:val="28"/>
          <w:szCs w:val="28"/>
        </w:rPr>
      </w:pPr>
      <w:r>
        <w:rPr>
          <w:rFonts w:hint="eastAsia" w:ascii="黑体" w:hAnsi="黑体" w:eastAsia="黑体" w:cs="黑体"/>
          <w:bCs/>
          <w:color w:val="000000" w:themeColor="text1"/>
          <w:sz w:val="28"/>
          <w:szCs w:val="28"/>
        </w:rPr>
        <w:t>五、争议解决</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1.任何一方违反协议约定，另一方均有权要求其赔偿因违约造成的损失（包括但不限于诉讼费、律师费、保全费、保全担保费、鉴定费、差旅费、调查取证费等）。</w:t>
      </w:r>
    </w:p>
    <w:p>
      <w:pPr>
        <w:adjustRightInd w:val="0"/>
        <w:snapToGrid w:val="0"/>
        <w:spacing w:line="500" w:lineRule="exact"/>
        <w:ind w:firstLine="560" w:firstLineChars="200"/>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28"/>
          <w:szCs w:val="28"/>
        </w:rPr>
        <w:t>2.本协议项目发生争议的，由服务机构、服务对象和服务人员协商解决或向建宁县民政局申请调解解决；协商或调解解决不成的，向建宁县人民法院诉讼解决。</w:t>
      </w:r>
    </w:p>
    <w:p>
      <w:pPr>
        <w:widowControl/>
        <w:spacing w:line="500" w:lineRule="exact"/>
        <w:ind w:firstLine="562" w:firstLineChars="200"/>
        <w:jc w:val="left"/>
        <w:rPr>
          <w:rFonts w:ascii="Microsoft YaHei UI" w:hAnsi="Microsoft YaHei UI" w:eastAsia="Microsoft YaHei UI" w:cs="Microsoft YaHei UI"/>
          <w:color w:val="000000" w:themeColor="text1"/>
          <w:spacing w:val="8"/>
          <w:sz w:val="25"/>
          <w:szCs w:val="25"/>
          <w:shd w:val="clear" w:color="auto" w:fill="FFFFFF"/>
        </w:rPr>
      </w:pPr>
      <w:r>
        <w:rPr>
          <w:rFonts w:hint="eastAsia" w:ascii="黑体" w:hAnsi="黑体" w:eastAsia="黑体" w:cs="黑体"/>
          <w:b/>
          <w:color w:val="000000" w:themeColor="text1"/>
          <w:sz w:val="28"/>
          <w:szCs w:val="28"/>
        </w:rPr>
        <w:t>六、其它事项</w:t>
      </w:r>
      <w:r>
        <w:rPr>
          <w:rFonts w:hint="eastAsia" w:ascii="黑体" w:hAnsi="黑体" w:eastAsia="黑体" w:cs="黑体"/>
          <w:b/>
          <w:color w:val="000000" w:themeColor="text1"/>
          <w:sz w:val="28"/>
          <w:szCs w:val="28"/>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r>
        <w:rPr>
          <w:rFonts w:hint="eastAsia" w:ascii="Microsoft YaHei UI" w:hAnsi="Microsoft YaHei UI" w:eastAsia="Microsoft YaHei UI" w:cs="Microsoft YaHei UI"/>
          <w:color w:val="000000" w:themeColor="text1"/>
          <w:spacing w:val="8"/>
          <w:sz w:val="25"/>
          <w:szCs w:val="25"/>
          <w:shd w:val="clear" w:color="auto" w:fill="FFFFFF"/>
        </w:rPr>
        <w:tab/>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本协议一式叁份，承接机构、服务对象双方各执一份，县民政局备案一份，自签订之日起生效。如有未尽事宜可另订补充协议，附件作为本合同的组成部分，具有同等法律效力。</w:t>
      </w:r>
    </w:p>
    <w:p>
      <w:pPr>
        <w:adjustRightInd w:val="0"/>
        <w:snapToGrid w:val="0"/>
        <w:spacing w:line="500" w:lineRule="exact"/>
        <w:ind w:firstLine="560" w:firstLineChars="200"/>
        <w:rPr>
          <w:rFonts w:ascii="仿宋_GB2312" w:hAnsi="仿宋_GB2312" w:eastAsia="仿宋_GB2312" w:cs="仿宋_GB2312"/>
          <w:color w:val="000000" w:themeColor="text1"/>
          <w:sz w:val="28"/>
          <w:szCs w:val="28"/>
        </w:rPr>
      </w:pPr>
    </w:p>
    <w:p>
      <w:pPr>
        <w:pStyle w:val="2"/>
        <w:spacing w:line="800" w:lineRule="exact"/>
        <w:ind w:left="640" w:firstLine="640"/>
        <w:rPr>
          <w:color w:val="000000" w:themeColor="text1"/>
        </w:rPr>
      </w:pPr>
    </w:p>
    <w:p>
      <w:pPr>
        <w:adjustRightInd w:val="0"/>
        <w:snapToGrid w:val="0"/>
        <w:spacing w:line="8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承接机构：                    服务对象：</w:t>
      </w:r>
    </w:p>
    <w:p>
      <w:pPr>
        <w:adjustRightInd w:val="0"/>
        <w:snapToGrid w:val="0"/>
        <w:spacing w:line="8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代    表：                    服务对象监护人：</w:t>
      </w:r>
    </w:p>
    <w:p>
      <w:pPr>
        <w:adjustRightInd w:val="0"/>
        <w:snapToGrid w:val="0"/>
        <w:spacing w:line="8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电    话：                    电    话：</w:t>
      </w:r>
    </w:p>
    <w:p>
      <w:pPr>
        <w:adjustRightInd w:val="0"/>
        <w:snapToGrid w:val="0"/>
        <w:spacing w:line="8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日    期：   年   月   日     日    期：   年  月   日</w:t>
      </w:r>
    </w:p>
    <w:p>
      <w:pPr>
        <w:pStyle w:val="2"/>
        <w:ind w:left="640" w:firstLine="640"/>
        <w:rPr>
          <w:color w:val="000000" w:themeColor="text1"/>
        </w:rPr>
      </w:pPr>
      <w:r>
        <w:rPr>
          <w:color w:val="000000" w:themeColor="text1"/>
        </w:rPr>
        <w:br w:type="page"/>
      </w:r>
    </w:p>
    <w:p>
      <w:pPr>
        <w:pStyle w:val="7"/>
        <w:kinsoku w:val="0"/>
        <w:overflowPunct w:val="0"/>
        <w:spacing w:line="440" w:lineRule="exact"/>
        <w:ind w:left="0"/>
        <w:rPr>
          <w:rFonts w:hint="default" w:ascii="黑体" w:hAnsi="黑体" w:eastAsia="黑体"/>
          <w:color w:val="000000" w:themeColor="text1"/>
          <w:sz w:val="32"/>
          <w:szCs w:val="32"/>
        </w:rPr>
      </w:pPr>
      <w:r>
        <w:rPr>
          <w:rFonts w:ascii="黑体" w:hAnsi="黑体" w:eastAsia="黑体"/>
          <w:color w:val="000000" w:themeColor="text1"/>
          <w:sz w:val="32"/>
          <w:szCs w:val="32"/>
        </w:rPr>
        <w:t>附件10</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建宁县居家和社区基本养老服务提升行动</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项目领导小组</w:t>
      </w:r>
    </w:p>
    <w:p>
      <w:pPr>
        <w:spacing w:line="580" w:lineRule="exact"/>
        <w:ind w:firstLine="640" w:firstLineChars="200"/>
        <w:rPr>
          <w:szCs w:val="32"/>
        </w:rPr>
      </w:pPr>
    </w:p>
    <w:p>
      <w:pPr>
        <w:spacing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组  长：姜炜根   县委常委</w:t>
      </w:r>
    </w:p>
    <w:p>
      <w:pPr>
        <w:spacing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副组长：施建英   </w:t>
      </w:r>
      <w:r>
        <w:rPr>
          <w:rFonts w:hint="eastAsia" w:ascii="仿宋_GB2312" w:hAnsi="仿宋_GB2312" w:eastAsia="仿宋_GB2312" w:cs="仿宋_GB2312"/>
          <w:color w:val="333333"/>
          <w:szCs w:val="32"/>
          <w:shd w:val="clear" w:color="auto" w:fill="FFFFFF"/>
        </w:rPr>
        <w:t>县民政局局长</w:t>
      </w:r>
      <w:r>
        <w:rPr>
          <w:rFonts w:hint="eastAsia" w:ascii="仿宋_GB2312" w:hAnsi="仿宋_GB2312" w:eastAsia="仿宋_GB2312" w:cs="仿宋_GB2312"/>
          <w:szCs w:val="32"/>
        </w:rPr>
        <w:t>、</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成  员：谢凤金   县民政局副局长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林晓娟   </w:t>
      </w:r>
      <w:r>
        <w:rPr>
          <w:rFonts w:hint="eastAsia" w:ascii="仿宋_GB2312" w:hAnsi="仿宋_GB2312" w:eastAsia="仿宋_GB2312" w:cs="仿宋_GB2312"/>
          <w:szCs w:val="32"/>
        </w:rPr>
        <w:t>县财</w:t>
      </w:r>
      <w:r>
        <w:rPr>
          <w:rFonts w:hint="eastAsia" w:ascii="仿宋_GB2312" w:hAnsi="仿宋_GB2312" w:eastAsia="仿宋_GB2312" w:cs="仿宋_GB2312"/>
          <w:color w:val="333333"/>
          <w:szCs w:val="32"/>
          <w:shd w:val="clear" w:color="auto" w:fill="FFFFFF"/>
        </w:rPr>
        <w:t xml:space="preserve">政局副局长 </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修炳厚   县卫生健康局副局长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黄忠水   县残疾人联合会副主席</w:t>
      </w:r>
    </w:p>
    <w:p>
      <w:pPr>
        <w:spacing w:line="580" w:lineRule="exact"/>
        <w:ind w:firstLine="1920" w:firstLineChars="6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何林盛   县总医院副院长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曾  倩   濉溪镇人民政府副镇长</w:t>
      </w:r>
    </w:p>
    <w:p>
      <w:pPr>
        <w:spacing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color w:val="333333"/>
          <w:szCs w:val="32"/>
          <w:shd w:val="clear" w:color="auto" w:fill="FFFFFF"/>
        </w:rPr>
        <w:t xml:space="preserve">        艾小玲   溪口镇党委委员、武装部部长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黄振宇   里心镇人民政府副镇长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张丽敏   黄埠乡人民政府副乡长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吴海宴   客坊乡统战委员兼副乡长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余文美   黄坊乡人民政府副乡长</w:t>
      </w:r>
    </w:p>
    <w:p>
      <w:pPr>
        <w:spacing w:line="580" w:lineRule="exact"/>
        <w:ind w:firstLine="640" w:firstLineChars="200"/>
        <w:rPr>
          <w:rFonts w:ascii="仿宋_GB2312" w:hAnsi="仿宋_GB2312" w:eastAsia="仿宋_GB2312" w:cs="仿宋_GB2312"/>
          <w:color w:val="333333"/>
          <w:spacing w:val="-28"/>
          <w:szCs w:val="32"/>
          <w:shd w:val="clear" w:color="auto" w:fill="FFFFFF"/>
        </w:rPr>
      </w:pPr>
      <w:r>
        <w:rPr>
          <w:rFonts w:hint="eastAsia" w:ascii="仿宋_GB2312" w:hAnsi="仿宋_GB2312" w:eastAsia="仿宋_GB2312" w:cs="仿宋_GB2312"/>
          <w:color w:val="333333"/>
          <w:szCs w:val="32"/>
          <w:shd w:val="clear" w:color="auto" w:fill="FFFFFF"/>
        </w:rPr>
        <w:t xml:space="preserve">        陈继祖   </w:t>
      </w:r>
      <w:r>
        <w:rPr>
          <w:rFonts w:hint="eastAsia" w:ascii="仿宋_GB2312" w:hAnsi="仿宋_GB2312" w:eastAsia="仿宋_GB2312" w:cs="仿宋_GB2312"/>
          <w:color w:val="333333"/>
          <w:spacing w:val="-28"/>
          <w:szCs w:val="32"/>
          <w:shd w:val="clear" w:color="auto" w:fill="FFFFFF"/>
        </w:rPr>
        <w:t xml:space="preserve">溪源乡乡村振兴综合服务中心主任    </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宁建斌   均口镇人民政府副镇长</w:t>
      </w:r>
    </w:p>
    <w:p>
      <w:pPr>
        <w:spacing w:line="580" w:lineRule="exact"/>
        <w:ind w:firstLine="640" w:firstLineChars="200"/>
        <w:rPr>
          <w:rFonts w:ascii="仿宋_GB2312" w:hAnsi="仿宋_GB2312" w:eastAsia="仿宋_GB2312" w:cs="仿宋_GB2312"/>
          <w:color w:val="333333"/>
          <w:szCs w:val="32"/>
          <w:shd w:val="clear" w:color="auto" w:fill="FFFFFF"/>
        </w:rPr>
      </w:pPr>
      <w:r>
        <w:rPr>
          <w:rFonts w:hint="eastAsia" w:ascii="仿宋_GB2312" w:hAnsi="仿宋_GB2312" w:eastAsia="仿宋_GB2312" w:cs="仿宋_GB2312"/>
          <w:color w:val="333333"/>
          <w:szCs w:val="32"/>
          <w:shd w:val="clear" w:color="auto" w:fill="FFFFFF"/>
        </w:rPr>
        <w:t xml:space="preserve">        魏雪梅   伊家乡人民政府副乡长</w:t>
      </w:r>
    </w:p>
    <w:p>
      <w:pPr>
        <w:spacing w:line="580" w:lineRule="exact"/>
        <w:ind w:firstLine="640" w:firstLineChars="200"/>
        <w:rPr>
          <w:rFonts w:ascii="黑体" w:hAnsi="黑体" w:eastAsia="黑体"/>
          <w:color w:val="000000" w:themeColor="text1"/>
          <w:szCs w:val="32"/>
        </w:rPr>
      </w:pPr>
      <w:r>
        <w:rPr>
          <w:rFonts w:hint="eastAsia" w:ascii="仿宋_GB2312" w:hAnsi="仿宋_GB2312" w:eastAsia="仿宋_GB2312" w:cs="仿宋_GB2312"/>
          <w:color w:val="333333"/>
          <w:szCs w:val="32"/>
          <w:shd w:val="clear" w:color="auto" w:fill="FFFFFF"/>
        </w:rPr>
        <w:t>领导小组下设办公室，办公地点设在县民政局。办公室主任由施建英兼任，谢凤金担任副主任，具体负责项目实施。今后，领导小组组成人员如有变动，由其所在单位接任领导自然替补。</w:t>
      </w:r>
    </w:p>
    <w:p>
      <w:pPr>
        <w:pStyle w:val="7"/>
        <w:kinsoku w:val="0"/>
        <w:overflowPunct w:val="0"/>
        <w:spacing w:line="440" w:lineRule="exact"/>
        <w:ind w:left="0"/>
        <w:rPr>
          <w:rFonts w:hint="default" w:ascii="黑体" w:hAnsi="黑体" w:eastAsia="黑体"/>
          <w:color w:val="000000" w:themeColor="text1"/>
          <w:sz w:val="32"/>
          <w:szCs w:val="32"/>
        </w:rPr>
      </w:pPr>
      <w:r>
        <w:rPr>
          <w:rFonts w:ascii="黑体" w:hAnsi="黑体" w:eastAsia="黑体"/>
          <w:color w:val="000000" w:themeColor="text1"/>
          <w:sz w:val="32"/>
          <w:szCs w:val="32"/>
        </w:rPr>
        <w:t>附件11</w:t>
      </w:r>
    </w:p>
    <w:p>
      <w:pPr>
        <w:pStyle w:val="7"/>
        <w:kinsoku w:val="0"/>
        <w:overflowPunct w:val="0"/>
        <w:spacing w:line="440" w:lineRule="exact"/>
        <w:ind w:left="0"/>
        <w:rPr>
          <w:rFonts w:hint="default" w:ascii="黑体" w:hAnsi="黑体" w:eastAsia="黑体"/>
          <w:color w:val="000000" w:themeColor="text1"/>
          <w:sz w:val="32"/>
          <w:szCs w:val="32"/>
        </w:rPr>
      </w:pPr>
    </w:p>
    <w:tbl>
      <w:tblPr>
        <w:tblStyle w:val="12"/>
        <w:tblW w:w="8843" w:type="dxa"/>
        <w:tblInd w:w="0" w:type="dxa"/>
        <w:tblLayout w:type="autofit"/>
        <w:tblCellMar>
          <w:top w:w="0" w:type="dxa"/>
          <w:left w:w="108" w:type="dxa"/>
          <w:bottom w:w="0" w:type="dxa"/>
          <w:right w:w="108" w:type="dxa"/>
        </w:tblCellMar>
      </w:tblPr>
      <w:tblGrid>
        <w:gridCol w:w="1101"/>
        <w:gridCol w:w="2268"/>
        <w:gridCol w:w="776"/>
        <w:gridCol w:w="993"/>
        <w:gridCol w:w="850"/>
        <w:gridCol w:w="1559"/>
        <w:gridCol w:w="1364"/>
      </w:tblGrid>
      <w:tr>
        <w:tblPrEx>
          <w:tblCellMar>
            <w:top w:w="0" w:type="dxa"/>
            <w:left w:w="108" w:type="dxa"/>
            <w:bottom w:w="0" w:type="dxa"/>
            <w:right w:w="108" w:type="dxa"/>
          </w:tblCellMar>
        </w:tblPrEx>
        <w:trPr>
          <w:trHeight w:val="741" w:hRule="atLeast"/>
        </w:trPr>
        <w:tc>
          <w:tcPr>
            <w:tcW w:w="8843" w:type="dxa"/>
            <w:gridSpan w:val="7"/>
            <w:tcBorders>
              <w:bottom w:val="single" w:color="auto" w:sz="4" w:space="0"/>
            </w:tcBorders>
            <w:shd w:val="clear" w:color="auto" w:fill="auto"/>
            <w:noWrap/>
            <w:vAlign w:val="center"/>
          </w:tcPr>
          <w:p>
            <w:pPr>
              <w:widowControl/>
              <w:jc w:val="center"/>
              <w:rPr>
                <w:rFonts w:ascii="黑体" w:hAnsi="黑体" w:eastAsia="黑体"/>
                <w:color w:val="000000" w:themeColor="text1"/>
                <w:szCs w:val="32"/>
              </w:rPr>
            </w:pPr>
            <w:r>
              <w:rPr>
                <w:rFonts w:hint="eastAsia" w:ascii="黑体" w:hAnsi="黑体" w:eastAsia="黑体"/>
                <w:color w:val="000000" w:themeColor="text1"/>
                <w:szCs w:val="32"/>
              </w:rPr>
              <w:t>建宁县居家和社区基本养老服务提升行动项目资金测算</w:t>
            </w:r>
          </w:p>
        </w:tc>
      </w:tr>
      <w:tr>
        <w:tblPrEx>
          <w:tblCellMar>
            <w:top w:w="0" w:type="dxa"/>
            <w:left w:w="108" w:type="dxa"/>
            <w:bottom w:w="0" w:type="dxa"/>
            <w:right w:w="108" w:type="dxa"/>
          </w:tblCellMar>
        </w:tblPrEx>
        <w:trPr>
          <w:trHeight w:val="483" w:hRule="atLeast"/>
        </w:trPr>
        <w:tc>
          <w:tcPr>
            <w:tcW w:w="33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项目</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次数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金额（元）</w:t>
            </w:r>
          </w:p>
        </w:tc>
        <w:tc>
          <w:tcPr>
            <w:tcW w:w="13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资金来源</w:t>
            </w:r>
          </w:p>
        </w:tc>
      </w:tr>
      <w:tr>
        <w:tblPrEx>
          <w:tblCellMar>
            <w:top w:w="0" w:type="dxa"/>
            <w:left w:w="108" w:type="dxa"/>
            <w:bottom w:w="0" w:type="dxa"/>
            <w:right w:w="108" w:type="dxa"/>
          </w:tblCellMar>
        </w:tblPrEx>
        <w:trPr>
          <w:trHeight w:val="4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家庭养老床位</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建床标准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425000</w:t>
            </w:r>
          </w:p>
        </w:tc>
        <w:tc>
          <w:tcPr>
            <w:tcW w:w="1364" w:type="dxa"/>
            <w:vMerge w:val="restart"/>
            <w:tcBorders>
              <w:top w:val="nil"/>
              <w:left w:val="nil"/>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中央财政</w:t>
            </w:r>
          </w:p>
        </w:tc>
      </w:tr>
      <w:tr>
        <w:tblPrEx>
          <w:tblCellMar>
            <w:top w:w="0" w:type="dxa"/>
            <w:left w:w="108" w:type="dxa"/>
            <w:bottom w:w="0" w:type="dxa"/>
            <w:right w:w="108" w:type="dxa"/>
          </w:tblCellMar>
        </w:tblPrEx>
        <w:trPr>
          <w:trHeight w:val="966" w:hRule="atLeast"/>
        </w:trPr>
        <w:tc>
          <w:tcPr>
            <w:tcW w:w="1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居家上门服务</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居家标准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255000</w:t>
            </w:r>
          </w:p>
        </w:tc>
        <w:tc>
          <w:tcPr>
            <w:tcW w:w="1364" w:type="dxa"/>
            <w:vMerge w:val="continue"/>
            <w:tcBorders>
              <w:left w:val="nil"/>
              <w:right w:val="single" w:color="auto" w:sz="4" w:space="0"/>
            </w:tcBorders>
            <w:shd w:val="clear" w:color="auto" w:fill="auto"/>
            <w:noWrap/>
            <w:vAlign w:val="center"/>
          </w:tcPr>
          <w:p>
            <w:pPr>
              <w:jc w:val="center"/>
              <w:rPr>
                <w:rFonts w:ascii="仿宋_GB2312" w:hAnsi="仿宋_GB2312" w:eastAsia="仿宋_GB2312" w:cs="仿宋_GB2312"/>
                <w:color w:val="000000" w:themeColor="text1"/>
                <w:sz w:val="28"/>
                <w:szCs w:val="28"/>
              </w:rPr>
            </w:pPr>
          </w:p>
        </w:tc>
      </w:tr>
      <w:tr>
        <w:tblPrEx>
          <w:tblCellMar>
            <w:top w:w="0" w:type="dxa"/>
            <w:left w:w="108" w:type="dxa"/>
            <w:bottom w:w="0" w:type="dxa"/>
            <w:right w:w="108" w:type="dxa"/>
          </w:tblCellMar>
        </w:tblPrEx>
        <w:trPr>
          <w:trHeight w:val="48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sz w:val="28"/>
                <w:szCs w:val="28"/>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医疗康复</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125</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170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255000</w:t>
            </w:r>
          </w:p>
        </w:tc>
        <w:tc>
          <w:tcPr>
            <w:tcW w:w="1364"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p>
        </w:tc>
      </w:tr>
      <w:tr>
        <w:tblPrEx>
          <w:tblCellMar>
            <w:top w:w="0" w:type="dxa"/>
            <w:left w:w="108" w:type="dxa"/>
            <w:bottom w:w="0" w:type="dxa"/>
            <w:right w:w="108" w:type="dxa"/>
          </w:tblCellMar>
        </w:tblPrEx>
        <w:trPr>
          <w:trHeight w:val="483" w:hRule="atLeast"/>
        </w:trPr>
        <w:tc>
          <w:tcPr>
            <w:tcW w:w="1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其他</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对象评估</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51000</w:t>
            </w:r>
          </w:p>
        </w:tc>
        <w:tc>
          <w:tcPr>
            <w:tcW w:w="13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县级财政</w:t>
            </w:r>
          </w:p>
        </w:tc>
      </w:tr>
      <w:tr>
        <w:tblPrEx>
          <w:tblCellMar>
            <w:top w:w="0" w:type="dxa"/>
            <w:left w:w="108" w:type="dxa"/>
            <w:bottom w:w="0" w:type="dxa"/>
            <w:right w:w="108" w:type="dxa"/>
          </w:tblCellMar>
        </w:tblPrEx>
        <w:trPr>
          <w:trHeight w:val="483" w:hRule="atLeast"/>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8"/>
                <w:szCs w:val="28"/>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其他（质量管理、绩效调查等）</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18000</w:t>
            </w:r>
          </w:p>
        </w:tc>
        <w:tc>
          <w:tcPr>
            <w:tcW w:w="1364" w:type="dxa"/>
            <w:vMerge w:val="restart"/>
            <w:tcBorders>
              <w:top w:val="nil"/>
              <w:left w:val="nil"/>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市级财政</w:t>
            </w:r>
          </w:p>
        </w:tc>
      </w:tr>
      <w:tr>
        <w:tblPrEx>
          <w:tblCellMar>
            <w:top w:w="0" w:type="dxa"/>
            <w:left w:w="108" w:type="dxa"/>
            <w:bottom w:w="0" w:type="dxa"/>
            <w:right w:w="108" w:type="dxa"/>
          </w:tblCellMar>
        </w:tblPrEx>
        <w:trPr>
          <w:trHeight w:val="483" w:hRule="atLeast"/>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sz w:val="28"/>
                <w:szCs w:val="28"/>
              </w:rPr>
            </w:pP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运营补贴</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100</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102000</w:t>
            </w:r>
          </w:p>
        </w:tc>
        <w:tc>
          <w:tcPr>
            <w:tcW w:w="1364"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p>
        </w:tc>
      </w:tr>
      <w:tr>
        <w:tblPrEx>
          <w:tblCellMar>
            <w:top w:w="0" w:type="dxa"/>
            <w:left w:w="108" w:type="dxa"/>
            <w:bottom w:w="0" w:type="dxa"/>
            <w:right w:w="108" w:type="dxa"/>
          </w:tblCellMar>
        </w:tblPrEx>
        <w:trPr>
          <w:trHeight w:val="540" w:hRule="atLeast"/>
        </w:trPr>
        <w:tc>
          <w:tcPr>
            <w:tcW w:w="59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1106000</w:t>
            </w:r>
          </w:p>
        </w:tc>
        <w:tc>
          <w:tcPr>
            <w:tcW w:w="13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w:t>
            </w:r>
          </w:p>
        </w:tc>
      </w:tr>
      <w:tr>
        <w:tblPrEx>
          <w:tblCellMar>
            <w:top w:w="0" w:type="dxa"/>
            <w:left w:w="108" w:type="dxa"/>
            <w:bottom w:w="0" w:type="dxa"/>
            <w:right w:w="108" w:type="dxa"/>
          </w:tblCellMar>
        </w:tblPrEx>
        <w:trPr>
          <w:trHeight w:val="4705" w:hRule="atLeast"/>
        </w:trPr>
        <w:tc>
          <w:tcPr>
            <w:tcW w:w="884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left"/>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说明：</w:t>
            </w:r>
          </w:p>
          <w:p>
            <w:pPr>
              <w:spacing w:line="3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1.项目预算金额110.6万元。其中，中央财政配套资金93.5万元，市级财政配套资金12万元，县级财政配套资金5.1万元。</w:t>
            </w:r>
          </w:p>
          <w:p>
            <w:pPr>
              <w:spacing w:line="3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2.未建床的居家养老服务，按照每月不低于2次，每次不超过50元的补贴标准，全年不低于30次；医疗康复服务按照每月不超过100元的补贴标准因刚需配置使用，全年不高于1200元，余额次年清零。</w:t>
            </w:r>
          </w:p>
          <w:p>
            <w:pPr>
              <w:spacing w:line="3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3.运营补贴，按照每床每月100元的标准，最多不超过10.2万元，资金由市级财政配套。</w:t>
            </w:r>
          </w:p>
          <w:p>
            <w:pPr>
              <w:spacing w:line="3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4.建床标准包含：建设家庭养老床位、适老化改造、智能化改造三个方面。</w:t>
            </w:r>
          </w:p>
          <w:p>
            <w:pPr>
              <w:spacing w:line="340" w:lineRule="exact"/>
              <w:ind w:firstLine="560" w:firstLineChars="200"/>
              <w:jc w:val="left"/>
              <w:rPr>
                <w:rFonts w:ascii="仿宋_GB2312" w:hAnsi="仿宋_GB2312" w:eastAsia="仿宋_GB2312" w:cs="仿宋_GB2312"/>
                <w:b/>
                <w:color w:val="000000" w:themeColor="text1"/>
                <w:sz w:val="28"/>
                <w:szCs w:val="28"/>
              </w:rPr>
            </w:pPr>
            <w:r>
              <w:rPr>
                <w:rFonts w:hint="eastAsia" w:ascii="仿宋_GB2312" w:hAnsi="仿宋_GB2312" w:eastAsia="仿宋_GB2312" w:cs="仿宋_GB2312"/>
                <w:color w:val="000000" w:themeColor="text1"/>
                <w:sz w:val="28"/>
                <w:szCs w:val="28"/>
              </w:rPr>
              <w:t>5.项目执行第二年起不再享受中央财政和市级财政补助，所需资金由县财政统筹，每年68.1万元。</w:t>
            </w:r>
          </w:p>
        </w:tc>
      </w:tr>
    </w:tbl>
    <w:p>
      <w:pPr>
        <w:pStyle w:val="7"/>
        <w:kinsoku w:val="0"/>
        <w:overflowPunct w:val="0"/>
        <w:spacing w:line="440" w:lineRule="exact"/>
        <w:ind w:left="0"/>
        <w:rPr>
          <w:rFonts w:hint="default" w:ascii="黑体" w:hAnsi="黑体" w:eastAsia="黑体"/>
          <w:color w:val="000000" w:themeColor="text1"/>
          <w:sz w:val="32"/>
          <w:szCs w:val="32"/>
        </w:rPr>
      </w:pPr>
    </w:p>
    <w:sectPr>
      <w:pgSz w:w="11906" w:h="16838"/>
      <w:pgMar w:top="164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16</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YTUyMDdiMDM5MjI5ZWQ3NWY5ZjI3MGFiMDdjOTEifQ=="/>
  </w:docVars>
  <w:rsids>
    <w:rsidRoot w:val="006A3481"/>
    <w:rsid w:val="000135D6"/>
    <w:rsid w:val="000178AE"/>
    <w:rsid w:val="00025108"/>
    <w:rsid w:val="000254C2"/>
    <w:rsid w:val="00031D1D"/>
    <w:rsid w:val="000347F6"/>
    <w:rsid w:val="00037C68"/>
    <w:rsid w:val="00085FA3"/>
    <w:rsid w:val="00096E47"/>
    <w:rsid w:val="000A2264"/>
    <w:rsid w:val="000A28C0"/>
    <w:rsid w:val="000A3270"/>
    <w:rsid w:val="000B098C"/>
    <w:rsid w:val="000B6A1B"/>
    <w:rsid w:val="000C2835"/>
    <w:rsid w:val="000C5314"/>
    <w:rsid w:val="000D3DEF"/>
    <w:rsid w:val="000D6CA3"/>
    <w:rsid w:val="00101160"/>
    <w:rsid w:val="00103E97"/>
    <w:rsid w:val="00107C02"/>
    <w:rsid w:val="00125D76"/>
    <w:rsid w:val="00132E75"/>
    <w:rsid w:val="001350B0"/>
    <w:rsid w:val="001407F8"/>
    <w:rsid w:val="00140C2A"/>
    <w:rsid w:val="0015341E"/>
    <w:rsid w:val="00156A42"/>
    <w:rsid w:val="00165B80"/>
    <w:rsid w:val="00175E86"/>
    <w:rsid w:val="00195DCE"/>
    <w:rsid w:val="001A000D"/>
    <w:rsid w:val="001A78C8"/>
    <w:rsid w:val="001B19F4"/>
    <w:rsid w:val="001C4A87"/>
    <w:rsid w:val="001D7C52"/>
    <w:rsid w:val="00205301"/>
    <w:rsid w:val="002061B9"/>
    <w:rsid w:val="0021089B"/>
    <w:rsid w:val="00214DC3"/>
    <w:rsid w:val="002178F2"/>
    <w:rsid w:val="0025040F"/>
    <w:rsid w:val="0025552C"/>
    <w:rsid w:val="00262084"/>
    <w:rsid w:val="00276952"/>
    <w:rsid w:val="0028770B"/>
    <w:rsid w:val="002B27EC"/>
    <w:rsid w:val="002C0B86"/>
    <w:rsid w:val="002C443C"/>
    <w:rsid w:val="002D2919"/>
    <w:rsid w:val="002E3A1D"/>
    <w:rsid w:val="002E7A36"/>
    <w:rsid w:val="00302E35"/>
    <w:rsid w:val="003033CD"/>
    <w:rsid w:val="00305042"/>
    <w:rsid w:val="003071C8"/>
    <w:rsid w:val="003121DE"/>
    <w:rsid w:val="00315B51"/>
    <w:rsid w:val="00325FC8"/>
    <w:rsid w:val="00346D82"/>
    <w:rsid w:val="00357531"/>
    <w:rsid w:val="00370B88"/>
    <w:rsid w:val="00371EBC"/>
    <w:rsid w:val="00376729"/>
    <w:rsid w:val="00381989"/>
    <w:rsid w:val="00382E5C"/>
    <w:rsid w:val="003A50FB"/>
    <w:rsid w:val="003B4EC4"/>
    <w:rsid w:val="003C17E9"/>
    <w:rsid w:val="003C25B7"/>
    <w:rsid w:val="003E0A5B"/>
    <w:rsid w:val="003E3406"/>
    <w:rsid w:val="003F54AF"/>
    <w:rsid w:val="003F6DED"/>
    <w:rsid w:val="00405FD4"/>
    <w:rsid w:val="00407B8C"/>
    <w:rsid w:val="00412819"/>
    <w:rsid w:val="0042163E"/>
    <w:rsid w:val="004268F5"/>
    <w:rsid w:val="00430391"/>
    <w:rsid w:val="0043357C"/>
    <w:rsid w:val="00434BE2"/>
    <w:rsid w:val="00445439"/>
    <w:rsid w:val="00451306"/>
    <w:rsid w:val="00454AA7"/>
    <w:rsid w:val="004573D5"/>
    <w:rsid w:val="00465296"/>
    <w:rsid w:val="00473B76"/>
    <w:rsid w:val="00474F7F"/>
    <w:rsid w:val="00480F9A"/>
    <w:rsid w:val="004833EB"/>
    <w:rsid w:val="00486AA6"/>
    <w:rsid w:val="00493A68"/>
    <w:rsid w:val="004C4CAB"/>
    <w:rsid w:val="004C6BA6"/>
    <w:rsid w:val="004D11D4"/>
    <w:rsid w:val="004E47BC"/>
    <w:rsid w:val="00501808"/>
    <w:rsid w:val="00514138"/>
    <w:rsid w:val="0051431B"/>
    <w:rsid w:val="00524221"/>
    <w:rsid w:val="005277D4"/>
    <w:rsid w:val="00533519"/>
    <w:rsid w:val="00540819"/>
    <w:rsid w:val="00542A57"/>
    <w:rsid w:val="0056398E"/>
    <w:rsid w:val="005677A0"/>
    <w:rsid w:val="00572E11"/>
    <w:rsid w:val="00576138"/>
    <w:rsid w:val="005775FB"/>
    <w:rsid w:val="0058249C"/>
    <w:rsid w:val="00586063"/>
    <w:rsid w:val="00590E7D"/>
    <w:rsid w:val="00596294"/>
    <w:rsid w:val="005A0E5F"/>
    <w:rsid w:val="005B1661"/>
    <w:rsid w:val="005B68D9"/>
    <w:rsid w:val="005C79F4"/>
    <w:rsid w:val="005D0542"/>
    <w:rsid w:val="005D67E3"/>
    <w:rsid w:val="005E056F"/>
    <w:rsid w:val="005E4A65"/>
    <w:rsid w:val="005F0101"/>
    <w:rsid w:val="00600218"/>
    <w:rsid w:val="006154EA"/>
    <w:rsid w:val="00615E28"/>
    <w:rsid w:val="00623ADF"/>
    <w:rsid w:val="006249CC"/>
    <w:rsid w:val="00627120"/>
    <w:rsid w:val="00627FC9"/>
    <w:rsid w:val="006348F4"/>
    <w:rsid w:val="00636A12"/>
    <w:rsid w:val="00645A0F"/>
    <w:rsid w:val="00650495"/>
    <w:rsid w:val="00661F67"/>
    <w:rsid w:val="00672A31"/>
    <w:rsid w:val="00672F65"/>
    <w:rsid w:val="00673C24"/>
    <w:rsid w:val="0068648C"/>
    <w:rsid w:val="00692858"/>
    <w:rsid w:val="006A3481"/>
    <w:rsid w:val="006B0BEB"/>
    <w:rsid w:val="006D2CBC"/>
    <w:rsid w:val="006D3477"/>
    <w:rsid w:val="006F1B0D"/>
    <w:rsid w:val="006F4727"/>
    <w:rsid w:val="00702BFF"/>
    <w:rsid w:val="0070587E"/>
    <w:rsid w:val="00707EAF"/>
    <w:rsid w:val="00712FBE"/>
    <w:rsid w:val="007149C4"/>
    <w:rsid w:val="00763FAC"/>
    <w:rsid w:val="00774BAC"/>
    <w:rsid w:val="00783E26"/>
    <w:rsid w:val="0078603A"/>
    <w:rsid w:val="00787DFF"/>
    <w:rsid w:val="007A3FFC"/>
    <w:rsid w:val="007C39EB"/>
    <w:rsid w:val="007C3F9A"/>
    <w:rsid w:val="007C4CE2"/>
    <w:rsid w:val="007C6DF6"/>
    <w:rsid w:val="007D2BB9"/>
    <w:rsid w:val="007F40C8"/>
    <w:rsid w:val="00800A03"/>
    <w:rsid w:val="00825557"/>
    <w:rsid w:val="008271A6"/>
    <w:rsid w:val="008372D7"/>
    <w:rsid w:val="00844594"/>
    <w:rsid w:val="0085214A"/>
    <w:rsid w:val="00854D6A"/>
    <w:rsid w:val="00867E50"/>
    <w:rsid w:val="00873007"/>
    <w:rsid w:val="00883D77"/>
    <w:rsid w:val="0088594B"/>
    <w:rsid w:val="008A242D"/>
    <w:rsid w:val="008A3954"/>
    <w:rsid w:val="008A3E21"/>
    <w:rsid w:val="008A6699"/>
    <w:rsid w:val="008A7146"/>
    <w:rsid w:val="008B6A72"/>
    <w:rsid w:val="008C0FAD"/>
    <w:rsid w:val="008C1815"/>
    <w:rsid w:val="008D425A"/>
    <w:rsid w:val="008F3A92"/>
    <w:rsid w:val="00903358"/>
    <w:rsid w:val="00907FFA"/>
    <w:rsid w:val="0091230C"/>
    <w:rsid w:val="0092457C"/>
    <w:rsid w:val="009269A2"/>
    <w:rsid w:val="00936121"/>
    <w:rsid w:val="00945F74"/>
    <w:rsid w:val="009476AB"/>
    <w:rsid w:val="009614BA"/>
    <w:rsid w:val="009A38C7"/>
    <w:rsid w:val="009A3C05"/>
    <w:rsid w:val="009B33FA"/>
    <w:rsid w:val="009B7A3E"/>
    <w:rsid w:val="009C2069"/>
    <w:rsid w:val="009C60E1"/>
    <w:rsid w:val="009D1D19"/>
    <w:rsid w:val="009E049C"/>
    <w:rsid w:val="009E45E7"/>
    <w:rsid w:val="009F2E6D"/>
    <w:rsid w:val="009F5D20"/>
    <w:rsid w:val="00A16F2A"/>
    <w:rsid w:val="00A17A77"/>
    <w:rsid w:val="00A24CD8"/>
    <w:rsid w:val="00A36751"/>
    <w:rsid w:val="00A4002C"/>
    <w:rsid w:val="00A46C41"/>
    <w:rsid w:val="00A642D5"/>
    <w:rsid w:val="00A7066D"/>
    <w:rsid w:val="00A76885"/>
    <w:rsid w:val="00A82FCF"/>
    <w:rsid w:val="00A848F4"/>
    <w:rsid w:val="00AA593B"/>
    <w:rsid w:val="00AA5AFC"/>
    <w:rsid w:val="00AB52A0"/>
    <w:rsid w:val="00AB7751"/>
    <w:rsid w:val="00AC77D0"/>
    <w:rsid w:val="00AD6FA5"/>
    <w:rsid w:val="00AF0222"/>
    <w:rsid w:val="00AF3AFE"/>
    <w:rsid w:val="00B04DDA"/>
    <w:rsid w:val="00B14E26"/>
    <w:rsid w:val="00B23F45"/>
    <w:rsid w:val="00B24117"/>
    <w:rsid w:val="00B26418"/>
    <w:rsid w:val="00B41527"/>
    <w:rsid w:val="00B466D0"/>
    <w:rsid w:val="00B469FC"/>
    <w:rsid w:val="00B47114"/>
    <w:rsid w:val="00B5136B"/>
    <w:rsid w:val="00B710D7"/>
    <w:rsid w:val="00B82618"/>
    <w:rsid w:val="00B83967"/>
    <w:rsid w:val="00B93495"/>
    <w:rsid w:val="00B95F52"/>
    <w:rsid w:val="00B9782E"/>
    <w:rsid w:val="00BA407A"/>
    <w:rsid w:val="00BB224F"/>
    <w:rsid w:val="00BD6632"/>
    <w:rsid w:val="00BE1F7E"/>
    <w:rsid w:val="00BE2F33"/>
    <w:rsid w:val="00BE37F7"/>
    <w:rsid w:val="00BF2E91"/>
    <w:rsid w:val="00C13E15"/>
    <w:rsid w:val="00C155A1"/>
    <w:rsid w:val="00C26F2E"/>
    <w:rsid w:val="00C71F3B"/>
    <w:rsid w:val="00C72A2F"/>
    <w:rsid w:val="00C73306"/>
    <w:rsid w:val="00C737E7"/>
    <w:rsid w:val="00C73F6F"/>
    <w:rsid w:val="00C81738"/>
    <w:rsid w:val="00CA4431"/>
    <w:rsid w:val="00CA50EE"/>
    <w:rsid w:val="00CA6C96"/>
    <w:rsid w:val="00CC4C80"/>
    <w:rsid w:val="00CC5235"/>
    <w:rsid w:val="00CC6A2E"/>
    <w:rsid w:val="00CD0543"/>
    <w:rsid w:val="00CD5FEB"/>
    <w:rsid w:val="00CF4804"/>
    <w:rsid w:val="00D1695D"/>
    <w:rsid w:val="00D16E90"/>
    <w:rsid w:val="00D2505E"/>
    <w:rsid w:val="00D26053"/>
    <w:rsid w:val="00D31FBD"/>
    <w:rsid w:val="00D45E17"/>
    <w:rsid w:val="00D4720C"/>
    <w:rsid w:val="00D47460"/>
    <w:rsid w:val="00D53083"/>
    <w:rsid w:val="00D63FDB"/>
    <w:rsid w:val="00D742B6"/>
    <w:rsid w:val="00D74FBA"/>
    <w:rsid w:val="00D818A7"/>
    <w:rsid w:val="00D83F59"/>
    <w:rsid w:val="00D858D4"/>
    <w:rsid w:val="00D86EDE"/>
    <w:rsid w:val="00D93EBF"/>
    <w:rsid w:val="00DB0DB6"/>
    <w:rsid w:val="00DE0172"/>
    <w:rsid w:val="00DE62AF"/>
    <w:rsid w:val="00DF0941"/>
    <w:rsid w:val="00DF1E2F"/>
    <w:rsid w:val="00DF58D6"/>
    <w:rsid w:val="00E250EE"/>
    <w:rsid w:val="00E26E06"/>
    <w:rsid w:val="00E2791F"/>
    <w:rsid w:val="00E33239"/>
    <w:rsid w:val="00E52046"/>
    <w:rsid w:val="00E65210"/>
    <w:rsid w:val="00E729C8"/>
    <w:rsid w:val="00E76B2E"/>
    <w:rsid w:val="00E76FA0"/>
    <w:rsid w:val="00E80634"/>
    <w:rsid w:val="00E84CC5"/>
    <w:rsid w:val="00E94C6B"/>
    <w:rsid w:val="00E95B04"/>
    <w:rsid w:val="00E964C5"/>
    <w:rsid w:val="00E977AC"/>
    <w:rsid w:val="00EA296B"/>
    <w:rsid w:val="00EA5F8D"/>
    <w:rsid w:val="00F12ACF"/>
    <w:rsid w:val="00F22311"/>
    <w:rsid w:val="00F2388D"/>
    <w:rsid w:val="00F27008"/>
    <w:rsid w:val="00F41AA8"/>
    <w:rsid w:val="00F658D3"/>
    <w:rsid w:val="00F74CF2"/>
    <w:rsid w:val="00F76A16"/>
    <w:rsid w:val="00F779B2"/>
    <w:rsid w:val="00F90529"/>
    <w:rsid w:val="00F976B8"/>
    <w:rsid w:val="00FA0F3C"/>
    <w:rsid w:val="00FC6638"/>
    <w:rsid w:val="01EA1863"/>
    <w:rsid w:val="02685C0C"/>
    <w:rsid w:val="030603AE"/>
    <w:rsid w:val="04D330E5"/>
    <w:rsid w:val="058D6A20"/>
    <w:rsid w:val="059F5A82"/>
    <w:rsid w:val="07264904"/>
    <w:rsid w:val="074D717F"/>
    <w:rsid w:val="08734A2E"/>
    <w:rsid w:val="08C50C45"/>
    <w:rsid w:val="09C36515"/>
    <w:rsid w:val="09C94AB7"/>
    <w:rsid w:val="0C5F5FB6"/>
    <w:rsid w:val="0D8207A7"/>
    <w:rsid w:val="0E924011"/>
    <w:rsid w:val="0EDE0217"/>
    <w:rsid w:val="0EE65C08"/>
    <w:rsid w:val="11E06E41"/>
    <w:rsid w:val="140B63F8"/>
    <w:rsid w:val="14186369"/>
    <w:rsid w:val="1537146E"/>
    <w:rsid w:val="15BD1974"/>
    <w:rsid w:val="16135A37"/>
    <w:rsid w:val="162C0B37"/>
    <w:rsid w:val="16E641F3"/>
    <w:rsid w:val="171A4BA4"/>
    <w:rsid w:val="18616F2E"/>
    <w:rsid w:val="194859F8"/>
    <w:rsid w:val="1ADA4D76"/>
    <w:rsid w:val="1B532323"/>
    <w:rsid w:val="1D5317F9"/>
    <w:rsid w:val="1DBB16FD"/>
    <w:rsid w:val="1E262080"/>
    <w:rsid w:val="200A09E3"/>
    <w:rsid w:val="20D0745E"/>
    <w:rsid w:val="21750510"/>
    <w:rsid w:val="217750CC"/>
    <w:rsid w:val="22B8599C"/>
    <w:rsid w:val="231D6512"/>
    <w:rsid w:val="233B037C"/>
    <w:rsid w:val="23E96221"/>
    <w:rsid w:val="24D171E9"/>
    <w:rsid w:val="24DA7AFC"/>
    <w:rsid w:val="24EB567A"/>
    <w:rsid w:val="26633E71"/>
    <w:rsid w:val="27473A40"/>
    <w:rsid w:val="27606603"/>
    <w:rsid w:val="27846795"/>
    <w:rsid w:val="28955807"/>
    <w:rsid w:val="28F039B6"/>
    <w:rsid w:val="2A007C29"/>
    <w:rsid w:val="2B6064F0"/>
    <w:rsid w:val="2BF8505C"/>
    <w:rsid w:val="2D03015C"/>
    <w:rsid w:val="2D917516"/>
    <w:rsid w:val="2DF53F49"/>
    <w:rsid w:val="2E4D6B60"/>
    <w:rsid w:val="2E60513A"/>
    <w:rsid w:val="2EBB45C8"/>
    <w:rsid w:val="2F1D746F"/>
    <w:rsid w:val="2F9B467C"/>
    <w:rsid w:val="2FF92623"/>
    <w:rsid w:val="30DC319E"/>
    <w:rsid w:val="31CF685F"/>
    <w:rsid w:val="31F65C2F"/>
    <w:rsid w:val="34124CFD"/>
    <w:rsid w:val="345B262C"/>
    <w:rsid w:val="34811D68"/>
    <w:rsid w:val="35AA1FAE"/>
    <w:rsid w:val="35BF4381"/>
    <w:rsid w:val="36486BE0"/>
    <w:rsid w:val="377834F5"/>
    <w:rsid w:val="379540A7"/>
    <w:rsid w:val="3AF13CEA"/>
    <w:rsid w:val="3B4958D4"/>
    <w:rsid w:val="3BCD3BC7"/>
    <w:rsid w:val="3BE178BA"/>
    <w:rsid w:val="3C5F6052"/>
    <w:rsid w:val="3F3F1106"/>
    <w:rsid w:val="3FA47013"/>
    <w:rsid w:val="406D1544"/>
    <w:rsid w:val="410C362B"/>
    <w:rsid w:val="416F7716"/>
    <w:rsid w:val="41923405"/>
    <w:rsid w:val="420C1409"/>
    <w:rsid w:val="42980EEF"/>
    <w:rsid w:val="42F51A38"/>
    <w:rsid w:val="43BF0097"/>
    <w:rsid w:val="44641089"/>
    <w:rsid w:val="45132AAF"/>
    <w:rsid w:val="45264590"/>
    <w:rsid w:val="457317C2"/>
    <w:rsid w:val="458D460F"/>
    <w:rsid w:val="45CB6DEB"/>
    <w:rsid w:val="46054AED"/>
    <w:rsid w:val="4613616B"/>
    <w:rsid w:val="46873754"/>
    <w:rsid w:val="47590694"/>
    <w:rsid w:val="485E2293"/>
    <w:rsid w:val="49ED4877"/>
    <w:rsid w:val="4AF64A04"/>
    <w:rsid w:val="4CEE62DB"/>
    <w:rsid w:val="4DF06C22"/>
    <w:rsid w:val="4E040B35"/>
    <w:rsid w:val="4E6907CF"/>
    <w:rsid w:val="4E7E543D"/>
    <w:rsid w:val="4E9702AC"/>
    <w:rsid w:val="4F644633"/>
    <w:rsid w:val="50EA53AC"/>
    <w:rsid w:val="52663C39"/>
    <w:rsid w:val="529671F9"/>
    <w:rsid w:val="53876B42"/>
    <w:rsid w:val="53901E9A"/>
    <w:rsid w:val="552363E4"/>
    <w:rsid w:val="56075D18"/>
    <w:rsid w:val="568B6949"/>
    <w:rsid w:val="569F41A2"/>
    <w:rsid w:val="56A33CDA"/>
    <w:rsid w:val="580C5867"/>
    <w:rsid w:val="582F426E"/>
    <w:rsid w:val="58540069"/>
    <w:rsid w:val="58DD0FB2"/>
    <w:rsid w:val="59306276"/>
    <w:rsid w:val="5973550C"/>
    <w:rsid w:val="5AD307E3"/>
    <w:rsid w:val="5AFA732F"/>
    <w:rsid w:val="5B482AE8"/>
    <w:rsid w:val="5CBC7B06"/>
    <w:rsid w:val="5E965AE8"/>
    <w:rsid w:val="6142679E"/>
    <w:rsid w:val="614C3178"/>
    <w:rsid w:val="61A4695A"/>
    <w:rsid w:val="61C251E9"/>
    <w:rsid w:val="62A35728"/>
    <w:rsid w:val="6331679D"/>
    <w:rsid w:val="646E7EC2"/>
    <w:rsid w:val="67810144"/>
    <w:rsid w:val="67CC6DC1"/>
    <w:rsid w:val="68B6530B"/>
    <w:rsid w:val="6A0A597F"/>
    <w:rsid w:val="6A402C68"/>
    <w:rsid w:val="6A6D4D5E"/>
    <w:rsid w:val="6B460C38"/>
    <w:rsid w:val="6B773A97"/>
    <w:rsid w:val="6CED5810"/>
    <w:rsid w:val="6E1F50EF"/>
    <w:rsid w:val="70C40F7D"/>
    <w:rsid w:val="71B5440A"/>
    <w:rsid w:val="720F7FD6"/>
    <w:rsid w:val="72203F91"/>
    <w:rsid w:val="726A7902"/>
    <w:rsid w:val="743159BC"/>
    <w:rsid w:val="75A31161"/>
    <w:rsid w:val="76090EE1"/>
    <w:rsid w:val="76802CC5"/>
    <w:rsid w:val="78650950"/>
    <w:rsid w:val="7AE644BD"/>
    <w:rsid w:val="7BD75BD8"/>
    <w:rsid w:val="7CA0119A"/>
    <w:rsid w:val="7D8555F0"/>
    <w:rsid w:val="7E2B6198"/>
    <w:rsid w:val="7F6F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napToGrid w:val="0"/>
      <w:sz w:val="32"/>
      <w:szCs w:val="24"/>
      <w:lang w:val="en-US" w:eastAsia="zh-CN" w:bidi="ar-SA"/>
    </w:rPr>
  </w:style>
  <w:style w:type="paragraph" w:styleId="4">
    <w:name w:val="heading 1"/>
    <w:next w:val="1"/>
    <w:qFormat/>
    <w:uiPriority w:val="0"/>
    <w:pPr>
      <w:keepNext/>
      <w:keepLines/>
      <w:spacing w:before="340" w:after="330" w:line="576" w:lineRule="auto"/>
      <w:outlineLvl w:val="0"/>
    </w:pPr>
    <w:rPr>
      <w:rFonts w:ascii="Calibri" w:hAnsi="Calibri" w:eastAsia="黑体" w:cs="宋体"/>
      <w:kern w:val="44"/>
      <w:sz w:val="32"/>
      <w:lang w:val="en-US" w:eastAsia="zh-CN" w:bidi="ar-SA"/>
    </w:rPr>
  </w:style>
  <w:style w:type="paragraph" w:styleId="5">
    <w:name w:val="heading 2"/>
    <w:next w:val="1"/>
    <w:qFormat/>
    <w:uiPriority w:val="0"/>
    <w:pPr>
      <w:keepNext/>
      <w:keepLines/>
      <w:spacing w:before="260" w:after="260" w:line="413" w:lineRule="auto"/>
      <w:ind w:firstLine="880" w:firstLineChars="200"/>
      <w:outlineLvl w:val="1"/>
    </w:pPr>
    <w:rPr>
      <w:rFonts w:ascii="Arial" w:hAnsi="Arial" w:eastAsia="仿宋" w:cs="宋体"/>
      <w:b/>
      <w:sz w:val="32"/>
      <w:lang w:val="en-US" w:eastAsia="zh-CN" w:bidi="ar-SA"/>
    </w:rPr>
  </w:style>
  <w:style w:type="paragraph" w:styleId="6">
    <w:name w:val="heading 3"/>
    <w:next w:val="1"/>
    <w:link w:val="17"/>
    <w:qFormat/>
    <w:uiPriority w:val="0"/>
    <w:pPr>
      <w:keepNext/>
      <w:keepLines/>
      <w:spacing w:before="260" w:after="260"/>
      <w:ind w:firstLine="880" w:firstLineChars="200"/>
      <w:outlineLvl w:val="2"/>
    </w:pPr>
    <w:rPr>
      <w:rFonts w:ascii="Calibri" w:hAnsi="Calibri" w:eastAsia="仿宋" w:cs="宋体"/>
      <w:b/>
      <w:sz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after="120"/>
      <w:ind w:left="420" w:leftChars="200"/>
    </w:pPr>
  </w:style>
  <w:style w:type="paragraph" w:styleId="7">
    <w:name w:val="Body Text"/>
    <w:basedOn w:val="1"/>
    <w:qFormat/>
    <w:uiPriority w:val="1"/>
    <w:pPr>
      <w:ind w:left="107"/>
    </w:pPr>
    <w:rPr>
      <w:rFonts w:hint="eastAsia" w:ascii="宋体"/>
      <w:sz w:val="29"/>
      <w:szCs w:val="29"/>
    </w:rPr>
  </w:style>
  <w:style w:type="paragraph" w:styleId="8">
    <w:name w:val="Plain Text"/>
    <w:basedOn w:val="1"/>
    <w:link w:val="20"/>
    <w:semiHidden/>
    <w:unhideWhenUsed/>
    <w:qFormat/>
    <w:uiPriority w:val="99"/>
    <w:rPr>
      <w:rFonts w:ascii="宋体" w:hAnsi="Courier New" w:cs="Courier New"/>
      <w:szCs w:val="21"/>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sz w:val="24"/>
    </w:r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0"/>
    <w:rPr>
      <w:kern w:val="2"/>
      <w:sz w:val="18"/>
      <w:szCs w:val="18"/>
    </w:rPr>
  </w:style>
  <w:style w:type="character" w:customStyle="1" w:styleId="16">
    <w:name w:val="页脚 Char"/>
    <w:basedOn w:val="14"/>
    <w:link w:val="9"/>
    <w:qFormat/>
    <w:uiPriority w:val="99"/>
    <w:rPr>
      <w:kern w:val="2"/>
      <w:sz w:val="18"/>
      <w:szCs w:val="18"/>
    </w:rPr>
  </w:style>
  <w:style w:type="character" w:customStyle="1" w:styleId="17">
    <w:name w:val="标题 3 Char"/>
    <w:link w:val="6"/>
    <w:qFormat/>
    <w:uiPriority w:val="0"/>
    <w:rPr>
      <w:rFonts w:ascii="Calibri" w:hAnsi="Calibri" w:eastAsia="仿宋"/>
      <w:b/>
      <w:sz w:val="32"/>
    </w:rPr>
  </w:style>
  <w:style w:type="paragraph" w:styleId="18">
    <w:name w:val="List Paragraph"/>
    <w:basedOn w:val="1"/>
    <w:qFormat/>
    <w:uiPriority w:val="99"/>
    <w:pPr>
      <w:ind w:firstLine="420" w:firstLineChars="200"/>
    </w:pPr>
  </w:style>
  <w:style w:type="paragraph" w:customStyle="1" w:styleId="19">
    <w:name w:val="新正文"/>
    <w:basedOn w:val="8"/>
    <w:next w:val="1"/>
    <w:qFormat/>
    <w:uiPriority w:val="99"/>
    <w:pPr>
      <w:ind w:firstLine="200" w:firstLineChars="200"/>
    </w:pPr>
    <w:rPr>
      <w:rFonts w:ascii="仿宋_GB2312"/>
      <w:szCs w:val="20"/>
    </w:rPr>
  </w:style>
  <w:style w:type="character" w:customStyle="1" w:styleId="20">
    <w:name w:val="纯文本 Char"/>
    <w:basedOn w:val="14"/>
    <w:link w:val="8"/>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12225</Words>
  <Characters>12671</Characters>
  <Lines>101</Lines>
  <Paragraphs>28</Paragraphs>
  <TotalTime>49</TotalTime>
  <ScaleCrop>false</ScaleCrop>
  <LinksUpToDate>false</LinksUpToDate>
  <CharactersWithSpaces>13451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2022-11-23T09:39:00Z</dcterms:created>
  <dc:creator>lenovo</dc:creator>
  <cp:lastModifiedBy>Administrator</cp:lastModifiedBy>
  <cp:lastPrinted>2022-11-18T01:04:00Z</cp:lastPrinted>
  <dcterms:modified xsi:type="dcterms:W3CDTF">2023-08-09T09:02:40Z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0E979786B54D4C15B35C108BE8A212F2_13</vt:lpwstr>
  </property>
</Properties>
</file>