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480" w:lineRule="auto"/>
        <w:ind w:firstLine="0" w:firstLineChars="0"/>
        <w:jc w:val="center"/>
        <w:rPr>
          <w:rFonts w:hint="default" w:ascii="黑体" w:hAnsi="黑体" w:eastAsia="黑体"/>
          <w:b/>
          <w:bCs/>
          <w:kern w:val="2"/>
          <w:sz w:val="44"/>
          <w:szCs w:val="44"/>
          <w:lang w:val="en-US"/>
        </w:rPr>
      </w:pPr>
    </w:p>
    <w:p>
      <w:pPr>
        <w:autoSpaceDE w:val="0"/>
        <w:autoSpaceDN w:val="0"/>
        <w:adjustRightInd w:val="0"/>
        <w:spacing w:line="480" w:lineRule="auto"/>
        <w:ind w:firstLine="0" w:firstLineChars="0"/>
        <w:jc w:val="center"/>
        <w:rPr>
          <w:rFonts w:ascii="黑体" w:hAnsi="黑体" w:eastAsia="黑体"/>
          <w:b/>
          <w:bCs/>
          <w:kern w:val="2"/>
          <w:sz w:val="52"/>
          <w:szCs w:val="52"/>
          <w:lang w:val="en-US"/>
        </w:rPr>
      </w:pPr>
      <w:r>
        <w:rPr>
          <w:rFonts w:ascii="黑体" w:hAnsi="黑体" w:eastAsia="黑体"/>
          <w:b/>
          <w:bCs/>
          <w:kern w:val="2"/>
          <w:sz w:val="52"/>
          <w:szCs w:val="52"/>
          <w:lang w:val="en-US"/>
        </w:rPr>
        <w:t>建宁县</w:t>
      </w:r>
      <w:r>
        <w:rPr>
          <w:rFonts w:hint="default" w:ascii="黑体" w:hAnsi="黑体" w:eastAsia="黑体"/>
          <w:b/>
          <w:bCs/>
          <w:kern w:val="2"/>
          <w:sz w:val="52"/>
          <w:szCs w:val="52"/>
          <w:lang w:val="en-US"/>
        </w:rPr>
        <w:t>畜牧业发展规划</w:t>
      </w:r>
    </w:p>
    <w:p>
      <w:pPr>
        <w:autoSpaceDE w:val="0"/>
        <w:autoSpaceDN w:val="0"/>
        <w:adjustRightInd w:val="0"/>
        <w:spacing w:line="480" w:lineRule="auto"/>
        <w:ind w:firstLine="0" w:firstLineChars="0"/>
        <w:jc w:val="center"/>
        <w:rPr>
          <w:rFonts w:hint="default" w:ascii="黑体" w:hAnsi="黑体" w:eastAsia="黑体"/>
          <w:b/>
          <w:bCs/>
          <w:kern w:val="2"/>
          <w:sz w:val="52"/>
          <w:szCs w:val="52"/>
          <w:lang w:val="en-US"/>
        </w:rPr>
      </w:pPr>
      <w:r>
        <w:rPr>
          <w:rFonts w:ascii="黑体" w:hAnsi="黑体" w:eastAsia="黑体"/>
          <w:b/>
          <w:bCs/>
          <w:kern w:val="2"/>
          <w:sz w:val="52"/>
          <w:szCs w:val="52"/>
          <w:lang w:val="en-US"/>
        </w:rPr>
        <w:t>（2021年-2025年）</w:t>
      </w:r>
    </w:p>
    <w:p>
      <w:pPr>
        <w:autoSpaceDE w:val="0"/>
        <w:autoSpaceDN w:val="0"/>
        <w:adjustRightInd w:val="0"/>
        <w:spacing w:line="480" w:lineRule="auto"/>
        <w:ind w:firstLine="0" w:firstLineChars="0"/>
        <w:jc w:val="center"/>
        <w:rPr>
          <w:rFonts w:hint="default" w:ascii="黑体" w:hAnsi="黑体" w:eastAsia="黑体"/>
          <w:b/>
          <w:bCs/>
          <w:kern w:val="2"/>
          <w:sz w:val="44"/>
          <w:szCs w:val="44"/>
          <w:lang w:val="en-US"/>
        </w:rPr>
      </w:pPr>
    </w:p>
    <w:p>
      <w:pPr>
        <w:tabs>
          <w:tab w:val="left" w:pos="2150"/>
        </w:tabs>
        <w:autoSpaceDE w:val="0"/>
        <w:autoSpaceDN w:val="0"/>
        <w:adjustRightInd w:val="0"/>
        <w:spacing w:line="480" w:lineRule="auto"/>
        <w:ind w:firstLine="0" w:firstLineChars="0"/>
        <w:jc w:val="center"/>
        <w:rPr>
          <w:rFonts w:hint="default" w:ascii="楷体" w:hAnsi="楷体" w:eastAsia="楷体"/>
          <w:b/>
          <w:sz w:val="36"/>
          <w:szCs w:val="36"/>
          <w:lang w:val="en-US"/>
        </w:rPr>
      </w:pPr>
    </w:p>
    <w:p>
      <w:pPr>
        <w:pStyle w:val="7"/>
        <w:numPr>
          <w:ilvl w:val="0"/>
          <w:numId w:val="0"/>
        </w:numPr>
        <w:tabs>
          <w:tab w:val="left" w:pos="420"/>
          <w:tab w:val="left" w:pos="851"/>
        </w:tabs>
        <w:spacing w:before="312" w:beforeLines="100" w:after="312" w:afterLines="100"/>
        <w:rPr>
          <w:rFonts w:hint="default" w:ascii="黑体" w:hAnsi="黑体" w:eastAsia="黑体"/>
          <w:sz w:val="44"/>
          <w:szCs w:val="44"/>
        </w:rPr>
      </w:pPr>
    </w:p>
    <w:p>
      <w:pPr>
        <w:autoSpaceDE w:val="0"/>
        <w:autoSpaceDN w:val="0"/>
        <w:adjustRightInd w:val="0"/>
        <w:spacing w:line="480" w:lineRule="auto"/>
        <w:ind w:firstLine="0" w:firstLineChars="0"/>
        <w:jc w:val="center"/>
        <w:rPr>
          <w:rFonts w:hint="default" w:ascii="黑体" w:hAnsi="黑体" w:eastAsia="黑体"/>
          <w:b/>
          <w:bCs/>
          <w:kern w:val="2"/>
          <w:sz w:val="44"/>
          <w:szCs w:val="44"/>
          <w:lang w:val="en-US"/>
        </w:rPr>
      </w:pPr>
    </w:p>
    <w:p>
      <w:pPr>
        <w:autoSpaceDE w:val="0"/>
        <w:autoSpaceDN w:val="0"/>
        <w:adjustRightInd w:val="0"/>
        <w:spacing w:line="480" w:lineRule="auto"/>
        <w:ind w:firstLine="0" w:firstLineChars="0"/>
        <w:jc w:val="center"/>
        <w:rPr>
          <w:rFonts w:hint="default" w:ascii="黑体" w:hAnsi="黑体" w:eastAsia="黑体"/>
          <w:b/>
          <w:bCs/>
          <w:kern w:val="2"/>
          <w:sz w:val="44"/>
          <w:szCs w:val="44"/>
          <w:lang w:val="en-US"/>
        </w:rPr>
      </w:pPr>
    </w:p>
    <w:p>
      <w:pPr>
        <w:autoSpaceDE w:val="0"/>
        <w:autoSpaceDN w:val="0"/>
        <w:adjustRightInd w:val="0"/>
        <w:spacing w:line="480" w:lineRule="auto"/>
        <w:ind w:firstLine="0" w:firstLineChars="0"/>
        <w:jc w:val="center"/>
        <w:rPr>
          <w:rFonts w:hint="default" w:ascii="黑体" w:hAnsi="黑体" w:eastAsia="黑体"/>
          <w:b/>
          <w:bCs/>
          <w:kern w:val="2"/>
          <w:sz w:val="44"/>
          <w:szCs w:val="44"/>
          <w:lang w:val="en-US"/>
        </w:rPr>
      </w:pPr>
    </w:p>
    <w:p>
      <w:pPr>
        <w:autoSpaceDE w:val="0"/>
        <w:autoSpaceDN w:val="0"/>
        <w:adjustRightInd w:val="0"/>
        <w:spacing w:line="480" w:lineRule="auto"/>
        <w:ind w:firstLine="0" w:firstLineChars="0"/>
        <w:jc w:val="center"/>
        <w:rPr>
          <w:rFonts w:ascii="黑体" w:hAnsi="黑体" w:eastAsia="黑体"/>
          <w:b/>
          <w:bCs/>
          <w:kern w:val="2"/>
          <w:sz w:val="44"/>
          <w:szCs w:val="44"/>
          <w:lang w:val="en-US"/>
        </w:rPr>
      </w:pPr>
    </w:p>
    <w:p>
      <w:pPr>
        <w:autoSpaceDE w:val="0"/>
        <w:autoSpaceDN w:val="0"/>
        <w:adjustRightInd w:val="0"/>
        <w:spacing w:line="480" w:lineRule="auto"/>
        <w:ind w:firstLine="0" w:firstLineChars="0"/>
        <w:jc w:val="center"/>
        <w:rPr>
          <w:rFonts w:hint="default" w:ascii="黑体" w:hAnsi="黑体" w:eastAsia="黑体"/>
          <w:b/>
          <w:bCs/>
          <w:kern w:val="2"/>
          <w:sz w:val="44"/>
          <w:szCs w:val="44"/>
          <w:lang w:val="en-US"/>
        </w:rPr>
      </w:pPr>
    </w:p>
    <w:p>
      <w:pPr>
        <w:autoSpaceDE w:val="0"/>
        <w:autoSpaceDN w:val="0"/>
        <w:adjustRightInd w:val="0"/>
        <w:spacing w:line="480" w:lineRule="auto"/>
        <w:ind w:firstLine="0" w:firstLineChars="0"/>
        <w:jc w:val="center"/>
        <w:rPr>
          <w:rFonts w:hint="default" w:ascii="黑体" w:hAnsi="黑体" w:eastAsia="黑体"/>
          <w:b/>
          <w:bCs/>
          <w:kern w:val="2"/>
          <w:sz w:val="44"/>
          <w:szCs w:val="44"/>
          <w:lang w:val="en-US"/>
        </w:rPr>
      </w:pPr>
    </w:p>
    <w:p>
      <w:pPr>
        <w:tabs>
          <w:tab w:val="left" w:pos="567"/>
        </w:tabs>
        <w:ind w:firstLine="723"/>
        <w:jc w:val="center"/>
        <w:rPr>
          <w:rFonts w:ascii="仿宋" w:hAnsi="仿宋" w:eastAsia="仿宋"/>
          <w:b/>
          <w:bCs/>
          <w:sz w:val="36"/>
          <w:szCs w:val="36"/>
        </w:rPr>
      </w:pPr>
      <w:r>
        <w:rPr>
          <w:rFonts w:ascii="仿宋" w:hAnsi="仿宋" w:eastAsia="仿宋"/>
          <w:b/>
          <w:bCs/>
          <w:sz w:val="36"/>
          <w:szCs w:val="36"/>
        </w:rPr>
        <w:t>建宁县农业农村局</w:t>
      </w:r>
    </w:p>
    <w:p>
      <w:pPr>
        <w:ind w:firstLine="723"/>
        <w:jc w:val="center"/>
        <w:sectPr>
          <w:headerReference r:id="rId5" w:type="default"/>
          <w:footerReference r:id="rId6" w:type="default"/>
          <w:pgSz w:w="11906" w:h="16838"/>
          <w:pgMar w:top="1440" w:right="1800" w:bottom="1440" w:left="1800" w:header="851" w:footer="992" w:gutter="0"/>
          <w:cols w:space="720" w:num="1"/>
          <w:docGrid w:type="lines" w:linePitch="312" w:charSpace="0"/>
        </w:sectPr>
      </w:pPr>
      <w:r>
        <w:rPr>
          <w:rFonts w:ascii="仿宋" w:hAnsi="仿宋" w:eastAsia="仿宋"/>
          <w:b/>
          <w:bCs/>
          <w:sz w:val="36"/>
          <w:szCs w:val="36"/>
        </w:rPr>
        <w:t>二〇二</w:t>
      </w:r>
      <w:r>
        <w:rPr>
          <w:rFonts w:ascii="仿宋" w:hAnsi="仿宋" w:eastAsia="仿宋"/>
          <w:b/>
          <w:bCs/>
          <w:sz w:val="36"/>
          <w:szCs w:val="36"/>
          <w:lang w:val="en-US"/>
        </w:rPr>
        <w:t>二</w:t>
      </w:r>
      <w:r>
        <w:rPr>
          <w:rFonts w:ascii="仿宋" w:hAnsi="仿宋" w:eastAsia="仿宋"/>
          <w:b/>
          <w:bCs/>
          <w:sz w:val="36"/>
          <w:szCs w:val="36"/>
        </w:rPr>
        <w:t>年</w:t>
      </w:r>
      <w:r>
        <w:rPr>
          <w:rFonts w:ascii="仿宋" w:hAnsi="仿宋" w:eastAsia="仿宋"/>
          <w:b/>
          <w:bCs/>
          <w:sz w:val="36"/>
          <w:szCs w:val="36"/>
          <w:lang w:val="en-US"/>
        </w:rPr>
        <w:t>八</w:t>
      </w:r>
      <w:r>
        <w:rPr>
          <w:rFonts w:ascii="仿宋" w:hAnsi="仿宋" w:eastAsia="仿宋"/>
          <w:b/>
          <w:bCs/>
          <w:sz w:val="36"/>
          <w:szCs w:val="36"/>
        </w:rPr>
        <w:t>月</w:t>
      </w:r>
    </w:p>
    <w:p>
      <w:pPr>
        <w:spacing w:line="240" w:lineRule="auto"/>
        <w:ind w:firstLine="0" w:firstLineChars="0"/>
        <w:jc w:val="center"/>
        <w:rPr>
          <w:rFonts w:ascii="宋体" w:hAnsi="宋体"/>
          <w:b/>
          <w:bCs/>
          <w:sz w:val="30"/>
          <w:szCs w:val="30"/>
        </w:rPr>
      </w:pPr>
      <w:r>
        <w:rPr>
          <w:rFonts w:ascii="宋体" w:hAnsi="宋体"/>
          <w:b/>
          <w:bCs/>
          <w:sz w:val="30"/>
          <w:szCs w:val="30"/>
        </w:rPr>
        <w:t>目</w:t>
      </w:r>
      <w:r>
        <w:rPr>
          <w:rFonts w:ascii="宋体" w:hAnsi="宋体"/>
          <w:b/>
          <w:bCs/>
          <w:sz w:val="30"/>
          <w:szCs w:val="30"/>
          <w:lang w:val="en-US"/>
        </w:rPr>
        <w:t xml:space="preserve">  </w:t>
      </w:r>
      <w:r>
        <w:rPr>
          <w:rFonts w:ascii="宋体" w:hAnsi="宋体"/>
          <w:b/>
          <w:bCs/>
          <w:sz w:val="30"/>
          <w:szCs w:val="30"/>
        </w:rPr>
        <w:t>录</w:t>
      </w:r>
    </w:p>
    <w:p>
      <w:pPr>
        <w:ind w:firstLine="560"/>
      </w:pPr>
    </w:p>
    <w:p>
      <w:pPr>
        <w:pStyle w:val="14"/>
        <w:tabs>
          <w:tab w:val="right" w:leader="dot" w:pos="8306"/>
        </w:tabs>
        <w:rPr>
          <w:sz w:val="24"/>
          <w:szCs w:val="24"/>
        </w:rPr>
      </w:pPr>
      <w:r>
        <w:rPr>
          <w:sz w:val="24"/>
          <w:szCs w:val="24"/>
        </w:rPr>
        <w:fldChar w:fldCharType="begin"/>
      </w:r>
      <w:r>
        <w:rPr>
          <w:sz w:val="24"/>
          <w:szCs w:val="24"/>
        </w:rPr>
        <w:instrText xml:space="preserve">TOC \o "1-2" \h \u </w:instrText>
      </w:r>
      <w:r>
        <w:rPr>
          <w:sz w:val="24"/>
          <w:szCs w:val="24"/>
        </w:rPr>
        <w:fldChar w:fldCharType="separate"/>
      </w:r>
      <w:r>
        <w:rPr>
          <w:rFonts w:hint="default" w:ascii="Times New Roman" w:hAnsi="Times New Roman" w:eastAsia="黑体"/>
          <w:kern w:val="44"/>
          <w:sz w:val="24"/>
          <w:szCs w:val="24"/>
          <w:lang w:val="en-US"/>
        </w:rPr>
        <w:fldChar w:fldCharType="begin"/>
      </w:r>
      <w:r>
        <w:rPr>
          <w:rFonts w:hint="default" w:ascii="Times New Roman" w:hAnsi="Times New Roman" w:eastAsia="黑体"/>
          <w:kern w:val="44"/>
          <w:sz w:val="24"/>
          <w:szCs w:val="24"/>
          <w:lang w:val="en-US"/>
        </w:rPr>
        <w:instrText xml:space="preserve"> HYPERLINK \l _Toc20950 </w:instrText>
      </w:r>
      <w:r>
        <w:rPr>
          <w:rFonts w:hint="default" w:ascii="Times New Roman" w:hAnsi="Times New Roman" w:eastAsia="黑体"/>
          <w:kern w:val="44"/>
          <w:sz w:val="24"/>
          <w:szCs w:val="24"/>
          <w:lang w:val="en-US"/>
        </w:rPr>
        <w:fldChar w:fldCharType="separate"/>
      </w:r>
      <w:r>
        <w:rPr>
          <w:rFonts w:hint="default" w:ascii="Times New Roman" w:hAnsi="Times New Roman" w:eastAsia="黑体"/>
          <w:kern w:val="44"/>
          <w:sz w:val="24"/>
          <w:szCs w:val="24"/>
          <w:lang w:val="en-US"/>
        </w:rPr>
        <w:t>第一章  规划背景</w:t>
      </w:r>
      <w:r>
        <w:rPr>
          <w:rFonts w:hint="default" w:ascii="Times New Roman" w:hAnsi="Times New Roman" w:eastAsia="黑体"/>
          <w:kern w:val="44"/>
          <w:sz w:val="24"/>
          <w:szCs w:val="24"/>
          <w:lang w:val="en-US"/>
        </w:rPr>
        <w:tab/>
      </w:r>
      <w:r>
        <w:rPr>
          <w:rFonts w:hint="default" w:ascii="Times New Roman" w:hAnsi="Times New Roman" w:eastAsia="黑体"/>
          <w:kern w:val="44"/>
          <w:sz w:val="24"/>
          <w:szCs w:val="24"/>
          <w:lang w:val="en-US"/>
        </w:rPr>
        <w:fldChar w:fldCharType="begin"/>
      </w:r>
      <w:r>
        <w:rPr>
          <w:rFonts w:hint="default" w:ascii="Times New Roman" w:hAnsi="Times New Roman" w:eastAsia="黑体"/>
          <w:kern w:val="44"/>
          <w:sz w:val="24"/>
          <w:szCs w:val="24"/>
          <w:lang w:val="en-US"/>
        </w:rPr>
        <w:instrText xml:space="preserve"> PAGEREF _Toc20950 </w:instrText>
      </w:r>
      <w:r>
        <w:rPr>
          <w:rFonts w:hint="default" w:ascii="Times New Roman" w:hAnsi="Times New Roman" w:eastAsia="黑体"/>
          <w:kern w:val="44"/>
          <w:sz w:val="24"/>
          <w:szCs w:val="24"/>
          <w:lang w:val="en-US"/>
        </w:rPr>
        <w:fldChar w:fldCharType="separate"/>
      </w:r>
      <w:r>
        <w:rPr>
          <w:rFonts w:hint="default" w:ascii="Times New Roman" w:hAnsi="Times New Roman" w:eastAsia="黑体"/>
          <w:kern w:val="44"/>
          <w:sz w:val="24"/>
          <w:szCs w:val="24"/>
          <w:lang w:val="en-US"/>
        </w:rPr>
        <w:t>4</w:t>
      </w:r>
      <w:r>
        <w:rPr>
          <w:rFonts w:hint="default" w:ascii="Times New Roman" w:hAnsi="Times New Roman" w:eastAsia="黑体"/>
          <w:kern w:val="44"/>
          <w:sz w:val="24"/>
          <w:szCs w:val="24"/>
          <w:lang w:val="en-US"/>
        </w:rPr>
        <w:fldChar w:fldCharType="end"/>
      </w:r>
      <w:r>
        <w:rPr>
          <w:rFonts w:hint="default" w:ascii="Times New Roman" w:hAnsi="Times New Roman" w:eastAsia="黑体"/>
          <w:kern w:val="44"/>
          <w:sz w:val="24"/>
          <w:szCs w:val="24"/>
          <w:lang w:val="en-US"/>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_Toc24528 </w:instrText>
      </w:r>
      <w:r>
        <w:rPr>
          <w:sz w:val="24"/>
          <w:szCs w:val="24"/>
        </w:rPr>
        <w:fldChar w:fldCharType="separate"/>
      </w:r>
      <w:r>
        <w:rPr>
          <w:rFonts w:hint="eastAsia" w:ascii="黑体" w:hAnsi="黑体" w:eastAsia="黑体"/>
          <w:bCs w:val="0"/>
          <w:sz w:val="24"/>
          <w:szCs w:val="24"/>
        </w:rPr>
        <w:t>一、“十三五”期间畜牧业发展成效</w:t>
      </w:r>
      <w:r>
        <w:rPr>
          <w:sz w:val="24"/>
          <w:szCs w:val="24"/>
        </w:rPr>
        <w:tab/>
      </w:r>
      <w:r>
        <w:rPr>
          <w:sz w:val="24"/>
          <w:szCs w:val="24"/>
        </w:rPr>
        <w:fldChar w:fldCharType="begin"/>
      </w:r>
      <w:r>
        <w:rPr>
          <w:sz w:val="24"/>
          <w:szCs w:val="24"/>
        </w:rPr>
        <w:instrText xml:space="preserve"> PAGEREF _Toc24528 </w:instrText>
      </w:r>
      <w:r>
        <w:rPr>
          <w:sz w:val="24"/>
          <w:szCs w:val="24"/>
        </w:rPr>
        <w:fldChar w:fldCharType="separate"/>
      </w:r>
      <w:r>
        <w:rPr>
          <w:sz w:val="24"/>
          <w:szCs w:val="24"/>
        </w:rPr>
        <w:t>5</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_Toc31527 </w:instrText>
      </w:r>
      <w:r>
        <w:rPr>
          <w:sz w:val="24"/>
          <w:szCs w:val="24"/>
        </w:rPr>
        <w:fldChar w:fldCharType="separate"/>
      </w:r>
      <w:r>
        <w:rPr>
          <w:rFonts w:ascii="仿宋_GB2312" w:eastAsia="仿宋_GB2312"/>
          <w:sz w:val="24"/>
          <w:szCs w:val="24"/>
        </w:rPr>
        <w:t>（一）生态化建设持续推进</w:t>
      </w:r>
      <w:r>
        <w:rPr>
          <w:sz w:val="24"/>
          <w:szCs w:val="24"/>
        </w:rPr>
        <w:tab/>
      </w:r>
      <w:r>
        <w:rPr>
          <w:sz w:val="24"/>
          <w:szCs w:val="24"/>
        </w:rPr>
        <w:fldChar w:fldCharType="begin"/>
      </w:r>
      <w:r>
        <w:rPr>
          <w:sz w:val="24"/>
          <w:szCs w:val="24"/>
        </w:rPr>
        <w:instrText xml:space="preserve"> PAGEREF _Toc31527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_Toc13675 </w:instrText>
      </w:r>
      <w:r>
        <w:rPr>
          <w:sz w:val="24"/>
          <w:szCs w:val="24"/>
        </w:rPr>
        <w:fldChar w:fldCharType="separate"/>
      </w:r>
      <w:r>
        <w:rPr>
          <w:rFonts w:ascii="仿宋_GB2312" w:eastAsia="仿宋_GB2312"/>
          <w:sz w:val="24"/>
          <w:szCs w:val="24"/>
        </w:rPr>
        <w:t>（二）产业结构不断调整和优化</w:t>
      </w:r>
      <w:r>
        <w:rPr>
          <w:sz w:val="24"/>
          <w:szCs w:val="24"/>
        </w:rPr>
        <w:tab/>
      </w:r>
      <w:r>
        <w:rPr>
          <w:sz w:val="24"/>
          <w:szCs w:val="24"/>
        </w:rPr>
        <w:fldChar w:fldCharType="begin"/>
      </w:r>
      <w:r>
        <w:rPr>
          <w:sz w:val="24"/>
          <w:szCs w:val="24"/>
        </w:rPr>
        <w:instrText xml:space="preserve"> PAGEREF _Toc13675 </w:instrText>
      </w:r>
      <w:r>
        <w:rPr>
          <w:sz w:val="24"/>
          <w:szCs w:val="24"/>
        </w:rPr>
        <w:fldChar w:fldCharType="separate"/>
      </w:r>
      <w:r>
        <w:rPr>
          <w:sz w:val="24"/>
          <w:szCs w:val="24"/>
        </w:rPr>
        <w:t>6</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_Toc7131 </w:instrText>
      </w:r>
      <w:r>
        <w:rPr>
          <w:sz w:val="24"/>
          <w:szCs w:val="24"/>
        </w:rPr>
        <w:fldChar w:fldCharType="separate"/>
      </w:r>
      <w:r>
        <w:rPr>
          <w:rFonts w:hint="eastAsia" w:ascii="仿宋_GB2312" w:eastAsia="仿宋_GB2312"/>
          <w:sz w:val="24"/>
          <w:szCs w:val="24"/>
        </w:rPr>
        <w:t xml:space="preserve">（三） </w:t>
      </w:r>
      <w:r>
        <w:rPr>
          <w:rFonts w:ascii="仿宋_GB2312" w:eastAsia="仿宋_GB2312"/>
          <w:sz w:val="24"/>
          <w:szCs w:val="24"/>
        </w:rPr>
        <w:t>提质增效实现新突破</w:t>
      </w:r>
      <w:r>
        <w:rPr>
          <w:sz w:val="24"/>
          <w:szCs w:val="24"/>
        </w:rPr>
        <w:tab/>
      </w:r>
      <w:r>
        <w:rPr>
          <w:sz w:val="24"/>
          <w:szCs w:val="24"/>
        </w:rPr>
        <w:fldChar w:fldCharType="begin"/>
      </w:r>
      <w:r>
        <w:rPr>
          <w:sz w:val="24"/>
          <w:szCs w:val="24"/>
        </w:rPr>
        <w:instrText xml:space="preserve"> PAGEREF _Toc7131 </w:instrText>
      </w:r>
      <w:r>
        <w:rPr>
          <w:sz w:val="24"/>
          <w:szCs w:val="24"/>
        </w:rPr>
        <w:fldChar w:fldCharType="separate"/>
      </w:r>
      <w:r>
        <w:rPr>
          <w:sz w:val="24"/>
          <w:szCs w:val="24"/>
        </w:rPr>
        <w:t>7</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_Toc3710 </w:instrText>
      </w:r>
      <w:r>
        <w:rPr>
          <w:sz w:val="24"/>
          <w:szCs w:val="24"/>
        </w:rPr>
        <w:fldChar w:fldCharType="separate"/>
      </w:r>
      <w:r>
        <w:rPr>
          <w:rFonts w:ascii="仿宋_GB2312" w:eastAsia="仿宋_GB2312"/>
          <w:sz w:val="24"/>
          <w:szCs w:val="24"/>
        </w:rPr>
        <w:t>（四）</w:t>
      </w:r>
      <w:r>
        <w:rPr>
          <w:rFonts w:ascii="仿宋_GB2312" w:eastAsia="仿宋_GB2312"/>
          <w:sz w:val="24"/>
          <w:szCs w:val="24"/>
          <w:lang w:val="en-US"/>
        </w:rPr>
        <w:t>非洲猪瘟等</w:t>
      </w:r>
      <w:r>
        <w:rPr>
          <w:rFonts w:ascii="仿宋_GB2312" w:eastAsia="仿宋_GB2312"/>
          <w:sz w:val="24"/>
          <w:szCs w:val="24"/>
        </w:rPr>
        <w:t>疫病防控</w:t>
      </w:r>
      <w:r>
        <w:rPr>
          <w:rFonts w:ascii="仿宋_GB2312" w:eastAsia="仿宋_GB2312"/>
          <w:sz w:val="24"/>
          <w:szCs w:val="24"/>
          <w:lang w:val="en-US"/>
        </w:rPr>
        <w:t>科学有效</w:t>
      </w:r>
      <w:r>
        <w:rPr>
          <w:sz w:val="24"/>
          <w:szCs w:val="24"/>
        </w:rPr>
        <w:tab/>
      </w:r>
      <w:r>
        <w:rPr>
          <w:sz w:val="24"/>
          <w:szCs w:val="24"/>
        </w:rPr>
        <w:fldChar w:fldCharType="begin"/>
      </w:r>
      <w:r>
        <w:rPr>
          <w:sz w:val="24"/>
          <w:szCs w:val="24"/>
        </w:rPr>
        <w:instrText xml:space="preserve"> PAGEREF _Toc3710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_Toc268 </w:instrText>
      </w:r>
      <w:r>
        <w:rPr>
          <w:sz w:val="24"/>
          <w:szCs w:val="24"/>
        </w:rPr>
        <w:fldChar w:fldCharType="separate"/>
      </w:r>
      <w:r>
        <w:rPr>
          <w:rFonts w:hint="eastAsia" w:ascii="黑体" w:hAnsi="黑体" w:eastAsia="黑体"/>
          <w:bCs w:val="0"/>
          <w:sz w:val="24"/>
          <w:szCs w:val="24"/>
        </w:rPr>
        <w:t>二、畜牧业发展的有利条件</w:t>
      </w:r>
      <w:r>
        <w:rPr>
          <w:sz w:val="24"/>
          <w:szCs w:val="24"/>
        </w:rPr>
        <w:tab/>
      </w:r>
      <w:r>
        <w:rPr>
          <w:sz w:val="24"/>
          <w:szCs w:val="24"/>
        </w:rPr>
        <w:fldChar w:fldCharType="begin"/>
      </w:r>
      <w:r>
        <w:rPr>
          <w:sz w:val="24"/>
          <w:szCs w:val="24"/>
        </w:rPr>
        <w:instrText xml:space="preserve"> PAGEREF _Toc268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_Toc14158 </w:instrText>
      </w:r>
      <w:r>
        <w:rPr>
          <w:sz w:val="24"/>
          <w:szCs w:val="24"/>
        </w:rPr>
        <w:fldChar w:fldCharType="separate"/>
      </w:r>
      <w:r>
        <w:rPr>
          <w:rFonts w:ascii="仿宋_GB2312" w:eastAsia="仿宋_GB2312"/>
          <w:sz w:val="24"/>
          <w:szCs w:val="24"/>
        </w:rPr>
        <w:t>（一）乡村振兴战略带来新机遇</w:t>
      </w:r>
      <w:r>
        <w:rPr>
          <w:sz w:val="24"/>
          <w:szCs w:val="24"/>
        </w:rPr>
        <w:tab/>
      </w:r>
      <w:r>
        <w:rPr>
          <w:sz w:val="24"/>
          <w:szCs w:val="24"/>
        </w:rPr>
        <w:fldChar w:fldCharType="begin"/>
      </w:r>
      <w:r>
        <w:rPr>
          <w:sz w:val="24"/>
          <w:szCs w:val="24"/>
        </w:rPr>
        <w:instrText xml:space="preserve"> PAGEREF _Toc14158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_Toc27439 </w:instrText>
      </w:r>
      <w:r>
        <w:rPr>
          <w:sz w:val="24"/>
          <w:szCs w:val="24"/>
        </w:rPr>
        <w:fldChar w:fldCharType="separate"/>
      </w:r>
      <w:r>
        <w:rPr>
          <w:rFonts w:ascii="仿宋_GB2312" w:eastAsia="仿宋_GB2312"/>
          <w:sz w:val="24"/>
          <w:szCs w:val="24"/>
        </w:rPr>
        <w:t>（二）政策环境不断优化</w:t>
      </w:r>
      <w:r>
        <w:rPr>
          <w:sz w:val="24"/>
          <w:szCs w:val="24"/>
        </w:rPr>
        <w:tab/>
      </w:r>
      <w:r>
        <w:rPr>
          <w:sz w:val="24"/>
          <w:szCs w:val="24"/>
        </w:rPr>
        <w:fldChar w:fldCharType="begin"/>
      </w:r>
      <w:r>
        <w:rPr>
          <w:sz w:val="24"/>
          <w:szCs w:val="24"/>
        </w:rPr>
        <w:instrText xml:space="preserve"> PAGEREF _Toc27439 </w:instrText>
      </w:r>
      <w:r>
        <w:rPr>
          <w:sz w:val="24"/>
          <w:szCs w:val="24"/>
        </w:rPr>
        <w:fldChar w:fldCharType="separate"/>
      </w:r>
      <w:r>
        <w:rPr>
          <w:sz w:val="24"/>
          <w:szCs w:val="24"/>
        </w:rPr>
        <w:t>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_Toc3764 </w:instrText>
      </w:r>
      <w:r>
        <w:rPr>
          <w:sz w:val="24"/>
          <w:szCs w:val="24"/>
        </w:rPr>
        <w:fldChar w:fldCharType="separate"/>
      </w:r>
      <w:r>
        <w:rPr>
          <w:rFonts w:ascii="仿宋_GB2312" w:eastAsia="仿宋_GB2312"/>
          <w:sz w:val="24"/>
          <w:szCs w:val="24"/>
        </w:rPr>
        <w:t>（三）技术转型速度加快</w:t>
      </w:r>
      <w:r>
        <w:rPr>
          <w:sz w:val="24"/>
          <w:szCs w:val="24"/>
        </w:rPr>
        <w:tab/>
      </w:r>
      <w:r>
        <w:rPr>
          <w:sz w:val="24"/>
          <w:szCs w:val="24"/>
        </w:rPr>
        <w:fldChar w:fldCharType="begin"/>
      </w:r>
      <w:r>
        <w:rPr>
          <w:sz w:val="24"/>
          <w:szCs w:val="24"/>
        </w:rPr>
        <w:instrText xml:space="preserve"> PAGEREF _Toc3764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_Toc19803 </w:instrText>
      </w:r>
      <w:r>
        <w:rPr>
          <w:sz w:val="24"/>
          <w:szCs w:val="24"/>
        </w:rPr>
        <w:fldChar w:fldCharType="separate"/>
      </w:r>
      <w:r>
        <w:rPr>
          <w:rFonts w:ascii="仿宋_GB2312" w:eastAsia="仿宋_GB2312"/>
          <w:sz w:val="24"/>
          <w:szCs w:val="24"/>
        </w:rPr>
        <w:t>（四）消费需求升级带来新拉力</w:t>
      </w:r>
      <w:r>
        <w:rPr>
          <w:sz w:val="24"/>
          <w:szCs w:val="24"/>
        </w:rPr>
        <w:tab/>
      </w:r>
      <w:r>
        <w:rPr>
          <w:sz w:val="24"/>
          <w:szCs w:val="24"/>
        </w:rPr>
        <w:fldChar w:fldCharType="begin"/>
      </w:r>
      <w:r>
        <w:rPr>
          <w:sz w:val="24"/>
          <w:szCs w:val="24"/>
        </w:rPr>
        <w:instrText xml:space="preserve"> PAGEREF _Toc19803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_Toc17087 </w:instrText>
      </w:r>
      <w:r>
        <w:rPr>
          <w:sz w:val="24"/>
          <w:szCs w:val="24"/>
        </w:rPr>
        <w:fldChar w:fldCharType="separate"/>
      </w:r>
      <w:r>
        <w:rPr>
          <w:rFonts w:hint="eastAsia" w:ascii="黑体" w:hAnsi="黑体" w:eastAsia="黑体"/>
          <w:bCs w:val="0"/>
          <w:sz w:val="24"/>
          <w:szCs w:val="24"/>
        </w:rPr>
        <w:t>三、畜牧业发展面临的挑战</w:t>
      </w:r>
      <w:r>
        <w:rPr>
          <w:sz w:val="24"/>
          <w:szCs w:val="24"/>
        </w:rPr>
        <w:tab/>
      </w:r>
      <w:r>
        <w:rPr>
          <w:sz w:val="24"/>
          <w:szCs w:val="24"/>
        </w:rPr>
        <w:fldChar w:fldCharType="begin"/>
      </w:r>
      <w:r>
        <w:rPr>
          <w:sz w:val="24"/>
          <w:szCs w:val="24"/>
        </w:rPr>
        <w:instrText xml:space="preserve"> PAGEREF _Toc17087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_Toc23319 </w:instrText>
      </w:r>
      <w:r>
        <w:rPr>
          <w:sz w:val="24"/>
          <w:szCs w:val="24"/>
        </w:rPr>
        <w:fldChar w:fldCharType="separate"/>
      </w:r>
      <w:r>
        <w:rPr>
          <w:rFonts w:ascii="仿宋_GB2312" w:eastAsia="仿宋_GB2312"/>
          <w:sz w:val="24"/>
          <w:szCs w:val="24"/>
        </w:rPr>
        <w:t>（一）资源环境约束</w:t>
      </w:r>
      <w:r>
        <w:rPr>
          <w:rFonts w:ascii="仿宋_GB2312" w:eastAsia="仿宋_GB2312"/>
          <w:sz w:val="24"/>
          <w:szCs w:val="24"/>
          <w:lang w:val="en-US"/>
        </w:rPr>
        <w:t>依然存在</w:t>
      </w:r>
      <w:r>
        <w:rPr>
          <w:sz w:val="24"/>
          <w:szCs w:val="24"/>
        </w:rPr>
        <w:tab/>
      </w:r>
      <w:r>
        <w:rPr>
          <w:sz w:val="24"/>
          <w:szCs w:val="24"/>
        </w:rPr>
        <w:fldChar w:fldCharType="begin"/>
      </w:r>
      <w:r>
        <w:rPr>
          <w:sz w:val="24"/>
          <w:szCs w:val="24"/>
        </w:rPr>
        <w:instrText xml:space="preserve"> PAGEREF _Toc23319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_Toc11916 </w:instrText>
      </w:r>
      <w:r>
        <w:rPr>
          <w:sz w:val="24"/>
          <w:szCs w:val="24"/>
        </w:rPr>
        <w:fldChar w:fldCharType="separate"/>
      </w:r>
      <w:r>
        <w:rPr>
          <w:rFonts w:ascii="仿宋_GB2312" w:eastAsia="仿宋_GB2312"/>
          <w:sz w:val="24"/>
          <w:szCs w:val="24"/>
          <w:lang w:val="en-US"/>
        </w:rPr>
        <w:t>（二）潜在疫病风险依然严峻</w:t>
      </w:r>
      <w:r>
        <w:rPr>
          <w:sz w:val="24"/>
          <w:szCs w:val="24"/>
        </w:rPr>
        <w:tab/>
      </w:r>
      <w:r>
        <w:rPr>
          <w:sz w:val="24"/>
          <w:szCs w:val="24"/>
        </w:rPr>
        <w:fldChar w:fldCharType="begin"/>
      </w:r>
      <w:r>
        <w:rPr>
          <w:sz w:val="24"/>
          <w:szCs w:val="24"/>
        </w:rPr>
        <w:instrText xml:space="preserve"> PAGEREF _Toc11916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_Toc12638 </w:instrText>
      </w:r>
      <w:r>
        <w:rPr>
          <w:sz w:val="24"/>
          <w:szCs w:val="24"/>
        </w:rPr>
        <w:fldChar w:fldCharType="separate"/>
      </w:r>
      <w:r>
        <w:rPr>
          <w:rFonts w:ascii="仿宋_GB2312" w:eastAsia="仿宋_GB2312"/>
          <w:sz w:val="24"/>
          <w:szCs w:val="24"/>
        </w:rPr>
        <w:t>（三）畜禽养殖产业化有待提升</w:t>
      </w:r>
      <w:r>
        <w:rPr>
          <w:sz w:val="24"/>
          <w:szCs w:val="24"/>
        </w:rPr>
        <w:tab/>
      </w:r>
      <w:r>
        <w:rPr>
          <w:sz w:val="24"/>
          <w:szCs w:val="24"/>
        </w:rPr>
        <w:fldChar w:fldCharType="begin"/>
      </w:r>
      <w:r>
        <w:rPr>
          <w:sz w:val="24"/>
          <w:szCs w:val="24"/>
        </w:rPr>
        <w:instrText xml:space="preserve"> PAGEREF _Toc12638 </w:instrText>
      </w:r>
      <w:r>
        <w:rPr>
          <w:sz w:val="24"/>
          <w:szCs w:val="24"/>
        </w:rPr>
        <w:fldChar w:fldCharType="separate"/>
      </w:r>
      <w:r>
        <w:rPr>
          <w:sz w:val="24"/>
          <w:szCs w:val="24"/>
        </w:rPr>
        <w:t>12</w:t>
      </w:r>
      <w:r>
        <w:rPr>
          <w:sz w:val="24"/>
          <w:szCs w:val="24"/>
        </w:rPr>
        <w:fldChar w:fldCharType="end"/>
      </w:r>
      <w:r>
        <w:rPr>
          <w:sz w:val="24"/>
          <w:szCs w:val="24"/>
        </w:rPr>
        <w:fldChar w:fldCharType="end"/>
      </w:r>
    </w:p>
    <w:p>
      <w:pPr>
        <w:pStyle w:val="14"/>
        <w:tabs>
          <w:tab w:val="right" w:leader="dot" w:pos="8306"/>
        </w:tabs>
        <w:rPr>
          <w:sz w:val="24"/>
          <w:szCs w:val="24"/>
        </w:rPr>
      </w:pPr>
      <w:r>
        <w:rPr>
          <w:sz w:val="24"/>
          <w:szCs w:val="24"/>
        </w:rPr>
        <w:fldChar w:fldCharType="begin"/>
      </w:r>
      <w:r>
        <w:rPr>
          <w:sz w:val="24"/>
          <w:szCs w:val="24"/>
        </w:rPr>
        <w:instrText xml:space="preserve"> HYPERLINK \l _Toc2722 </w:instrText>
      </w:r>
      <w:r>
        <w:rPr>
          <w:sz w:val="24"/>
          <w:szCs w:val="24"/>
        </w:rPr>
        <w:fldChar w:fldCharType="separate"/>
      </w:r>
      <w:r>
        <w:rPr>
          <w:rFonts w:ascii="黑体" w:hAnsi="黑体" w:eastAsia="黑体"/>
          <w:kern w:val="2"/>
          <w:sz w:val="24"/>
          <w:szCs w:val="24"/>
          <w:lang w:val="en-US"/>
        </w:rPr>
        <w:t>第</w:t>
      </w:r>
      <w:r>
        <w:rPr>
          <w:rFonts w:hint="eastAsia" w:ascii="黑体" w:hAnsi="黑体" w:eastAsia="黑体"/>
          <w:kern w:val="2"/>
          <w:sz w:val="24"/>
          <w:szCs w:val="24"/>
          <w:lang w:val="en-US" w:eastAsia="zh-CN"/>
        </w:rPr>
        <w:t>二</w:t>
      </w:r>
      <w:r>
        <w:rPr>
          <w:rFonts w:ascii="黑体" w:hAnsi="黑体" w:eastAsia="黑体"/>
          <w:kern w:val="2"/>
          <w:sz w:val="24"/>
          <w:szCs w:val="24"/>
          <w:lang w:val="en-US"/>
        </w:rPr>
        <w:t>章 指导思想与发展目标</w:t>
      </w:r>
      <w:r>
        <w:rPr>
          <w:sz w:val="24"/>
          <w:szCs w:val="24"/>
        </w:rPr>
        <w:tab/>
      </w:r>
      <w:r>
        <w:rPr>
          <w:sz w:val="24"/>
          <w:szCs w:val="24"/>
        </w:rPr>
        <w:fldChar w:fldCharType="begin"/>
      </w:r>
      <w:r>
        <w:rPr>
          <w:sz w:val="24"/>
          <w:szCs w:val="24"/>
        </w:rPr>
        <w:instrText xml:space="preserve"> PAGEREF _Toc2722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_Toc26841 </w:instrText>
      </w:r>
      <w:r>
        <w:rPr>
          <w:sz w:val="24"/>
          <w:szCs w:val="24"/>
        </w:rPr>
        <w:fldChar w:fldCharType="separate"/>
      </w:r>
      <w:r>
        <w:rPr>
          <w:rFonts w:hint="eastAsia" w:ascii="黑体" w:hAnsi="黑体" w:eastAsia="黑体"/>
          <w:bCs w:val="0"/>
          <w:sz w:val="24"/>
          <w:szCs w:val="24"/>
        </w:rPr>
        <w:t>一、指导思想</w:t>
      </w:r>
      <w:r>
        <w:rPr>
          <w:sz w:val="24"/>
          <w:szCs w:val="24"/>
        </w:rPr>
        <w:tab/>
      </w:r>
      <w:r>
        <w:rPr>
          <w:sz w:val="24"/>
          <w:szCs w:val="24"/>
        </w:rPr>
        <w:fldChar w:fldCharType="begin"/>
      </w:r>
      <w:r>
        <w:rPr>
          <w:sz w:val="24"/>
          <w:szCs w:val="24"/>
        </w:rPr>
        <w:instrText xml:space="preserve"> PAGEREF _Toc26841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_Toc8862 </w:instrText>
      </w:r>
      <w:r>
        <w:rPr>
          <w:sz w:val="24"/>
          <w:szCs w:val="24"/>
        </w:rPr>
        <w:fldChar w:fldCharType="separate"/>
      </w:r>
      <w:r>
        <w:rPr>
          <w:rFonts w:hint="eastAsia" w:ascii="黑体" w:hAnsi="黑体" w:eastAsia="黑体"/>
          <w:bCs w:val="0"/>
          <w:sz w:val="24"/>
          <w:szCs w:val="24"/>
        </w:rPr>
        <w:t>二、基本原则</w:t>
      </w:r>
      <w:r>
        <w:rPr>
          <w:sz w:val="24"/>
          <w:szCs w:val="24"/>
        </w:rPr>
        <w:tab/>
      </w:r>
      <w:r>
        <w:rPr>
          <w:sz w:val="24"/>
          <w:szCs w:val="24"/>
        </w:rPr>
        <w:fldChar w:fldCharType="begin"/>
      </w:r>
      <w:r>
        <w:rPr>
          <w:sz w:val="24"/>
          <w:szCs w:val="24"/>
        </w:rPr>
        <w:instrText xml:space="preserve"> PAGEREF _Toc8862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_Toc193 </w:instrText>
      </w:r>
      <w:r>
        <w:rPr>
          <w:sz w:val="24"/>
          <w:szCs w:val="24"/>
        </w:rPr>
        <w:fldChar w:fldCharType="separate"/>
      </w:r>
      <w:r>
        <w:rPr>
          <w:rFonts w:ascii="仿宋_GB2312" w:eastAsia="仿宋_GB2312"/>
          <w:sz w:val="24"/>
          <w:szCs w:val="24"/>
        </w:rPr>
        <w:t>（一）生态优先原则</w:t>
      </w:r>
      <w:r>
        <w:rPr>
          <w:sz w:val="24"/>
          <w:szCs w:val="24"/>
        </w:rPr>
        <w:tab/>
      </w:r>
      <w:r>
        <w:rPr>
          <w:sz w:val="24"/>
          <w:szCs w:val="24"/>
        </w:rPr>
        <w:fldChar w:fldCharType="begin"/>
      </w:r>
      <w:r>
        <w:rPr>
          <w:sz w:val="24"/>
          <w:szCs w:val="24"/>
        </w:rPr>
        <w:instrText xml:space="preserve"> PAGEREF _Toc193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_Toc27124 </w:instrText>
      </w:r>
      <w:r>
        <w:rPr>
          <w:sz w:val="24"/>
          <w:szCs w:val="24"/>
        </w:rPr>
        <w:fldChar w:fldCharType="separate"/>
      </w:r>
      <w:r>
        <w:rPr>
          <w:rFonts w:ascii="仿宋_GB2312" w:eastAsia="仿宋_GB2312"/>
          <w:sz w:val="24"/>
          <w:szCs w:val="24"/>
        </w:rPr>
        <w:t>（二）总量控制原则</w:t>
      </w:r>
      <w:r>
        <w:rPr>
          <w:rFonts w:ascii="仿宋_GB2312" w:eastAsia="仿宋_GB2312"/>
          <w:sz w:val="24"/>
          <w:szCs w:val="24"/>
          <w:lang w:val="en-US"/>
        </w:rPr>
        <w:t xml:space="preserve"> </w:t>
      </w:r>
      <w:r>
        <w:rPr>
          <w:sz w:val="24"/>
          <w:szCs w:val="24"/>
        </w:rPr>
        <w:tab/>
      </w:r>
      <w:r>
        <w:rPr>
          <w:sz w:val="24"/>
          <w:szCs w:val="24"/>
        </w:rPr>
        <w:fldChar w:fldCharType="begin"/>
      </w:r>
      <w:r>
        <w:rPr>
          <w:sz w:val="24"/>
          <w:szCs w:val="24"/>
        </w:rPr>
        <w:instrText xml:space="preserve"> PAGEREF _Toc27124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_Toc29107 </w:instrText>
      </w:r>
      <w:r>
        <w:rPr>
          <w:sz w:val="24"/>
          <w:szCs w:val="24"/>
        </w:rPr>
        <w:fldChar w:fldCharType="separate"/>
      </w:r>
      <w:r>
        <w:rPr>
          <w:rFonts w:ascii="仿宋_GB2312" w:eastAsia="仿宋_GB2312"/>
          <w:sz w:val="24"/>
          <w:szCs w:val="24"/>
        </w:rPr>
        <w:t>（三）安全发展原则</w:t>
      </w:r>
      <w:r>
        <w:rPr>
          <w:rFonts w:ascii="仿宋_GB2312" w:eastAsia="仿宋_GB2312"/>
          <w:sz w:val="24"/>
          <w:szCs w:val="24"/>
          <w:lang w:val="en-US"/>
        </w:rPr>
        <w:t xml:space="preserve">  </w:t>
      </w:r>
      <w:r>
        <w:rPr>
          <w:sz w:val="24"/>
          <w:szCs w:val="24"/>
        </w:rPr>
        <w:tab/>
      </w:r>
      <w:r>
        <w:rPr>
          <w:sz w:val="24"/>
          <w:szCs w:val="24"/>
        </w:rPr>
        <w:fldChar w:fldCharType="begin"/>
      </w:r>
      <w:r>
        <w:rPr>
          <w:sz w:val="24"/>
          <w:szCs w:val="24"/>
        </w:rPr>
        <w:instrText xml:space="preserve"> PAGEREF _Toc29107 </w:instrText>
      </w:r>
      <w:r>
        <w:rPr>
          <w:sz w:val="24"/>
          <w:szCs w:val="24"/>
        </w:rPr>
        <w:fldChar w:fldCharType="separate"/>
      </w:r>
      <w:r>
        <w:rPr>
          <w:sz w:val="24"/>
          <w:szCs w:val="24"/>
        </w:rPr>
        <w:t>13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_Toc26081 </w:instrText>
      </w:r>
      <w:r>
        <w:rPr>
          <w:sz w:val="24"/>
          <w:szCs w:val="24"/>
        </w:rPr>
        <w:fldChar w:fldCharType="separate"/>
      </w:r>
      <w:r>
        <w:rPr>
          <w:rFonts w:ascii="仿宋_GB2312" w:eastAsia="仿宋_GB2312"/>
          <w:sz w:val="24"/>
          <w:szCs w:val="24"/>
        </w:rPr>
        <w:t>（四）产业提升原则</w:t>
      </w:r>
      <w:r>
        <w:rPr>
          <w:rFonts w:ascii="仿宋_GB2312" w:eastAsia="仿宋_GB2312"/>
          <w:sz w:val="24"/>
          <w:szCs w:val="24"/>
          <w:lang w:val="en-US"/>
        </w:rPr>
        <w:t xml:space="preserve"> </w:t>
      </w:r>
      <w:r>
        <w:rPr>
          <w:sz w:val="24"/>
          <w:szCs w:val="24"/>
        </w:rPr>
        <w:tab/>
      </w:r>
      <w:r>
        <w:rPr>
          <w:sz w:val="24"/>
          <w:szCs w:val="24"/>
        </w:rPr>
        <w:fldChar w:fldCharType="begin"/>
      </w:r>
      <w:r>
        <w:rPr>
          <w:sz w:val="24"/>
          <w:szCs w:val="24"/>
        </w:rPr>
        <w:instrText xml:space="preserve"> PAGEREF _Toc26081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_Toc9925 </w:instrText>
      </w:r>
      <w:r>
        <w:rPr>
          <w:sz w:val="24"/>
          <w:szCs w:val="24"/>
        </w:rPr>
        <w:fldChar w:fldCharType="separate"/>
      </w:r>
      <w:r>
        <w:rPr>
          <w:rFonts w:hint="eastAsia" w:ascii="黑体" w:hAnsi="黑体" w:eastAsia="黑体"/>
          <w:bCs w:val="0"/>
          <w:sz w:val="24"/>
          <w:szCs w:val="24"/>
        </w:rPr>
        <w:t>三、发展目标</w:t>
      </w:r>
      <w:r>
        <w:rPr>
          <w:sz w:val="24"/>
          <w:szCs w:val="24"/>
        </w:rPr>
        <w:tab/>
      </w:r>
      <w:r>
        <w:rPr>
          <w:sz w:val="24"/>
          <w:szCs w:val="24"/>
        </w:rPr>
        <w:fldChar w:fldCharType="begin"/>
      </w:r>
      <w:r>
        <w:rPr>
          <w:sz w:val="24"/>
          <w:szCs w:val="24"/>
        </w:rPr>
        <w:instrText xml:space="preserve"> PAGEREF _Toc9925 </w:instrText>
      </w:r>
      <w:r>
        <w:rPr>
          <w:sz w:val="24"/>
          <w:szCs w:val="24"/>
        </w:rPr>
        <w:fldChar w:fldCharType="separate"/>
      </w:r>
      <w:r>
        <w:rPr>
          <w:sz w:val="24"/>
          <w:szCs w:val="24"/>
        </w:rPr>
        <w:t>14</w:t>
      </w:r>
      <w:r>
        <w:rPr>
          <w:sz w:val="24"/>
          <w:szCs w:val="24"/>
        </w:rPr>
        <w:fldChar w:fldCharType="end"/>
      </w:r>
      <w:r>
        <w:rPr>
          <w:sz w:val="24"/>
          <w:szCs w:val="24"/>
        </w:rPr>
        <w:fldChar w:fldCharType="end"/>
      </w:r>
    </w:p>
    <w:p>
      <w:pPr>
        <w:pStyle w:val="14"/>
        <w:tabs>
          <w:tab w:val="right" w:leader="dot" w:pos="8306"/>
        </w:tabs>
        <w:rPr>
          <w:sz w:val="24"/>
          <w:szCs w:val="24"/>
        </w:rPr>
      </w:pPr>
      <w:r>
        <w:rPr>
          <w:sz w:val="24"/>
          <w:szCs w:val="24"/>
        </w:rPr>
        <w:fldChar w:fldCharType="begin"/>
      </w:r>
      <w:r>
        <w:rPr>
          <w:sz w:val="24"/>
          <w:szCs w:val="24"/>
        </w:rPr>
        <w:instrText xml:space="preserve"> HYPERLINK \l _Toc452 </w:instrText>
      </w:r>
      <w:r>
        <w:rPr>
          <w:sz w:val="24"/>
          <w:szCs w:val="24"/>
        </w:rPr>
        <w:fldChar w:fldCharType="separate"/>
      </w:r>
      <w:r>
        <w:rPr>
          <w:rFonts w:hint="default" w:ascii="黑体" w:hAnsi="黑体" w:eastAsia="黑体"/>
          <w:kern w:val="2"/>
          <w:sz w:val="24"/>
          <w:szCs w:val="24"/>
          <w:lang w:val="en-US"/>
        </w:rPr>
        <w:t>第</w:t>
      </w:r>
      <w:r>
        <w:rPr>
          <w:rFonts w:hint="eastAsia" w:ascii="黑体" w:hAnsi="黑体" w:eastAsia="黑体"/>
          <w:kern w:val="2"/>
          <w:sz w:val="24"/>
          <w:szCs w:val="24"/>
          <w:lang w:val="en-US" w:eastAsia="zh-CN"/>
        </w:rPr>
        <w:t>三</w:t>
      </w:r>
      <w:r>
        <w:rPr>
          <w:rFonts w:hint="default" w:ascii="黑体" w:hAnsi="黑体" w:eastAsia="黑体"/>
          <w:kern w:val="2"/>
          <w:sz w:val="24"/>
          <w:szCs w:val="24"/>
          <w:lang w:val="en-US"/>
        </w:rPr>
        <w:t>章 规划依据</w:t>
      </w:r>
      <w:r>
        <w:rPr>
          <w:sz w:val="24"/>
          <w:szCs w:val="24"/>
        </w:rPr>
        <w:tab/>
      </w:r>
      <w:r>
        <w:rPr>
          <w:sz w:val="24"/>
          <w:szCs w:val="24"/>
        </w:rPr>
        <w:fldChar w:fldCharType="begin"/>
      </w:r>
      <w:r>
        <w:rPr>
          <w:sz w:val="24"/>
          <w:szCs w:val="24"/>
        </w:rPr>
        <w:instrText xml:space="preserve"> PAGEREF _Toc452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_Toc28129 </w:instrText>
      </w:r>
      <w:r>
        <w:rPr>
          <w:sz w:val="24"/>
          <w:szCs w:val="24"/>
        </w:rPr>
        <w:fldChar w:fldCharType="separate"/>
      </w:r>
      <w:r>
        <w:rPr>
          <w:rFonts w:hint="eastAsia" w:ascii="黑体" w:hAnsi="黑体" w:eastAsia="黑体"/>
          <w:bCs w:val="0"/>
          <w:sz w:val="24"/>
          <w:szCs w:val="24"/>
        </w:rPr>
        <w:t>一、规划范围</w:t>
      </w:r>
      <w:r>
        <w:rPr>
          <w:sz w:val="24"/>
          <w:szCs w:val="24"/>
        </w:rPr>
        <w:tab/>
      </w:r>
      <w:r>
        <w:rPr>
          <w:sz w:val="24"/>
          <w:szCs w:val="24"/>
        </w:rPr>
        <w:fldChar w:fldCharType="begin"/>
      </w:r>
      <w:r>
        <w:rPr>
          <w:sz w:val="24"/>
          <w:szCs w:val="24"/>
        </w:rPr>
        <w:instrText xml:space="preserve"> PAGEREF _Toc28129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_Toc5831 </w:instrText>
      </w:r>
      <w:r>
        <w:rPr>
          <w:sz w:val="24"/>
          <w:szCs w:val="24"/>
        </w:rPr>
        <w:fldChar w:fldCharType="separate"/>
      </w:r>
      <w:r>
        <w:rPr>
          <w:rFonts w:hint="eastAsia" w:ascii="仿宋_GB2312" w:eastAsia="仿宋_GB2312"/>
          <w:sz w:val="24"/>
          <w:szCs w:val="24"/>
        </w:rPr>
        <w:t>（一）规划范围</w:t>
      </w:r>
      <w:r>
        <w:rPr>
          <w:sz w:val="24"/>
          <w:szCs w:val="24"/>
        </w:rPr>
        <w:tab/>
      </w:r>
      <w:r>
        <w:rPr>
          <w:sz w:val="24"/>
          <w:szCs w:val="24"/>
        </w:rPr>
        <w:fldChar w:fldCharType="begin"/>
      </w:r>
      <w:r>
        <w:rPr>
          <w:sz w:val="24"/>
          <w:szCs w:val="24"/>
        </w:rPr>
        <w:instrText xml:space="preserve"> PAGEREF _Toc5831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_Toc16186 </w:instrText>
      </w:r>
      <w:r>
        <w:rPr>
          <w:sz w:val="24"/>
          <w:szCs w:val="24"/>
        </w:rPr>
        <w:fldChar w:fldCharType="separate"/>
      </w:r>
      <w:r>
        <w:rPr>
          <w:rFonts w:hint="eastAsia" w:ascii="仿宋_GB2312" w:eastAsia="仿宋_GB2312"/>
          <w:sz w:val="24"/>
          <w:szCs w:val="24"/>
        </w:rPr>
        <w:t>（二）规划期限</w:t>
      </w:r>
      <w:r>
        <w:rPr>
          <w:sz w:val="24"/>
          <w:szCs w:val="24"/>
        </w:rPr>
        <w:tab/>
      </w:r>
      <w:r>
        <w:rPr>
          <w:sz w:val="24"/>
          <w:szCs w:val="24"/>
        </w:rPr>
        <w:fldChar w:fldCharType="begin"/>
      </w:r>
      <w:r>
        <w:rPr>
          <w:sz w:val="24"/>
          <w:szCs w:val="24"/>
        </w:rPr>
        <w:instrText xml:space="preserve"> PAGEREF _Toc16186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_Toc25072 </w:instrText>
      </w:r>
      <w:r>
        <w:rPr>
          <w:sz w:val="24"/>
          <w:szCs w:val="24"/>
        </w:rPr>
        <w:fldChar w:fldCharType="separate"/>
      </w:r>
      <w:r>
        <w:rPr>
          <w:rFonts w:hint="eastAsia" w:ascii="黑体" w:hAnsi="黑体" w:eastAsia="黑体"/>
          <w:bCs w:val="0"/>
          <w:sz w:val="24"/>
          <w:szCs w:val="24"/>
        </w:rPr>
        <w:t>二、主要依据</w:t>
      </w:r>
      <w:r>
        <w:rPr>
          <w:sz w:val="24"/>
          <w:szCs w:val="24"/>
        </w:rPr>
        <w:tab/>
      </w:r>
      <w:r>
        <w:rPr>
          <w:sz w:val="24"/>
          <w:szCs w:val="24"/>
        </w:rPr>
        <w:fldChar w:fldCharType="begin"/>
      </w:r>
      <w:r>
        <w:rPr>
          <w:sz w:val="24"/>
          <w:szCs w:val="24"/>
        </w:rPr>
        <w:instrText xml:space="preserve"> PAGEREF _Toc25072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_Toc29098 </w:instrText>
      </w:r>
      <w:r>
        <w:rPr>
          <w:sz w:val="24"/>
          <w:szCs w:val="24"/>
        </w:rPr>
        <w:fldChar w:fldCharType="separate"/>
      </w:r>
      <w:r>
        <w:rPr>
          <w:rFonts w:ascii="仿宋_GB2312" w:eastAsia="仿宋_GB2312"/>
          <w:sz w:val="24"/>
          <w:szCs w:val="24"/>
        </w:rPr>
        <w:t>（一）法律法规</w:t>
      </w:r>
      <w:r>
        <w:rPr>
          <w:sz w:val="24"/>
          <w:szCs w:val="24"/>
        </w:rPr>
        <w:tab/>
      </w:r>
      <w:r>
        <w:rPr>
          <w:sz w:val="24"/>
          <w:szCs w:val="24"/>
        </w:rPr>
        <w:fldChar w:fldCharType="begin"/>
      </w:r>
      <w:r>
        <w:rPr>
          <w:sz w:val="24"/>
          <w:szCs w:val="24"/>
        </w:rPr>
        <w:instrText xml:space="preserve"> PAGEREF _Toc29098 </w:instrText>
      </w:r>
      <w:r>
        <w:rPr>
          <w:sz w:val="24"/>
          <w:szCs w:val="24"/>
        </w:rPr>
        <w:fldChar w:fldCharType="separate"/>
      </w:r>
      <w:r>
        <w:rPr>
          <w:sz w:val="24"/>
          <w:szCs w:val="24"/>
        </w:rPr>
        <w:t>19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_Toc140 </w:instrText>
      </w:r>
      <w:r>
        <w:rPr>
          <w:sz w:val="24"/>
          <w:szCs w:val="24"/>
        </w:rPr>
        <w:fldChar w:fldCharType="separate"/>
      </w:r>
      <w:r>
        <w:rPr>
          <w:rFonts w:hint="default" w:ascii="仿宋_GB2312" w:eastAsia="仿宋_GB2312"/>
          <w:sz w:val="24"/>
          <w:szCs w:val="24"/>
        </w:rPr>
        <w:t>（二）政策依据</w:t>
      </w:r>
      <w:r>
        <w:rPr>
          <w:sz w:val="24"/>
          <w:szCs w:val="24"/>
        </w:rPr>
        <w:tab/>
      </w:r>
      <w:r>
        <w:rPr>
          <w:sz w:val="24"/>
          <w:szCs w:val="24"/>
        </w:rPr>
        <w:fldChar w:fldCharType="begin"/>
      </w:r>
      <w:r>
        <w:rPr>
          <w:sz w:val="24"/>
          <w:szCs w:val="24"/>
        </w:rPr>
        <w:instrText xml:space="preserve"> PAGEREF _Toc140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_Toc23122 </w:instrText>
      </w:r>
      <w:r>
        <w:rPr>
          <w:sz w:val="24"/>
          <w:szCs w:val="24"/>
        </w:rPr>
        <w:fldChar w:fldCharType="separate"/>
      </w:r>
      <w:r>
        <w:rPr>
          <w:rFonts w:hint="default" w:ascii="仿宋_GB2312" w:eastAsia="仿宋_GB2312"/>
          <w:sz w:val="24"/>
          <w:szCs w:val="24"/>
        </w:rPr>
        <w:t>（三）技术规范、标准</w:t>
      </w:r>
      <w:r>
        <w:rPr>
          <w:sz w:val="24"/>
          <w:szCs w:val="24"/>
        </w:rPr>
        <w:tab/>
      </w:r>
      <w:r>
        <w:rPr>
          <w:sz w:val="24"/>
          <w:szCs w:val="24"/>
        </w:rPr>
        <w:fldChar w:fldCharType="begin"/>
      </w:r>
      <w:r>
        <w:rPr>
          <w:sz w:val="24"/>
          <w:szCs w:val="24"/>
        </w:rPr>
        <w:instrText xml:space="preserve"> PAGEREF _Toc23122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_Toc20393 </w:instrText>
      </w:r>
      <w:r>
        <w:rPr>
          <w:sz w:val="24"/>
          <w:szCs w:val="24"/>
        </w:rPr>
        <w:fldChar w:fldCharType="separate"/>
      </w:r>
      <w:r>
        <w:rPr>
          <w:rFonts w:hint="default" w:ascii="仿宋_GB2312" w:eastAsia="仿宋_GB2312"/>
          <w:sz w:val="24"/>
          <w:szCs w:val="24"/>
        </w:rPr>
        <w:t>（四）相关规划</w:t>
      </w:r>
      <w:r>
        <w:rPr>
          <w:sz w:val="24"/>
          <w:szCs w:val="24"/>
        </w:rPr>
        <w:tab/>
      </w:r>
      <w:r>
        <w:rPr>
          <w:sz w:val="24"/>
          <w:szCs w:val="24"/>
        </w:rPr>
        <w:fldChar w:fldCharType="begin"/>
      </w:r>
      <w:r>
        <w:rPr>
          <w:sz w:val="24"/>
          <w:szCs w:val="24"/>
        </w:rPr>
        <w:instrText xml:space="preserve"> PAGEREF _Toc20393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_Toc22735 </w:instrText>
      </w:r>
      <w:r>
        <w:rPr>
          <w:sz w:val="24"/>
          <w:szCs w:val="24"/>
        </w:rPr>
        <w:fldChar w:fldCharType="separate"/>
      </w:r>
      <w:r>
        <w:rPr>
          <w:rFonts w:hint="eastAsia" w:ascii="黑体" w:hAnsi="黑体" w:eastAsia="黑体"/>
          <w:bCs w:val="0"/>
          <w:sz w:val="24"/>
          <w:szCs w:val="24"/>
        </w:rPr>
        <w:t>三、</w:t>
      </w:r>
      <w:r>
        <w:rPr>
          <w:rFonts w:ascii="黑体" w:hAnsi="黑体" w:eastAsia="黑体"/>
          <w:bCs w:val="0"/>
          <w:sz w:val="24"/>
          <w:szCs w:val="24"/>
        </w:rPr>
        <w:t>畜禽养殖现状及环境承载能力分析</w:t>
      </w:r>
      <w:r>
        <w:rPr>
          <w:sz w:val="24"/>
          <w:szCs w:val="24"/>
        </w:rPr>
        <w:tab/>
      </w:r>
      <w:r>
        <w:rPr>
          <w:sz w:val="24"/>
          <w:szCs w:val="24"/>
        </w:rPr>
        <w:fldChar w:fldCharType="begin"/>
      </w:r>
      <w:r>
        <w:rPr>
          <w:sz w:val="24"/>
          <w:szCs w:val="24"/>
        </w:rPr>
        <w:instrText xml:space="preserve"> PAGEREF _Toc22735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_Toc4932 </w:instrText>
      </w:r>
      <w:r>
        <w:rPr>
          <w:sz w:val="24"/>
          <w:szCs w:val="24"/>
        </w:rPr>
        <w:fldChar w:fldCharType="separate"/>
      </w:r>
      <w:r>
        <w:rPr>
          <w:rFonts w:ascii="仿宋_GB2312" w:eastAsia="仿宋_GB2312"/>
          <w:sz w:val="24"/>
          <w:szCs w:val="24"/>
          <w:lang w:val="en-US"/>
        </w:rPr>
        <w:t>（一）</w:t>
      </w:r>
      <w:r>
        <w:rPr>
          <w:rFonts w:hint="default" w:ascii="仿宋_GB2312" w:eastAsia="仿宋_GB2312"/>
          <w:sz w:val="24"/>
          <w:szCs w:val="24"/>
        </w:rPr>
        <w:t>畜禽养殖现状</w:t>
      </w:r>
      <w:r>
        <w:rPr>
          <w:sz w:val="24"/>
          <w:szCs w:val="24"/>
        </w:rPr>
        <w:tab/>
      </w:r>
      <w:r>
        <w:rPr>
          <w:sz w:val="24"/>
          <w:szCs w:val="24"/>
        </w:rPr>
        <w:fldChar w:fldCharType="begin"/>
      </w:r>
      <w:r>
        <w:rPr>
          <w:sz w:val="24"/>
          <w:szCs w:val="24"/>
        </w:rPr>
        <w:instrText xml:space="preserve"> PAGEREF _Toc4932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_Toc21417 </w:instrText>
      </w:r>
      <w:r>
        <w:rPr>
          <w:sz w:val="24"/>
          <w:szCs w:val="24"/>
        </w:rPr>
        <w:fldChar w:fldCharType="separate"/>
      </w:r>
      <w:r>
        <w:rPr>
          <w:rFonts w:ascii="仿宋_GB2312" w:eastAsia="仿宋_GB2312"/>
          <w:sz w:val="24"/>
          <w:szCs w:val="24"/>
        </w:rPr>
        <w:t>（</w:t>
      </w:r>
      <w:r>
        <w:rPr>
          <w:rFonts w:ascii="仿宋_GB2312" w:eastAsia="仿宋_GB2312"/>
          <w:sz w:val="24"/>
          <w:szCs w:val="24"/>
          <w:lang w:val="en-US"/>
        </w:rPr>
        <w:t>二）资源与</w:t>
      </w:r>
      <w:r>
        <w:rPr>
          <w:rFonts w:hint="default" w:ascii="仿宋_GB2312" w:eastAsia="仿宋_GB2312"/>
          <w:sz w:val="24"/>
          <w:szCs w:val="24"/>
        </w:rPr>
        <w:t>环境承载能力</w:t>
      </w:r>
      <w:r>
        <w:rPr>
          <w:sz w:val="24"/>
          <w:szCs w:val="24"/>
        </w:rPr>
        <w:tab/>
      </w:r>
      <w:r>
        <w:rPr>
          <w:sz w:val="24"/>
          <w:szCs w:val="24"/>
        </w:rPr>
        <w:fldChar w:fldCharType="begin"/>
      </w:r>
      <w:r>
        <w:rPr>
          <w:sz w:val="24"/>
          <w:szCs w:val="24"/>
        </w:rPr>
        <w:instrText xml:space="preserve"> PAGEREF _Toc21417 </w:instrText>
      </w:r>
      <w:r>
        <w:rPr>
          <w:sz w:val="24"/>
          <w:szCs w:val="24"/>
        </w:rPr>
        <w:fldChar w:fldCharType="separate"/>
      </w:r>
      <w:r>
        <w:rPr>
          <w:sz w:val="24"/>
          <w:szCs w:val="24"/>
        </w:rPr>
        <w:t>26</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_Toc3932 </w:instrText>
      </w:r>
      <w:r>
        <w:rPr>
          <w:sz w:val="24"/>
          <w:szCs w:val="24"/>
        </w:rPr>
        <w:fldChar w:fldCharType="separate"/>
      </w:r>
      <w:r>
        <w:rPr>
          <w:rFonts w:hint="eastAsia" w:ascii="黑体" w:hAnsi="黑体" w:eastAsia="黑体"/>
          <w:bCs w:val="0"/>
          <w:sz w:val="24"/>
          <w:szCs w:val="24"/>
        </w:rPr>
        <w:t>四、主要畜产品市场需求</w:t>
      </w:r>
      <w:r>
        <w:rPr>
          <w:sz w:val="24"/>
          <w:szCs w:val="24"/>
        </w:rPr>
        <w:tab/>
      </w:r>
      <w:r>
        <w:rPr>
          <w:sz w:val="24"/>
          <w:szCs w:val="24"/>
        </w:rPr>
        <w:fldChar w:fldCharType="begin"/>
      </w:r>
      <w:r>
        <w:rPr>
          <w:sz w:val="24"/>
          <w:szCs w:val="24"/>
        </w:rPr>
        <w:instrText xml:space="preserve"> PAGEREF _Toc3932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_Toc16657 </w:instrText>
      </w:r>
      <w:r>
        <w:rPr>
          <w:sz w:val="24"/>
          <w:szCs w:val="24"/>
        </w:rPr>
        <w:fldChar w:fldCharType="separate"/>
      </w:r>
      <w:r>
        <w:rPr>
          <w:rFonts w:ascii="仿宋_GB2312" w:eastAsia="仿宋_GB2312"/>
          <w:sz w:val="24"/>
          <w:szCs w:val="24"/>
        </w:rPr>
        <w:t>（一）猪肉市场需求预测</w:t>
      </w:r>
      <w:r>
        <w:rPr>
          <w:rFonts w:ascii="仿宋_GB2312" w:eastAsia="仿宋_GB2312"/>
          <w:sz w:val="24"/>
          <w:szCs w:val="24"/>
          <w:lang w:val="en-US"/>
        </w:rPr>
        <w:t xml:space="preserve"> </w:t>
      </w:r>
      <w:r>
        <w:rPr>
          <w:sz w:val="24"/>
          <w:szCs w:val="24"/>
        </w:rPr>
        <w:tab/>
      </w:r>
      <w:r>
        <w:rPr>
          <w:sz w:val="24"/>
          <w:szCs w:val="24"/>
        </w:rPr>
        <w:fldChar w:fldCharType="begin"/>
      </w:r>
      <w:r>
        <w:rPr>
          <w:sz w:val="24"/>
          <w:szCs w:val="24"/>
        </w:rPr>
        <w:instrText xml:space="preserve"> PAGEREF _Toc16657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_Toc11060 </w:instrText>
      </w:r>
      <w:r>
        <w:rPr>
          <w:sz w:val="24"/>
          <w:szCs w:val="24"/>
        </w:rPr>
        <w:fldChar w:fldCharType="separate"/>
      </w:r>
      <w:r>
        <w:rPr>
          <w:rFonts w:ascii="仿宋_GB2312" w:eastAsia="仿宋_GB2312"/>
          <w:sz w:val="24"/>
          <w:szCs w:val="24"/>
        </w:rPr>
        <w:t>（二）</w:t>
      </w:r>
      <w:r>
        <w:rPr>
          <w:rFonts w:hint="eastAsia" w:ascii="仿宋_GB2312" w:eastAsia="仿宋_GB2312"/>
          <w:sz w:val="24"/>
          <w:szCs w:val="24"/>
          <w:lang w:val="en-US" w:eastAsia="zh-CN"/>
        </w:rPr>
        <w:t>禽</w:t>
      </w:r>
      <w:r>
        <w:rPr>
          <w:rFonts w:ascii="仿宋_GB2312" w:eastAsia="仿宋_GB2312"/>
          <w:sz w:val="24"/>
          <w:szCs w:val="24"/>
        </w:rPr>
        <w:t>蛋市场需求预测</w:t>
      </w:r>
      <w:r>
        <w:rPr>
          <w:rFonts w:ascii="仿宋_GB2312" w:eastAsia="仿宋_GB2312"/>
          <w:sz w:val="24"/>
          <w:szCs w:val="24"/>
          <w:lang w:val="en-US"/>
        </w:rPr>
        <w:t xml:space="preserve"> </w:t>
      </w:r>
      <w:r>
        <w:rPr>
          <w:sz w:val="24"/>
          <w:szCs w:val="24"/>
        </w:rPr>
        <w:tab/>
      </w:r>
      <w:r>
        <w:rPr>
          <w:sz w:val="24"/>
          <w:szCs w:val="24"/>
        </w:rPr>
        <w:fldChar w:fldCharType="begin"/>
      </w:r>
      <w:r>
        <w:rPr>
          <w:sz w:val="24"/>
          <w:szCs w:val="24"/>
        </w:rPr>
        <w:instrText xml:space="preserve"> PAGEREF _Toc11060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_Toc9719 </w:instrText>
      </w:r>
      <w:r>
        <w:rPr>
          <w:sz w:val="24"/>
          <w:szCs w:val="24"/>
        </w:rPr>
        <w:fldChar w:fldCharType="separate"/>
      </w:r>
      <w:r>
        <w:rPr>
          <w:rFonts w:ascii="仿宋_GB2312" w:eastAsia="仿宋_GB2312"/>
          <w:sz w:val="24"/>
          <w:szCs w:val="24"/>
        </w:rPr>
        <w:t>（三）禽肉市场需求预测</w:t>
      </w:r>
      <w:r>
        <w:rPr>
          <w:sz w:val="24"/>
          <w:szCs w:val="24"/>
        </w:rPr>
        <w:tab/>
      </w:r>
      <w:r>
        <w:rPr>
          <w:sz w:val="24"/>
          <w:szCs w:val="24"/>
        </w:rPr>
        <w:fldChar w:fldCharType="begin"/>
      </w:r>
      <w:r>
        <w:rPr>
          <w:sz w:val="24"/>
          <w:szCs w:val="24"/>
        </w:rPr>
        <w:instrText xml:space="preserve"> PAGEREF _Toc9719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_Toc9560 </w:instrText>
      </w:r>
      <w:r>
        <w:rPr>
          <w:sz w:val="24"/>
          <w:szCs w:val="24"/>
        </w:rPr>
        <w:fldChar w:fldCharType="separate"/>
      </w:r>
      <w:r>
        <w:rPr>
          <w:rFonts w:ascii="仿宋_GB2312" w:eastAsia="仿宋_GB2312"/>
          <w:sz w:val="24"/>
          <w:szCs w:val="24"/>
        </w:rPr>
        <w:t>（四）牛羊肉市场需求预测</w:t>
      </w:r>
      <w:r>
        <w:rPr>
          <w:rFonts w:ascii="仿宋_GB2312" w:eastAsia="仿宋_GB2312"/>
          <w:sz w:val="24"/>
          <w:szCs w:val="24"/>
          <w:lang w:val="en-US"/>
        </w:rPr>
        <w:t xml:space="preserve"> </w:t>
      </w:r>
      <w:r>
        <w:rPr>
          <w:sz w:val="24"/>
          <w:szCs w:val="24"/>
        </w:rPr>
        <w:tab/>
      </w:r>
      <w:r>
        <w:rPr>
          <w:sz w:val="24"/>
          <w:szCs w:val="24"/>
        </w:rPr>
        <w:fldChar w:fldCharType="begin"/>
      </w:r>
      <w:r>
        <w:rPr>
          <w:sz w:val="24"/>
          <w:szCs w:val="24"/>
        </w:rPr>
        <w:instrText xml:space="preserve"> PAGEREF _Toc9560 </w:instrText>
      </w:r>
      <w:r>
        <w:rPr>
          <w:sz w:val="24"/>
          <w:szCs w:val="24"/>
        </w:rPr>
        <w:fldChar w:fldCharType="separate"/>
      </w:r>
      <w:r>
        <w:rPr>
          <w:sz w:val="24"/>
          <w:szCs w:val="24"/>
        </w:rPr>
        <w:t>29</w:t>
      </w:r>
      <w:r>
        <w:rPr>
          <w:sz w:val="24"/>
          <w:szCs w:val="24"/>
        </w:rPr>
        <w:fldChar w:fldCharType="end"/>
      </w:r>
      <w:r>
        <w:rPr>
          <w:sz w:val="24"/>
          <w:szCs w:val="24"/>
        </w:rPr>
        <w:fldChar w:fldCharType="end"/>
      </w:r>
    </w:p>
    <w:p>
      <w:pPr>
        <w:pStyle w:val="14"/>
        <w:tabs>
          <w:tab w:val="right" w:leader="dot" w:pos="8306"/>
        </w:tabs>
        <w:rPr>
          <w:sz w:val="24"/>
          <w:szCs w:val="24"/>
        </w:rPr>
      </w:pPr>
      <w:r>
        <w:rPr>
          <w:sz w:val="24"/>
          <w:szCs w:val="24"/>
        </w:rPr>
        <w:fldChar w:fldCharType="begin"/>
      </w:r>
      <w:r>
        <w:rPr>
          <w:sz w:val="24"/>
          <w:szCs w:val="24"/>
        </w:rPr>
        <w:instrText xml:space="preserve"> HYPERLINK \l _Toc30976 </w:instrText>
      </w:r>
      <w:r>
        <w:rPr>
          <w:sz w:val="24"/>
          <w:szCs w:val="24"/>
        </w:rPr>
        <w:fldChar w:fldCharType="separate"/>
      </w:r>
      <w:r>
        <w:rPr>
          <w:rFonts w:ascii="黑体" w:hAnsi="黑体" w:eastAsia="黑体"/>
          <w:kern w:val="2"/>
          <w:sz w:val="24"/>
          <w:szCs w:val="24"/>
          <w:lang w:val="en-US"/>
        </w:rPr>
        <w:t>第四章 　区域布局</w:t>
      </w:r>
      <w:r>
        <w:rPr>
          <w:sz w:val="24"/>
          <w:szCs w:val="24"/>
        </w:rPr>
        <w:tab/>
      </w:r>
      <w:r>
        <w:rPr>
          <w:sz w:val="24"/>
          <w:szCs w:val="24"/>
        </w:rPr>
        <w:fldChar w:fldCharType="begin"/>
      </w:r>
      <w:r>
        <w:rPr>
          <w:sz w:val="24"/>
          <w:szCs w:val="24"/>
        </w:rPr>
        <w:instrText xml:space="preserve"> PAGEREF _Toc30976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_Toc257 </w:instrText>
      </w:r>
      <w:r>
        <w:rPr>
          <w:sz w:val="24"/>
          <w:szCs w:val="24"/>
        </w:rPr>
        <w:fldChar w:fldCharType="separate"/>
      </w:r>
      <w:r>
        <w:rPr>
          <w:rFonts w:hint="eastAsia" w:ascii="黑体" w:hAnsi="黑体" w:eastAsia="黑体"/>
          <w:bCs w:val="0"/>
          <w:sz w:val="24"/>
          <w:szCs w:val="24"/>
        </w:rPr>
        <w:t>一</w:t>
      </w:r>
      <w:r>
        <w:rPr>
          <w:rFonts w:hint="eastAsia" w:ascii="黑体" w:hAnsi="黑体" w:eastAsia="黑体"/>
          <w:bCs w:val="0"/>
          <w:sz w:val="24"/>
          <w:szCs w:val="24"/>
          <w:lang w:eastAsia="zh-CN"/>
        </w:rPr>
        <w:t>、</w:t>
      </w:r>
      <w:r>
        <w:rPr>
          <w:rFonts w:hint="eastAsia" w:ascii="黑体" w:hAnsi="黑体" w:eastAsia="黑体"/>
          <w:bCs w:val="0"/>
          <w:sz w:val="24"/>
          <w:szCs w:val="24"/>
        </w:rPr>
        <w:t>养殖区布局</w:t>
      </w:r>
      <w:r>
        <w:rPr>
          <w:sz w:val="24"/>
          <w:szCs w:val="24"/>
        </w:rPr>
        <w:tab/>
      </w:r>
      <w:r>
        <w:rPr>
          <w:sz w:val="24"/>
          <w:szCs w:val="24"/>
        </w:rPr>
        <w:fldChar w:fldCharType="begin"/>
      </w:r>
      <w:r>
        <w:rPr>
          <w:sz w:val="24"/>
          <w:szCs w:val="24"/>
        </w:rPr>
        <w:instrText xml:space="preserve"> PAGEREF _Toc257 </w:instrText>
      </w:r>
      <w:r>
        <w:rPr>
          <w:sz w:val="24"/>
          <w:szCs w:val="24"/>
        </w:rPr>
        <w:fldChar w:fldCharType="separate"/>
      </w:r>
      <w:r>
        <w:rPr>
          <w:sz w:val="24"/>
          <w:szCs w:val="24"/>
        </w:rPr>
        <w:t>31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_Toc9772 </w:instrText>
      </w:r>
      <w:r>
        <w:rPr>
          <w:sz w:val="24"/>
          <w:szCs w:val="24"/>
        </w:rPr>
        <w:fldChar w:fldCharType="separate"/>
      </w:r>
      <w:r>
        <w:rPr>
          <w:rFonts w:hint="eastAsia" w:ascii="黑体" w:hAnsi="黑体" w:eastAsia="黑体"/>
          <w:bCs w:val="0"/>
          <w:sz w:val="24"/>
          <w:szCs w:val="24"/>
          <w:lang w:eastAsia="zh-CN"/>
        </w:rPr>
        <w:t>二</w:t>
      </w:r>
      <w:r>
        <w:rPr>
          <w:rFonts w:hint="eastAsia" w:ascii="黑体" w:hAnsi="黑体" w:eastAsia="黑体"/>
          <w:bCs w:val="0"/>
          <w:sz w:val="24"/>
          <w:szCs w:val="24"/>
        </w:rPr>
        <w:t>、产业</w:t>
      </w:r>
      <w:r>
        <w:rPr>
          <w:rFonts w:hint="eastAsia" w:ascii="黑体" w:hAnsi="黑体" w:eastAsia="黑体"/>
          <w:bCs w:val="0"/>
          <w:sz w:val="24"/>
          <w:szCs w:val="24"/>
          <w:lang w:eastAsia="zh-CN"/>
        </w:rPr>
        <w:t>与区域</w:t>
      </w:r>
      <w:r>
        <w:rPr>
          <w:rFonts w:hint="eastAsia" w:ascii="黑体" w:hAnsi="黑体" w:eastAsia="黑体"/>
          <w:bCs w:val="0"/>
          <w:sz w:val="24"/>
          <w:szCs w:val="24"/>
        </w:rPr>
        <w:t>布局</w:t>
      </w:r>
      <w:r>
        <w:rPr>
          <w:sz w:val="24"/>
          <w:szCs w:val="24"/>
        </w:rPr>
        <w:tab/>
      </w:r>
      <w:r>
        <w:rPr>
          <w:sz w:val="24"/>
          <w:szCs w:val="24"/>
        </w:rPr>
        <w:fldChar w:fldCharType="begin"/>
      </w:r>
      <w:r>
        <w:rPr>
          <w:sz w:val="24"/>
          <w:szCs w:val="24"/>
        </w:rPr>
        <w:instrText xml:space="preserve"> PAGEREF _Toc9772 </w:instrText>
      </w:r>
      <w:r>
        <w:rPr>
          <w:sz w:val="24"/>
          <w:szCs w:val="24"/>
        </w:rPr>
        <w:fldChar w:fldCharType="separate"/>
      </w:r>
      <w:r>
        <w:rPr>
          <w:sz w:val="24"/>
          <w:szCs w:val="24"/>
        </w:rPr>
        <w:t>33</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_Toc28818 </w:instrText>
      </w:r>
      <w:r>
        <w:rPr>
          <w:sz w:val="24"/>
          <w:szCs w:val="24"/>
        </w:rPr>
        <w:fldChar w:fldCharType="separate"/>
      </w:r>
      <w:r>
        <w:rPr>
          <w:rFonts w:ascii="仿宋_GB2312" w:eastAsia="仿宋_GB2312"/>
          <w:bCs/>
          <w:sz w:val="24"/>
          <w:szCs w:val="24"/>
          <w:lang w:val="en-US"/>
        </w:rPr>
        <w:t>（一）</w:t>
      </w:r>
      <w:r>
        <w:rPr>
          <w:rFonts w:hint="default" w:ascii="仿宋_GB2312" w:eastAsia="仿宋_GB2312"/>
          <w:bCs/>
          <w:sz w:val="24"/>
          <w:szCs w:val="24"/>
          <w:lang w:val="en-US"/>
        </w:rPr>
        <w:t>生猪产业布局</w:t>
      </w:r>
      <w:r>
        <w:rPr>
          <w:sz w:val="24"/>
          <w:szCs w:val="24"/>
        </w:rPr>
        <w:tab/>
      </w:r>
      <w:r>
        <w:rPr>
          <w:sz w:val="24"/>
          <w:szCs w:val="24"/>
        </w:rPr>
        <w:fldChar w:fldCharType="begin"/>
      </w:r>
      <w:r>
        <w:rPr>
          <w:sz w:val="24"/>
          <w:szCs w:val="24"/>
        </w:rPr>
        <w:instrText xml:space="preserve"> PAGEREF _Toc28818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_Toc30209 </w:instrText>
      </w:r>
      <w:r>
        <w:rPr>
          <w:sz w:val="24"/>
          <w:szCs w:val="24"/>
        </w:rPr>
        <w:fldChar w:fldCharType="separate"/>
      </w:r>
      <w:r>
        <w:rPr>
          <w:rFonts w:ascii="仿宋_GB2312" w:eastAsia="仿宋_GB2312"/>
          <w:bCs/>
          <w:sz w:val="24"/>
          <w:szCs w:val="24"/>
          <w:lang w:val="en-US"/>
        </w:rPr>
        <w:t>（二）奶牛</w:t>
      </w:r>
      <w:r>
        <w:rPr>
          <w:rFonts w:hint="default" w:ascii="仿宋_GB2312" w:eastAsia="仿宋_GB2312"/>
          <w:bCs/>
          <w:sz w:val="24"/>
          <w:szCs w:val="24"/>
          <w:lang w:val="en-US"/>
        </w:rPr>
        <w:t>产业布局</w:t>
      </w:r>
      <w:r>
        <w:rPr>
          <w:sz w:val="24"/>
          <w:szCs w:val="24"/>
        </w:rPr>
        <w:tab/>
      </w:r>
      <w:r>
        <w:rPr>
          <w:sz w:val="24"/>
          <w:szCs w:val="24"/>
        </w:rPr>
        <w:fldChar w:fldCharType="begin"/>
      </w:r>
      <w:r>
        <w:rPr>
          <w:sz w:val="24"/>
          <w:szCs w:val="24"/>
        </w:rPr>
        <w:instrText xml:space="preserve"> PAGEREF _Toc30209 </w:instrText>
      </w:r>
      <w:r>
        <w:rPr>
          <w:sz w:val="24"/>
          <w:szCs w:val="24"/>
        </w:rPr>
        <w:fldChar w:fldCharType="separate"/>
      </w:r>
      <w:r>
        <w:rPr>
          <w:sz w:val="24"/>
          <w:szCs w:val="24"/>
        </w:rPr>
        <w:t>35</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_Toc16750 </w:instrText>
      </w:r>
      <w:r>
        <w:rPr>
          <w:sz w:val="24"/>
          <w:szCs w:val="24"/>
        </w:rPr>
        <w:fldChar w:fldCharType="separate"/>
      </w:r>
      <w:r>
        <w:rPr>
          <w:rFonts w:hint="default" w:eastAsia="仿宋_GB2312"/>
          <w:bCs/>
          <w:sz w:val="24"/>
          <w:szCs w:val="24"/>
          <w:lang w:val="en-US"/>
        </w:rPr>
        <w:t>（三）家禽产业布局</w:t>
      </w:r>
      <w:r>
        <w:rPr>
          <w:sz w:val="24"/>
          <w:szCs w:val="24"/>
        </w:rPr>
        <w:tab/>
      </w:r>
      <w:r>
        <w:rPr>
          <w:sz w:val="24"/>
          <w:szCs w:val="24"/>
        </w:rPr>
        <w:fldChar w:fldCharType="begin"/>
      </w:r>
      <w:r>
        <w:rPr>
          <w:sz w:val="24"/>
          <w:szCs w:val="24"/>
        </w:rPr>
        <w:instrText xml:space="preserve"> PAGEREF _Toc16750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_Toc27356 </w:instrText>
      </w:r>
      <w:r>
        <w:rPr>
          <w:sz w:val="24"/>
          <w:szCs w:val="24"/>
        </w:rPr>
        <w:fldChar w:fldCharType="separate"/>
      </w:r>
      <w:r>
        <w:rPr>
          <w:rFonts w:ascii="仿宋_GB2312" w:eastAsia="仿宋_GB2312"/>
          <w:bCs/>
          <w:sz w:val="24"/>
          <w:szCs w:val="24"/>
          <w:lang w:val="en-US"/>
        </w:rPr>
        <w:t>（四）</w:t>
      </w:r>
      <w:r>
        <w:rPr>
          <w:rFonts w:hint="default" w:ascii="仿宋_GB2312" w:eastAsia="仿宋_GB2312"/>
          <w:bCs/>
          <w:sz w:val="24"/>
          <w:szCs w:val="24"/>
          <w:lang w:val="en-US"/>
        </w:rPr>
        <w:t>草食动物产业布局</w:t>
      </w:r>
      <w:r>
        <w:rPr>
          <w:sz w:val="24"/>
          <w:szCs w:val="24"/>
        </w:rPr>
        <w:tab/>
      </w:r>
      <w:r>
        <w:rPr>
          <w:sz w:val="24"/>
          <w:szCs w:val="24"/>
        </w:rPr>
        <w:fldChar w:fldCharType="begin"/>
      </w:r>
      <w:r>
        <w:rPr>
          <w:sz w:val="24"/>
          <w:szCs w:val="24"/>
        </w:rPr>
        <w:instrText xml:space="preserve"> PAGEREF _Toc27356 </w:instrText>
      </w:r>
      <w:r>
        <w:rPr>
          <w:sz w:val="24"/>
          <w:szCs w:val="24"/>
        </w:rPr>
        <w:fldChar w:fldCharType="separate"/>
      </w:r>
      <w:r>
        <w:rPr>
          <w:sz w:val="24"/>
          <w:szCs w:val="24"/>
        </w:rPr>
        <w:t>38</w:t>
      </w:r>
      <w:r>
        <w:rPr>
          <w:sz w:val="24"/>
          <w:szCs w:val="24"/>
        </w:rPr>
        <w:fldChar w:fldCharType="end"/>
      </w:r>
      <w:r>
        <w:rPr>
          <w:sz w:val="24"/>
          <w:szCs w:val="24"/>
        </w:rPr>
        <w:fldChar w:fldCharType="end"/>
      </w:r>
    </w:p>
    <w:p>
      <w:pPr>
        <w:pStyle w:val="14"/>
        <w:tabs>
          <w:tab w:val="right" w:leader="dot" w:pos="8306"/>
        </w:tabs>
        <w:rPr>
          <w:sz w:val="24"/>
          <w:szCs w:val="24"/>
        </w:rPr>
      </w:pPr>
      <w:r>
        <w:rPr>
          <w:sz w:val="24"/>
          <w:szCs w:val="24"/>
        </w:rPr>
        <w:fldChar w:fldCharType="begin"/>
      </w:r>
      <w:r>
        <w:rPr>
          <w:sz w:val="24"/>
          <w:szCs w:val="24"/>
        </w:rPr>
        <w:instrText xml:space="preserve"> HYPERLINK \l _Toc15863 </w:instrText>
      </w:r>
      <w:r>
        <w:rPr>
          <w:sz w:val="24"/>
          <w:szCs w:val="24"/>
        </w:rPr>
        <w:fldChar w:fldCharType="separate"/>
      </w:r>
      <w:r>
        <w:rPr>
          <w:rFonts w:ascii="黑体" w:hAnsi="黑体" w:eastAsia="黑体"/>
          <w:kern w:val="2"/>
          <w:sz w:val="24"/>
          <w:szCs w:val="24"/>
          <w:lang w:val="en-US"/>
        </w:rPr>
        <w:t>第五章  主要任务</w:t>
      </w:r>
      <w:r>
        <w:rPr>
          <w:sz w:val="24"/>
          <w:szCs w:val="24"/>
        </w:rPr>
        <w:tab/>
      </w:r>
      <w:r>
        <w:rPr>
          <w:sz w:val="24"/>
          <w:szCs w:val="24"/>
        </w:rPr>
        <w:fldChar w:fldCharType="begin"/>
      </w:r>
      <w:r>
        <w:rPr>
          <w:sz w:val="24"/>
          <w:szCs w:val="24"/>
        </w:rPr>
        <w:instrText xml:space="preserve"> PAGEREF _Toc15863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_Toc14191 </w:instrText>
      </w:r>
      <w:r>
        <w:rPr>
          <w:sz w:val="24"/>
          <w:szCs w:val="24"/>
        </w:rPr>
        <w:fldChar w:fldCharType="separate"/>
      </w:r>
      <w:r>
        <w:rPr>
          <w:rFonts w:hint="eastAsia" w:ascii="黑体" w:hAnsi="黑体" w:eastAsia="黑体"/>
          <w:bCs w:val="0"/>
          <w:sz w:val="24"/>
          <w:szCs w:val="24"/>
        </w:rPr>
        <w:t>一、提升现代畜禽种业竞争力</w:t>
      </w:r>
      <w:r>
        <w:rPr>
          <w:sz w:val="24"/>
          <w:szCs w:val="24"/>
        </w:rPr>
        <w:tab/>
      </w:r>
      <w:r>
        <w:rPr>
          <w:sz w:val="24"/>
          <w:szCs w:val="24"/>
        </w:rPr>
        <w:fldChar w:fldCharType="begin"/>
      </w:r>
      <w:r>
        <w:rPr>
          <w:sz w:val="24"/>
          <w:szCs w:val="24"/>
        </w:rPr>
        <w:instrText xml:space="preserve"> PAGEREF _Toc14191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_Toc10411 </w:instrText>
      </w:r>
      <w:r>
        <w:rPr>
          <w:sz w:val="24"/>
          <w:szCs w:val="24"/>
        </w:rPr>
        <w:fldChar w:fldCharType="separate"/>
      </w:r>
      <w:r>
        <w:rPr>
          <w:rFonts w:ascii="仿宋_GB2312" w:eastAsia="仿宋_GB2312"/>
          <w:sz w:val="24"/>
          <w:szCs w:val="24"/>
        </w:rPr>
        <w:t>（一）</w:t>
      </w:r>
      <w:r>
        <w:rPr>
          <w:rFonts w:ascii="仿宋_GB2312" w:eastAsia="仿宋_GB2312"/>
          <w:sz w:val="24"/>
          <w:szCs w:val="24"/>
          <w:lang w:val="en-US"/>
        </w:rPr>
        <w:t>加快良种繁育基地建设</w:t>
      </w:r>
      <w:r>
        <w:rPr>
          <w:sz w:val="24"/>
          <w:szCs w:val="24"/>
        </w:rPr>
        <w:tab/>
      </w:r>
      <w:r>
        <w:rPr>
          <w:sz w:val="24"/>
          <w:szCs w:val="24"/>
        </w:rPr>
        <w:fldChar w:fldCharType="begin"/>
      </w:r>
      <w:r>
        <w:rPr>
          <w:sz w:val="24"/>
          <w:szCs w:val="24"/>
        </w:rPr>
        <w:instrText xml:space="preserve"> PAGEREF _Toc10411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_Toc14636 </w:instrText>
      </w:r>
      <w:r>
        <w:rPr>
          <w:sz w:val="24"/>
          <w:szCs w:val="24"/>
        </w:rPr>
        <w:fldChar w:fldCharType="separate"/>
      </w:r>
      <w:r>
        <w:rPr>
          <w:rFonts w:ascii="仿宋_GB2312" w:eastAsia="仿宋_GB2312"/>
          <w:sz w:val="24"/>
          <w:szCs w:val="24"/>
        </w:rPr>
        <w:t>（二）加快</w:t>
      </w:r>
      <w:r>
        <w:rPr>
          <w:rFonts w:ascii="仿宋_GB2312" w:eastAsia="仿宋_GB2312"/>
          <w:sz w:val="24"/>
          <w:szCs w:val="24"/>
          <w:lang w:val="en-US"/>
        </w:rPr>
        <w:t>种业</w:t>
      </w:r>
      <w:r>
        <w:rPr>
          <w:rFonts w:ascii="仿宋_GB2312" w:eastAsia="仿宋_GB2312"/>
          <w:sz w:val="24"/>
          <w:szCs w:val="24"/>
        </w:rPr>
        <w:t>自主创新和转化推广进程</w:t>
      </w:r>
      <w:r>
        <w:rPr>
          <w:sz w:val="24"/>
          <w:szCs w:val="24"/>
        </w:rPr>
        <w:tab/>
      </w:r>
      <w:r>
        <w:rPr>
          <w:sz w:val="24"/>
          <w:szCs w:val="24"/>
        </w:rPr>
        <w:fldChar w:fldCharType="begin"/>
      </w:r>
      <w:r>
        <w:rPr>
          <w:sz w:val="24"/>
          <w:szCs w:val="24"/>
        </w:rPr>
        <w:instrText xml:space="preserve"> PAGEREF _Toc14636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_Toc12247 </w:instrText>
      </w:r>
      <w:r>
        <w:rPr>
          <w:sz w:val="24"/>
          <w:szCs w:val="24"/>
        </w:rPr>
        <w:fldChar w:fldCharType="separate"/>
      </w:r>
      <w:r>
        <w:rPr>
          <w:rFonts w:ascii="仿宋_GB2312" w:eastAsia="仿宋_GB2312"/>
          <w:sz w:val="24"/>
          <w:szCs w:val="24"/>
        </w:rPr>
        <w:t>（</w:t>
      </w:r>
      <w:r>
        <w:rPr>
          <w:rFonts w:ascii="仿宋_GB2312" w:eastAsia="仿宋_GB2312"/>
          <w:sz w:val="24"/>
          <w:szCs w:val="24"/>
          <w:lang w:val="en-US"/>
        </w:rPr>
        <w:t>三</w:t>
      </w:r>
      <w:r>
        <w:rPr>
          <w:rFonts w:ascii="仿宋_GB2312" w:eastAsia="仿宋_GB2312"/>
          <w:sz w:val="24"/>
          <w:szCs w:val="24"/>
        </w:rPr>
        <w:t>）推进优势特色畜禽种业发展</w:t>
      </w:r>
      <w:r>
        <w:rPr>
          <w:sz w:val="24"/>
          <w:szCs w:val="24"/>
        </w:rPr>
        <w:tab/>
      </w:r>
      <w:r>
        <w:rPr>
          <w:sz w:val="24"/>
          <w:szCs w:val="24"/>
        </w:rPr>
        <w:fldChar w:fldCharType="begin"/>
      </w:r>
      <w:r>
        <w:rPr>
          <w:sz w:val="24"/>
          <w:szCs w:val="24"/>
        </w:rPr>
        <w:instrText xml:space="preserve"> PAGEREF _Toc12247 </w:instrText>
      </w:r>
      <w:r>
        <w:rPr>
          <w:sz w:val="24"/>
          <w:szCs w:val="24"/>
        </w:rPr>
        <w:fldChar w:fldCharType="separate"/>
      </w:r>
      <w:r>
        <w:rPr>
          <w:sz w:val="24"/>
          <w:szCs w:val="24"/>
        </w:rPr>
        <w:t>40</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_Toc25470 </w:instrText>
      </w:r>
      <w:r>
        <w:rPr>
          <w:sz w:val="24"/>
          <w:szCs w:val="24"/>
        </w:rPr>
        <w:fldChar w:fldCharType="separate"/>
      </w:r>
      <w:r>
        <w:rPr>
          <w:rFonts w:hint="eastAsia" w:ascii="黑体" w:hAnsi="黑体" w:eastAsia="黑体"/>
          <w:bCs w:val="0"/>
          <w:sz w:val="24"/>
          <w:szCs w:val="24"/>
        </w:rPr>
        <w:t>二、加快构建现代畜禽养殖体系</w:t>
      </w:r>
      <w:r>
        <w:rPr>
          <w:sz w:val="24"/>
          <w:szCs w:val="24"/>
        </w:rPr>
        <w:tab/>
      </w:r>
      <w:r>
        <w:rPr>
          <w:sz w:val="24"/>
          <w:szCs w:val="24"/>
        </w:rPr>
        <w:fldChar w:fldCharType="begin"/>
      </w:r>
      <w:r>
        <w:rPr>
          <w:sz w:val="24"/>
          <w:szCs w:val="24"/>
        </w:rPr>
        <w:instrText xml:space="preserve"> PAGEREF _Toc25470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_Toc17248 </w:instrText>
      </w:r>
      <w:r>
        <w:rPr>
          <w:sz w:val="24"/>
          <w:szCs w:val="24"/>
        </w:rPr>
        <w:fldChar w:fldCharType="separate"/>
      </w:r>
      <w:r>
        <w:rPr>
          <w:rFonts w:ascii="仿宋_GB2312" w:eastAsia="仿宋_GB2312"/>
          <w:sz w:val="24"/>
          <w:szCs w:val="24"/>
        </w:rPr>
        <w:t>（一）持续推进标准化</w:t>
      </w:r>
      <w:r>
        <w:rPr>
          <w:rFonts w:ascii="仿宋_GB2312" w:eastAsia="仿宋_GB2312"/>
          <w:sz w:val="24"/>
          <w:szCs w:val="24"/>
          <w:lang w:val="en-US"/>
        </w:rPr>
        <w:t>示范基地</w:t>
      </w:r>
      <w:r>
        <w:rPr>
          <w:rFonts w:ascii="仿宋_GB2312" w:eastAsia="仿宋_GB2312"/>
          <w:sz w:val="24"/>
          <w:szCs w:val="24"/>
        </w:rPr>
        <w:t>建设</w:t>
      </w:r>
      <w:r>
        <w:rPr>
          <w:sz w:val="24"/>
          <w:szCs w:val="24"/>
        </w:rPr>
        <w:tab/>
      </w:r>
      <w:r>
        <w:rPr>
          <w:sz w:val="24"/>
          <w:szCs w:val="24"/>
        </w:rPr>
        <w:fldChar w:fldCharType="begin"/>
      </w:r>
      <w:r>
        <w:rPr>
          <w:sz w:val="24"/>
          <w:szCs w:val="24"/>
        </w:rPr>
        <w:instrText xml:space="preserve"> PAGEREF _Toc17248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_Toc19693 </w:instrText>
      </w:r>
      <w:r>
        <w:rPr>
          <w:sz w:val="24"/>
          <w:szCs w:val="24"/>
        </w:rPr>
        <w:fldChar w:fldCharType="separate"/>
      </w:r>
      <w:r>
        <w:rPr>
          <w:rFonts w:ascii="仿宋_GB2312" w:eastAsia="仿宋_GB2312"/>
          <w:sz w:val="24"/>
          <w:szCs w:val="24"/>
        </w:rPr>
        <w:t>（二）着力推进规模化经营</w:t>
      </w:r>
      <w:r>
        <w:rPr>
          <w:sz w:val="24"/>
          <w:szCs w:val="24"/>
        </w:rPr>
        <w:tab/>
      </w:r>
      <w:r>
        <w:rPr>
          <w:sz w:val="24"/>
          <w:szCs w:val="24"/>
        </w:rPr>
        <w:fldChar w:fldCharType="begin"/>
      </w:r>
      <w:r>
        <w:rPr>
          <w:sz w:val="24"/>
          <w:szCs w:val="24"/>
        </w:rPr>
        <w:instrText xml:space="preserve"> PAGEREF _Toc19693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_Toc14667 </w:instrText>
      </w:r>
      <w:r>
        <w:rPr>
          <w:sz w:val="24"/>
          <w:szCs w:val="24"/>
        </w:rPr>
        <w:fldChar w:fldCharType="separate"/>
      </w:r>
      <w:r>
        <w:rPr>
          <w:rFonts w:ascii="仿宋_GB2312" w:eastAsia="仿宋_GB2312"/>
          <w:sz w:val="24"/>
          <w:szCs w:val="24"/>
        </w:rPr>
        <w:t>（三）积极推广设施化养殖</w:t>
      </w:r>
      <w:r>
        <w:rPr>
          <w:sz w:val="24"/>
          <w:szCs w:val="24"/>
        </w:rPr>
        <w:tab/>
      </w:r>
      <w:r>
        <w:rPr>
          <w:sz w:val="24"/>
          <w:szCs w:val="24"/>
        </w:rPr>
        <w:fldChar w:fldCharType="begin"/>
      </w:r>
      <w:r>
        <w:rPr>
          <w:sz w:val="24"/>
          <w:szCs w:val="24"/>
        </w:rPr>
        <w:instrText xml:space="preserve"> PAGEREF _Toc14667 </w:instrText>
      </w:r>
      <w:r>
        <w:rPr>
          <w:sz w:val="24"/>
          <w:szCs w:val="24"/>
        </w:rPr>
        <w:fldChar w:fldCharType="separate"/>
      </w:r>
      <w:r>
        <w:rPr>
          <w:sz w:val="24"/>
          <w:szCs w:val="24"/>
        </w:rPr>
        <w:t>41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_Toc12544 </w:instrText>
      </w:r>
      <w:r>
        <w:rPr>
          <w:sz w:val="24"/>
          <w:szCs w:val="24"/>
        </w:rPr>
        <w:fldChar w:fldCharType="separate"/>
      </w:r>
      <w:r>
        <w:rPr>
          <w:rFonts w:ascii="仿宋_GB2312" w:eastAsia="仿宋_GB2312"/>
          <w:sz w:val="24"/>
          <w:szCs w:val="24"/>
        </w:rPr>
        <w:t>（四）着力打造信息化管理</w:t>
      </w:r>
      <w:r>
        <w:rPr>
          <w:sz w:val="24"/>
          <w:szCs w:val="24"/>
        </w:rPr>
        <w:tab/>
      </w:r>
      <w:r>
        <w:rPr>
          <w:sz w:val="24"/>
          <w:szCs w:val="24"/>
        </w:rPr>
        <w:fldChar w:fldCharType="begin"/>
      </w:r>
      <w:r>
        <w:rPr>
          <w:sz w:val="24"/>
          <w:szCs w:val="24"/>
        </w:rPr>
        <w:instrText xml:space="preserve"> PAGEREF _Toc12544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_Toc9351 </w:instrText>
      </w:r>
      <w:r>
        <w:rPr>
          <w:sz w:val="24"/>
          <w:szCs w:val="24"/>
        </w:rPr>
        <w:fldChar w:fldCharType="separate"/>
      </w:r>
      <w:r>
        <w:rPr>
          <w:rFonts w:hint="eastAsia" w:ascii="黑体" w:hAnsi="黑体" w:eastAsia="黑体"/>
          <w:bCs w:val="0"/>
          <w:sz w:val="24"/>
          <w:szCs w:val="24"/>
        </w:rPr>
        <w:t>三、着力打造绿色型畜牧业</w:t>
      </w:r>
      <w:r>
        <w:rPr>
          <w:sz w:val="24"/>
          <w:szCs w:val="24"/>
        </w:rPr>
        <w:tab/>
      </w:r>
      <w:r>
        <w:rPr>
          <w:sz w:val="24"/>
          <w:szCs w:val="24"/>
        </w:rPr>
        <w:fldChar w:fldCharType="begin"/>
      </w:r>
      <w:r>
        <w:rPr>
          <w:sz w:val="24"/>
          <w:szCs w:val="24"/>
        </w:rPr>
        <w:instrText xml:space="preserve"> PAGEREF _Toc9351 </w:instrText>
      </w:r>
      <w:r>
        <w:rPr>
          <w:sz w:val="24"/>
          <w:szCs w:val="24"/>
        </w:rPr>
        <w:fldChar w:fldCharType="separate"/>
      </w:r>
      <w:r>
        <w:rPr>
          <w:sz w:val="24"/>
          <w:szCs w:val="24"/>
        </w:rPr>
        <w:t>42</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_Toc16829 </w:instrText>
      </w:r>
      <w:r>
        <w:rPr>
          <w:sz w:val="24"/>
          <w:szCs w:val="24"/>
        </w:rPr>
        <w:fldChar w:fldCharType="separate"/>
      </w:r>
      <w:r>
        <w:rPr>
          <w:rFonts w:hint="eastAsia" w:ascii="黑体" w:hAnsi="黑体" w:eastAsia="黑体"/>
          <w:bCs w:val="0"/>
          <w:sz w:val="24"/>
          <w:szCs w:val="24"/>
        </w:rPr>
        <w:t>四、加快畜牧业全产业链建设</w:t>
      </w:r>
      <w:r>
        <w:rPr>
          <w:sz w:val="24"/>
          <w:szCs w:val="24"/>
        </w:rPr>
        <w:tab/>
      </w:r>
      <w:r>
        <w:rPr>
          <w:sz w:val="24"/>
          <w:szCs w:val="24"/>
        </w:rPr>
        <w:fldChar w:fldCharType="begin"/>
      </w:r>
      <w:r>
        <w:rPr>
          <w:sz w:val="24"/>
          <w:szCs w:val="24"/>
        </w:rPr>
        <w:instrText xml:space="preserve"> PAGEREF _Toc16829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_Toc27407 </w:instrText>
      </w:r>
      <w:r>
        <w:rPr>
          <w:sz w:val="24"/>
          <w:szCs w:val="24"/>
        </w:rPr>
        <w:fldChar w:fldCharType="separate"/>
      </w:r>
      <w:r>
        <w:rPr>
          <w:rFonts w:ascii="仿宋_GB2312" w:eastAsia="仿宋_GB2312"/>
          <w:sz w:val="24"/>
          <w:szCs w:val="24"/>
        </w:rPr>
        <w:t>（一）推进畜牧业与二三产融合</w:t>
      </w:r>
      <w:r>
        <w:rPr>
          <w:sz w:val="24"/>
          <w:szCs w:val="24"/>
        </w:rPr>
        <w:tab/>
      </w:r>
      <w:r>
        <w:rPr>
          <w:sz w:val="24"/>
          <w:szCs w:val="24"/>
        </w:rPr>
        <w:fldChar w:fldCharType="begin"/>
      </w:r>
      <w:r>
        <w:rPr>
          <w:sz w:val="24"/>
          <w:szCs w:val="24"/>
        </w:rPr>
        <w:instrText xml:space="preserve"> PAGEREF _Toc27407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_Toc21080 </w:instrText>
      </w:r>
      <w:r>
        <w:rPr>
          <w:sz w:val="24"/>
          <w:szCs w:val="24"/>
        </w:rPr>
        <w:fldChar w:fldCharType="separate"/>
      </w:r>
      <w:r>
        <w:rPr>
          <w:rFonts w:ascii="仿宋_GB2312" w:eastAsia="仿宋_GB2312"/>
          <w:sz w:val="24"/>
          <w:szCs w:val="24"/>
        </w:rPr>
        <w:t>（二）推动美丽生态牧场建设</w:t>
      </w:r>
      <w:r>
        <w:rPr>
          <w:sz w:val="24"/>
          <w:szCs w:val="24"/>
        </w:rPr>
        <w:tab/>
      </w:r>
      <w:r>
        <w:rPr>
          <w:sz w:val="24"/>
          <w:szCs w:val="24"/>
        </w:rPr>
        <w:fldChar w:fldCharType="begin"/>
      </w:r>
      <w:r>
        <w:rPr>
          <w:sz w:val="24"/>
          <w:szCs w:val="24"/>
        </w:rPr>
        <w:instrText xml:space="preserve"> PAGEREF _Toc21080 </w:instrText>
      </w:r>
      <w:r>
        <w:rPr>
          <w:sz w:val="24"/>
          <w:szCs w:val="24"/>
        </w:rPr>
        <w:fldChar w:fldCharType="separate"/>
      </w:r>
      <w:r>
        <w:rPr>
          <w:sz w:val="24"/>
          <w:szCs w:val="24"/>
        </w:rPr>
        <w:t>44</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_Toc10070 </w:instrText>
      </w:r>
      <w:r>
        <w:rPr>
          <w:sz w:val="24"/>
          <w:szCs w:val="24"/>
        </w:rPr>
        <w:fldChar w:fldCharType="separate"/>
      </w:r>
      <w:r>
        <w:rPr>
          <w:rFonts w:ascii="仿宋_GB2312" w:eastAsia="仿宋_GB2312"/>
          <w:sz w:val="24"/>
          <w:szCs w:val="24"/>
        </w:rPr>
        <w:t>（三）推进产业链共享融合</w:t>
      </w:r>
      <w:r>
        <w:rPr>
          <w:sz w:val="24"/>
          <w:szCs w:val="24"/>
        </w:rPr>
        <w:tab/>
      </w:r>
      <w:r>
        <w:rPr>
          <w:sz w:val="24"/>
          <w:szCs w:val="24"/>
        </w:rPr>
        <w:fldChar w:fldCharType="begin"/>
      </w:r>
      <w:r>
        <w:rPr>
          <w:sz w:val="24"/>
          <w:szCs w:val="24"/>
        </w:rPr>
        <w:instrText xml:space="preserve"> PAGEREF _Toc10070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_Toc31858 </w:instrText>
      </w:r>
      <w:r>
        <w:rPr>
          <w:sz w:val="24"/>
          <w:szCs w:val="24"/>
        </w:rPr>
        <w:fldChar w:fldCharType="separate"/>
      </w:r>
      <w:r>
        <w:rPr>
          <w:rFonts w:ascii="仿宋_GB2312" w:eastAsia="仿宋_GB2312"/>
          <w:sz w:val="24"/>
          <w:szCs w:val="24"/>
        </w:rPr>
        <w:t>（</w:t>
      </w:r>
      <w:r>
        <w:rPr>
          <w:rFonts w:ascii="仿宋_GB2312" w:eastAsia="仿宋_GB2312"/>
          <w:sz w:val="24"/>
          <w:szCs w:val="24"/>
          <w:lang w:val="en-US"/>
        </w:rPr>
        <w:t>四</w:t>
      </w:r>
      <w:r>
        <w:rPr>
          <w:rFonts w:ascii="仿宋_GB2312" w:eastAsia="仿宋_GB2312"/>
          <w:sz w:val="24"/>
          <w:szCs w:val="24"/>
        </w:rPr>
        <w:t>）推进产业化经营和社会化服务</w:t>
      </w:r>
      <w:r>
        <w:rPr>
          <w:sz w:val="24"/>
          <w:szCs w:val="24"/>
        </w:rPr>
        <w:tab/>
      </w:r>
      <w:r>
        <w:rPr>
          <w:sz w:val="24"/>
          <w:szCs w:val="24"/>
        </w:rPr>
        <w:fldChar w:fldCharType="begin"/>
      </w:r>
      <w:r>
        <w:rPr>
          <w:sz w:val="24"/>
          <w:szCs w:val="24"/>
        </w:rPr>
        <w:instrText xml:space="preserve"> PAGEREF _Toc31858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_Toc5318 </w:instrText>
      </w:r>
      <w:r>
        <w:rPr>
          <w:sz w:val="24"/>
          <w:szCs w:val="24"/>
        </w:rPr>
        <w:fldChar w:fldCharType="separate"/>
      </w:r>
      <w:r>
        <w:rPr>
          <w:rFonts w:hint="eastAsia" w:ascii="黑体" w:hAnsi="黑体" w:eastAsia="黑体"/>
          <w:bCs w:val="0"/>
          <w:sz w:val="24"/>
          <w:szCs w:val="24"/>
          <w:lang w:eastAsia="zh-CN"/>
        </w:rPr>
        <w:t>五</w:t>
      </w:r>
      <w:r>
        <w:rPr>
          <w:rFonts w:hint="eastAsia" w:ascii="黑体" w:hAnsi="黑体" w:eastAsia="黑体"/>
          <w:bCs w:val="0"/>
          <w:sz w:val="24"/>
          <w:szCs w:val="24"/>
        </w:rPr>
        <w:t>、推进畜牧业环境综合治理</w:t>
      </w:r>
      <w:r>
        <w:rPr>
          <w:sz w:val="24"/>
          <w:szCs w:val="24"/>
        </w:rPr>
        <w:tab/>
      </w:r>
      <w:r>
        <w:rPr>
          <w:sz w:val="24"/>
          <w:szCs w:val="24"/>
        </w:rPr>
        <w:fldChar w:fldCharType="begin"/>
      </w:r>
      <w:r>
        <w:rPr>
          <w:sz w:val="24"/>
          <w:szCs w:val="24"/>
        </w:rPr>
        <w:instrText xml:space="preserve"> PAGEREF _Toc5318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_Toc20761 </w:instrText>
      </w:r>
      <w:r>
        <w:rPr>
          <w:sz w:val="24"/>
          <w:szCs w:val="24"/>
        </w:rPr>
        <w:fldChar w:fldCharType="separate"/>
      </w:r>
      <w:r>
        <w:rPr>
          <w:rFonts w:ascii="仿宋_GB2312" w:eastAsia="仿宋_GB2312"/>
          <w:sz w:val="24"/>
          <w:szCs w:val="24"/>
        </w:rPr>
        <w:t>（一）推进畜禽养殖污染治理</w:t>
      </w:r>
      <w:r>
        <w:rPr>
          <w:sz w:val="24"/>
          <w:szCs w:val="24"/>
        </w:rPr>
        <w:tab/>
      </w:r>
      <w:r>
        <w:rPr>
          <w:sz w:val="24"/>
          <w:szCs w:val="24"/>
        </w:rPr>
        <w:fldChar w:fldCharType="begin"/>
      </w:r>
      <w:r>
        <w:rPr>
          <w:sz w:val="24"/>
          <w:szCs w:val="24"/>
        </w:rPr>
        <w:instrText xml:space="preserve"> PAGEREF _Toc20761 </w:instrText>
      </w:r>
      <w:r>
        <w:rPr>
          <w:sz w:val="24"/>
          <w:szCs w:val="24"/>
        </w:rPr>
        <w:fldChar w:fldCharType="separate"/>
      </w:r>
      <w:r>
        <w:rPr>
          <w:sz w:val="24"/>
          <w:szCs w:val="24"/>
        </w:rPr>
        <w:t>46</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_Toc31785 </w:instrText>
      </w:r>
      <w:r>
        <w:rPr>
          <w:sz w:val="24"/>
          <w:szCs w:val="24"/>
        </w:rPr>
        <w:fldChar w:fldCharType="separate"/>
      </w:r>
      <w:r>
        <w:rPr>
          <w:rFonts w:ascii="仿宋_GB2312" w:eastAsia="仿宋_GB2312"/>
          <w:sz w:val="24"/>
          <w:szCs w:val="24"/>
        </w:rPr>
        <w:t>（二）推广农牧结合生态循环模式</w:t>
      </w:r>
      <w:r>
        <w:rPr>
          <w:sz w:val="24"/>
          <w:szCs w:val="24"/>
        </w:rPr>
        <w:tab/>
      </w:r>
      <w:r>
        <w:rPr>
          <w:sz w:val="24"/>
          <w:szCs w:val="24"/>
        </w:rPr>
        <w:fldChar w:fldCharType="begin"/>
      </w:r>
      <w:r>
        <w:rPr>
          <w:sz w:val="24"/>
          <w:szCs w:val="24"/>
        </w:rPr>
        <w:instrText xml:space="preserve"> PAGEREF _Toc31785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_Toc20365 </w:instrText>
      </w:r>
      <w:r>
        <w:rPr>
          <w:sz w:val="24"/>
          <w:szCs w:val="24"/>
        </w:rPr>
        <w:fldChar w:fldCharType="separate"/>
      </w:r>
      <w:r>
        <w:rPr>
          <w:rFonts w:ascii="仿宋_GB2312" w:eastAsia="仿宋_GB2312"/>
          <w:sz w:val="24"/>
          <w:szCs w:val="24"/>
        </w:rPr>
        <w:t>（三）提升畜禽养殖废弃物综合利用水平</w:t>
      </w:r>
      <w:r>
        <w:rPr>
          <w:sz w:val="24"/>
          <w:szCs w:val="24"/>
        </w:rPr>
        <w:tab/>
      </w:r>
      <w:r>
        <w:rPr>
          <w:sz w:val="24"/>
          <w:szCs w:val="24"/>
        </w:rPr>
        <w:fldChar w:fldCharType="begin"/>
      </w:r>
      <w:r>
        <w:rPr>
          <w:sz w:val="24"/>
          <w:szCs w:val="24"/>
        </w:rPr>
        <w:instrText xml:space="preserve"> PAGEREF _Toc20365 </w:instrText>
      </w:r>
      <w:r>
        <w:rPr>
          <w:sz w:val="24"/>
          <w:szCs w:val="24"/>
        </w:rPr>
        <w:fldChar w:fldCharType="separate"/>
      </w:r>
      <w:r>
        <w:rPr>
          <w:sz w:val="24"/>
          <w:szCs w:val="24"/>
        </w:rPr>
        <w:t>47</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_Toc18229 </w:instrText>
      </w:r>
      <w:r>
        <w:rPr>
          <w:sz w:val="24"/>
          <w:szCs w:val="24"/>
        </w:rPr>
        <w:fldChar w:fldCharType="separate"/>
      </w:r>
      <w:r>
        <w:rPr>
          <w:rFonts w:ascii="仿宋_GB2312" w:eastAsia="仿宋_GB2312"/>
          <w:sz w:val="24"/>
          <w:szCs w:val="24"/>
        </w:rPr>
        <w:t>（四）推进畜禽种养循环示范建设</w:t>
      </w:r>
      <w:r>
        <w:rPr>
          <w:sz w:val="24"/>
          <w:szCs w:val="24"/>
        </w:rPr>
        <w:tab/>
      </w:r>
      <w:r>
        <w:rPr>
          <w:sz w:val="24"/>
          <w:szCs w:val="24"/>
        </w:rPr>
        <w:fldChar w:fldCharType="begin"/>
      </w:r>
      <w:r>
        <w:rPr>
          <w:sz w:val="24"/>
          <w:szCs w:val="24"/>
        </w:rPr>
        <w:instrText xml:space="preserve"> PAGEREF _Toc18229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_Toc23708 </w:instrText>
      </w:r>
      <w:r>
        <w:rPr>
          <w:sz w:val="24"/>
          <w:szCs w:val="24"/>
        </w:rPr>
        <w:fldChar w:fldCharType="separate"/>
      </w:r>
      <w:r>
        <w:rPr>
          <w:rFonts w:hint="eastAsia" w:ascii="黑体" w:hAnsi="黑体" w:eastAsia="黑体"/>
          <w:bCs w:val="0"/>
          <w:sz w:val="24"/>
          <w:szCs w:val="24"/>
          <w:lang w:eastAsia="zh-CN"/>
        </w:rPr>
        <w:t>六</w:t>
      </w:r>
      <w:r>
        <w:rPr>
          <w:rFonts w:hint="eastAsia" w:ascii="黑体" w:hAnsi="黑体" w:eastAsia="黑体"/>
          <w:bCs w:val="0"/>
          <w:sz w:val="24"/>
          <w:szCs w:val="24"/>
        </w:rPr>
        <w:t>、构建动物疫病防控体系</w:t>
      </w:r>
      <w:r>
        <w:rPr>
          <w:sz w:val="24"/>
          <w:szCs w:val="24"/>
        </w:rPr>
        <w:tab/>
      </w:r>
      <w:r>
        <w:rPr>
          <w:sz w:val="24"/>
          <w:szCs w:val="24"/>
        </w:rPr>
        <w:fldChar w:fldCharType="begin"/>
      </w:r>
      <w:r>
        <w:rPr>
          <w:sz w:val="24"/>
          <w:szCs w:val="24"/>
        </w:rPr>
        <w:instrText xml:space="preserve"> PAGEREF _Toc23708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_Toc5990 </w:instrText>
      </w:r>
      <w:r>
        <w:rPr>
          <w:sz w:val="24"/>
          <w:szCs w:val="24"/>
        </w:rPr>
        <w:fldChar w:fldCharType="separate"/>
      </w:r>
      <w:r>
        <w:rPr>
          <w:rFonts w:ascii="仿宋_GB2312" w:eastAsia="仿宋_GB2312"/>
          <w:sz w:val="24"/>
          <w:szCs w:val="24"/>
        </w:rPr>
        <w:t>（一）推进动物疫病防控工作</w:t>
      </w:r>
      <w:r>
        <w:rPr>
          <w:sz w:val="24"/>
          <w:szCs w:val="24"/>
        </w:rPr>
        <w:tab/>
      </w:r>
      <w:r>
        <w:rPr>
          <w:sz w:val="24"/>
          <w:szCs w:val="24"/>
        </w:rPr>
        <w:fldChar w:fldCharType="begin"/>
      </w:r>
      <w:r>
        <w:rPr>
          <w:sz w:val="24"/>
          <w:szCs w:val="24"/>
        </w:rPr>
        <w:instrText xml:space="preserve"> PAGEREF _Toc5990 </w:instrText>
      </w:r>
      <w:r>
        <w:rPr>
          <w:sz w:val="24"/>
          <w:szCs w:val="24"/>
        </w:rPr>
        <w:fldChar w:fldCharType="separate"/>
      </w:r>
      <w:r>
        <w:rPr>
          <w:sz w:val="24"/>
          <w:szCs w:val="24"/>
        </w:rPr>
        <w:t>48</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_Toc599 </w:instrText>
      </w:r>
      <w:r>
        <w:rPr>
          <w:sz w:val="24"/>
          <w:szCs w:val="24"/>
        </w:rPr>
        <w:fldChar w:fldCharType="separate"/>
      </w:r>
      <w:r>
        <w:rPr>
          <w:rFonts w:ascii="仿宋_GB2312" w:hAnsi="仿宋" w:eastAsia="仿宋_GB2312"/>
          <w:sz w:val="24"/>
          <w:szCs w:val="24"/>
        </w:rPr>
        <w:t>（二）提升重大动物疫病防控能力</w:t>
      </w:r>
      <w:r>
        <w:rPr>
          <w:sz w:val="24"/>
          <w:szCs w:val="24"/>
        </w:rPr>
        <w:tab/>
      </w:r>
      <w:r>
        <w:rPr>
          <w:sz w:val="24"/>
          <w:szCs w:val="24"/>
        </w:rPr>
        <w:fldChar w:fldCharType="begin"/>
      </w:r>
      <w:r>
        <w:rPr>
          <w:sz w:val="24"/>
          <w:szCs w:val="24"/>
        </w:rPr>
        <w:instrText xml:space="preserve"> PAGEREF _Toc599 </w:instrText>
      </w:r>
      <w:r>
        <w:rPr>
          <w:sz w:val="24"/>
          <w:szCs w:val="24"/>
        </w:rPr>
        <w:fldChar w:fldCharType="separate"/>
      </w:r>
      <w:r>
        <w:rPr>
          <w:sz w:val="24"/>
          <w:szCs w:val="24"/>
        </w:rPr>
        <w:t>49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_Toc32073 </w:instrText>
      </w:r>
      <w:r>
        <w:rPr>
          <w:sz w:val="24"/>
          <w:szCs w:val="24"/>
        </w:rPr>
        <w:fldChar w:fldCharType="separate"/>
      </w:r>
      <w:r>
        <w:rPr>
          <w:rFonts w:ascii="仿宋_GB2312" w:eastAsia="仿宋_GB2312"/>
          <w:sz w:val="24"/>
          <w:szCs w:val="24"/>
        </w:rPr>
        <w:t>（三）推进病死畜禽无害化处理</w:t>
      </w:r>
      <w:r>
        <w:rPr>
          <w:sz w:val="24"/>
          <w:szCs w:val="24"/>
        </w:rPr>
        <w:tab/>
      </w:r>
      <w:r>
        <w:rPr>
          <w:sz w:val="24"/>
          <w:szCs w:val="24"/>
        </w:rPr>
        <w:fldChar w:fldCharType="begin"/>
      </w:r>
      <w:r>
        <w:rPr>
          <w:sz w:val="24"/>
          <w:szCs w:val="24"/>
        </w:rPr>
        <w:instrText xml:space="preserve"> PAGEREF _Toc32073 </w:instrText>
      </w:r>
      <w:r>
        <w:rPr>
          <w:sz w:val="24"/>
          <w:szCs w:val="24"/>
        </w:rPr>
        <w:fldChar w:fldCharType="separate"/>
      </w:r>
      <w:r>
        <w:rPr>
          <w:sz w:val="24"/>
          <w:szCs w:val="24"/>
        </w:rPr>
        <w:t>49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_Toc27784 </w:instrText>
      </w:r>
      <w:r>
        <w:rPr>
          <w:sz w:val="24"/>
          <w:szCs w:val="24"/>
        </w:rPr>
        <w:fldChar w:fldCharType="separate"/>
      </w:r>
      <w:r>
        <w:rPr>
          <w:rFonts w:ascii="仿宋_GB2312" w:eastAsia="仿宋_GB2312"/>
          <w:sz w:val="24"/>
          <w:szCs w:val="24"/>
        </w:rPr>
        <w:t>（四）推进动物疫病净化工作</w:t>
      </w:r>
      <w:r>
        <w:rPr>
          <w:sz w:val="24"/>
          <w:szCs w:val="24"/>
        </w:rPr>
        <w:tab/>
      </w:r>
      <w:r>
        <w:rPr>
          <w:sz w:val="24"/>
          <w:szCs w:val="24"/>
        </w:rPr>
        <w:fldChar w:fldCharType="begin"/>
      </w:r>
      <w:r>
        <w:rPr>
          <w:sz w:val="24"/>
          <w:szCs w:val="24"/>
        </w:rPr>
        <w:instrText xml:space="preserve"> PAGEREF _Toc27784 </w:instrText>
      </w:r>
      <w:r>
        <w:rPr>
          <w:sz w:val="24"/>
          <w:szCs w:val="24"/>
        </w:rPr>
        <w:fldChar w:fldCharType="separate"/>
      </w:r>
      <w:r>
        <w:rPr>
          <w:sz w:val="24"/>
          <w:szCs w:val="24"/>
        </w:rPr>
        <w:t>49</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_Toc31956 </w:instrText>
      </w:r>
      <w:r>
        <w:rPr>
          <w:sz w:val="24"/>
          <w:szCs w:val="24"/>
        </w:rPr>
        <w:fldChar w:fldCharType="separate"/>
      </w:r>
      <w:r>
        <w:rPr>
          <w:rFonts w:ascii="仿宋_GB2312" w:eastAsia="仿宋_GB2312"/>
          <w:sz w:val="24"/>
          <w:szCs w:val="24"/>
        </w:rPr>
        <w:t>（五）完善动物防疫保障机制</w:t>
      </w:r>
      <w:r>
        <w:rPr>
          <w:sz w:val="24"/>
          <w:szCs w:val="24"/>
        </w:rPr>
        <w:tab/>
      </w:r>
      <w:r>
        <w:rPr>
          <w:sz w:val="24"/>
          <w:szCs w:val="24"/>
        </w:rPr>
        <w:fldChar w:fldCharType="begin"/>
      </w:r>
      <w:r>
        <w:rPr>
          <w:sz w:val="24"/>
          <w:szCs w:val="24"/>
        </w:rPr>
        <w:instrText xml:space="preserve"> PAGEREF _Toc31956 </w:instrText>
      </w:r>
      <w:r>
        <w:rPr>
          <w:sz w:val="24"/>
          <w:szCs w:val="24"/>
        </w:rPr>
        <w:fldChar w:fldCharType="separate"/>
      </w:r>
      <w:r>
        <w:rPr>
          <w:sz w:val="24"/>
          <w:szCs w:val="24"/>
        </w:rPr>
        <w:t>50</w:t>
      </w:r>
      <w:r>
        <w:rPr>
          <w:sz w:val="24"/>
          <w:szCs w:val="24"/>
        </w:rPr>
        <w:fldChar w:fldCharType="end"/>
      </w:r>
      <w:r>
        <w:rPr>
          <w:sz w:val="24"/>
          <w:szCs w:val="24"/>
        </w:rPr>
        <w:fldChar w:fldCharType="end"/>
      </w:r>
    </w:p>
    <w:p>
      <w:pPr>
        <w:pStyle w:val="14"/>
        <w:tabs>
          <w:tab w:val="right" w:leader="dot" w:pos="8306"/>
        </w:tabs>
        <w:rPr>
          <w:sz w:val="24"/>
          <w:szCs w:val="24"/>
        </w:rPr>
      </w:pPr>
      <w:r>
        <w:rPr>
          <w:sz w:val="24"/>
          <w:szCs w:val="24"/>
        </w:rPr>
        <w:fldChar w:fldCharType="begin"/>
      </w:r>
      <w:r>
        <w:rPr>
          <w:sz w:val="24"/>
          <w:szCs w:val="24"/>
        </w:rPr>
        <w:instrText xml:space="preserve"> HYPERLINK \l _Toc2160 </w:instrText>
      </w:r>
      <w:r>
        <w:rPr>
          <w:sz w:val="24"/>
          <w:szCs w:val="24"/>
        </w:rPr>
        <w:fldChar w:fldCharType="separate"/>
      </w:r>
      <w:r>
        <w:rPr>
          <w:rFonts w:ascii="黑体" w:hAnsi="黑体" w:eastAsia="黑体"/>
          <w:kern w:val="2"/>
          <w:sz w:val="24"/>
          <w:szCs w:val="24"/>
          <w:lang w:val="en-US"/>
        </w:rPr>
        <w:t>第六章  保障措施</w:t>
      </w:r>
      <w:r>
        <w:rPr>
          <w:sz w:val="24"/>
          <w:szCs w:val="24"/>
        </w:rPr>
        <w:tab/>
      </w:r>
      <w:r>
        <w:rPr>
          <w:sz w:val="24"/>
          <w:szCs w:val="24"/>
        </w:rPr>
        <w:fldChar w:fldCharType="begin"/>
      </w:r>
      <w:r>
        <w:rPr>
          <w:sz w:val="24"/>
          <w:szCs w:val="24"/>
        </w:rPr>
        <w:instrText xml:space="preserve"> PAGEREF _Toc2160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_Toc15883 </w:instrText>
      </w:r>
      <w:r>
        <w:rPr>
          <w:sz w:val="24"/>
          <w:szCs w:val="24"/>
        </w:rPr>
        <w:fldChar w:fldCharType="separate"/>
      </w:r>
      <w:r>
        <w:rPr>
          <w:rFonts w:hint="eastAsia" w:ascii="黑体" w:hAnsi="黑体" w:eastAsia="黑体"/>
          <w:bCs w:val="0"/>
          <w:sz w:val="24"/>
          <w:szCs w:val="24"/>
        </w:rPr>
        <w:t>一、强化组织领导</w:t>
      </w:r>
      <w:r>
        <w:rPr>
          <w:sz w:val="24"/>
          <w:szCs w:val="24"/>
        </w:rPr>
        <w:tab/>
      </w:r>
      <w:r>
        <w:rPr>
          <w:sz w:val="24"/>
          <w:szCs w:val="24"/>
        </w:rPr>
        <w:fldChar w:fldCharType="begin"/>
      </w:r>
      <w:r>
        <w:rPr>
          <w:sz w:val="24"/>
          <w:szCs w:val="24"/>
        </w:rPr>
        <w:instrText xml:space="preserve"> PAGEREF _Toc15883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_Toc14038 </w:instrText>
      </w:r>
      <w:r>
        <w:rPr>
          <w:sz w:val="24"/>
          <w:szCs w:val="24"/>
        </w:rPr>
        <w:fldChar w:fldCharType="separate"/>
      </w:r>
      <w:r>
        <w:rPr>
          <w:rFonts w:hint="eastAsia" w:ascii="黑体" w:hAnsi="黑体" w:eastAsia="黑体"/>
          <w:bCs w:val="0"/>
          <w:sz w:val="24"/>
          <w:szCs w:val="24"/>
        </w:rPr>
        <w:t>二、完善政策扶持</w:t>
      </w:r>
      <w:r>
        <w:rPr>
          <w:sz w:val="24"/>
          <w:szCs w:val="24"/>
        </w:rPr>
        <w:tab/>
      </w:r>
      <w:r>
        <w:rPr>
          <w:sz w:val="24"/>
          <w:szCs w:val="24"/>
        </w:rPr>
        <w:fldChar w:fldCharType="begin"/>
      </w:r>
      <w:r>
        <w:rPr>
          <w:sz w:val="24"/>
          <w:szCs w:val="24"/>
        </w:rPr>
        <w:instrText xml:space="preserve"> PAGEREF _Toc14038 </w:instrText>
      </w:r>
      <w:r>
        <w:rPr>
          <w:sz w:val="24"/>
          <w:szCs w:val="24"/>
        </w:rPr>
        <w:fldChar w:fldCharType="separate"/>
      </w:r>
      <w:r>
        <w:rPr>
          <w:sz w:val="24"/>
          <w:szCs w:val="24"/>
        </w:rPr>
        <w:t>51</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_Toc2511 </w:instrText>
      </w:r>
      <w:r>
        <w:rPr>
          <w:sz w:val="24"/>
          <w:szCs w:val="24"/>
        </w:rPr>
        <w:fldChar w:fldCharType="separate"/>
      </w:r>
      <w:r>
        <w:rPr>
          <w:rFonts w:hint="eastAsia" w:ascii="黑体" w:hAnsi="黑体" w:eastAsia="黑体"/>
          <w:bCs w:val="0"/>
          <w:sz w:val="24"/>
          <w:szCs w:val="24"/>
        </w:rPr>
        <w:t>三、提供科技支撑</w:t>
      </w:r>
      <w:r>
        <w:rPr>
          <w:sz w:val="24"/>
          <w:szCs w:val="24"/>
        </w:rPr>
        <w:tab/>
      </w:r>
      <w:r>
        <w:rPr>
          <w:sz w:val="24"/>
          <w:szCs w:val="24"/>
        </w:rPr>
        <w:fldChar w:fldCharType="begin"/>
      </w:r>
      <w:r>
        <w:rPr>
          <w:sz w:val="24"/>
          <w:szCs w:val="24"/>
        </w:rPr>
        <w:instrText xml:space="preserve"> PAGEREF _Toc2511 </w:instrText>
      </w:r>
      <w:r>
        <w:rPr>
          <w:sz w:val="24"/>
          <w:szCs w:val="24"/>
        </w:rPr>
        <w:fldChar w:fldCharType="separate"/>
      </w:r>
      <w:r>
        <w:rPr>
          <w:sz w:val="24"/>
          <w:szCs w:val="24"/>
        </w:rPr>
        <w:t>52</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_Toc31304 </w:instrText>
      </w:r>
      <w:r>
        <w:rPr>
          <w:sz w:val="24"/>
          <w:szCs w:val="24"/>
        </w:rPr>
        <w:fldChar w:fldCharType="separate"/>
      </w:r>
      <w:r>
        <w:rPr>
          <w:rFonts w:hint="eastAsia" w:ascii="黑体" w:hAnsi="黑体" w:eastAsia="黑体"/>
          <w:bCs w:val="0"/>
          <w:sz w:val="24"/>
          <w:szCs w:val="24"/>
        </w:rPr>
        <w:t>四、强化项目管理</w:t>
      </w:r>
      <w:r>
        <w:rPr>
          <w:sz w:val="24"/>
          <w:szCs w:val="24"/>
        </w:rPr>
        <w:tab/>
      </w:r>
      <w:r>
        <w:rPr>
          <w:sz w:val="24"/>
          <w:szCs w:val="24"/>
        </w:rPr>
        <w:fldChar w:fldCharType="begin"/>
      </w:r>
      <w:r>
        <w:rPr>
          <w:sz w:val="24"/>
          <w:szCs w:val="24"/>
        </w:rPr>
        <w:instrText xml:space="preserve"> PAGEREF _Toc31304 </w:instrText>
      </w:r>
      <w:r>
        <w:rPr>
          <w:sz w:val="24"/>
          <w:szCs w:val="24"/>
        </w:rPr>
        <w:fldChar w:fldCharType="separate"/>
      </w:r>
      <w:r>
        <w:rPr>
          <w:sz w:val="24"/>
          <w:szCs w:val="24"/>
        </w:rPr>
        <w:t>52</w:t>
      </w:r>
      <w:r>
        <w:rPr>
          <w:sz w:val="24"/>
          <w:szCs w:val="24"/>
        </w:rPr>
        <w:fldChar w:fldCharType="end"/>
      </w:r>
      <w:r>
        <w:rPr>
          <w:sz w:val="24"/>
          <w:szCs w:val="24"/>
        </w:rPr>
        <w:fldChar w:fldCharType="end"/>
      </w:r>
    </w:p>
    <w:p>
      <w:pPr>
        <w:pStyle w:val="15"/>
        <w:tabs>
          <w:tab w:val="right" w:leader="dot" w:pos="8306"/>
        </w:tabs>
        <w:rPr>
          <w:sz w:val="24"/>
          <w:szCs w:val="24"/>
        </w:rPr>
      </w:pPr>
      <w:r>
        <w:rPr>
          <w:sz w:val="24"/>
          <w:szCs w:val="24"/>
        </w:rPr>
        <w:fldChar w:fldCharType="begin"/>
      </w:r>
      <w:r>
        <w:rPr>
          <w:sz w:val="24"/>
          <w:szCs w:val="24"/>
        </w:rPr>
        <w:instrText xml:space="preserve"> HYPERLINK \l _Toc18532 </w:instrText>
      </w:r>
      <w:r>
        <w:rPr>
          <w:sz w:val="24"/>
          <w:szCs w:val="24"/>
        </w:rPr>
        <w:fldChar w:fldCharType="separate"/>
      </w:r>
      <w:r>
        <w:rPr>
          <w:rFonts w:hint="eastAsia" w:ascii="黑体" w:hAnsi="黑体" w:eastAsia="黑体"/>
          <w:bCs w:val="0"/>
          <w:sz w:val="24"/>
          <w:szCs w:val="24"/>
        </w:rPr>
        <w:t>五、加强依法治牧</w:t>
      </w:r>
      <w:r>
        <w:rPr>
          <w:sz w:val="24"/>
          <w:szCs w:val="24"/>
        </w:rPr>
        <w:tab/>
      </w:r>
      <w:r>
        <w:rPr>
          <w:sz w:val="24"/>
          <w:szCs w:val="24"/>
        </w:rPr>
        <w:fldChar w:fldCharType="begin"/>
      </w:r>
      <w:r>
        <w:rPr>
          <w:sz w:val="24"/>
          <w:szCs w:val="24"/>
        </w:rPr>
        <w:instrText xml:space="preserve"> PAGEREF _Toc18532 </w:instrText>
      </w:r>
      <w:r>
        <w:rPr>
          <w:sz w:val="24"/>
          <w:szCs w:val="24"/>
        </w:rPr>
        <w:fldChar w:fldCharType="separate"/>
      </w:r>
      <w:r>
        <w:rPr>
          <w:sz w:val="24"/>
          <w:szCs w:val="24"/>
        </w:rPr>
        <w:t>53</w:t>
      </w:r>
      <w:r>
        <w:rPr>
          <w:sz w:val="24"/>
          <w:szCs w:val="24"/>
        </w:rPr>
        <w:fldChar w:fldCharType="end"/>
      </w:r>
      <w:r>
        <w:rPr>
          <w:sz w:val="24"/>
          <w:szCs w:val="24"/>
        </w:rPr>
        <w:fldChar w:fldCharType="end"/>
      </w:r>
    </w:p>
    <w:p>
      <w:pPr>
        <w:pStyle w:val="14"/>
        <w:tabs>
          <w:tab w:val="right" w:leader="dot" w:pos="8306"/>
        </w:tabs>
        <w:rPr>
          <w:sz w:val="24"/>
          <w:szCs w:val="24"/>
        </w:rPr>
      </w:pPr>
      <w:r>
        <w:rPr>
          <w:sz w:val="24"/>
          <w:szCs w:val="24"/>
        </w:rPr>
        <w:fldChar w:fldCharType="begin"/>
      </w:r>
      <w:r>
        <w:rPr>
          <w:sz w:val="24"/>
          <w:szCs w:val="24"/>
        </w:rPr>
        <w:instrText xml:space="preserve"> HYPERLINK \l _Toc11372 </w:instrText>
      </w:r>
      <w:r>
        <w:rPr>
          <w:sz w:val="24"/>
          <w:szCs w:val="24"/>
        </w:rPr>
        <w:fldChar w:fldCharType="separate"/>
      </w:r>
      <w:r>
        <w:rPr>
          <w:rFonts w:hint="default" w:eastAsia="仿宋"/>
          <w:bCs/>
          <w:kern w:val="2"/>
          <w:sz w:val="24"/>
          <w:szCs w:val="24"/>
          <w:lang w:val="en-US"/>
        </w:rPr>
        <w:t>附表1</w:t>
      </w:r>
      <w:r>
        <w:rPr>
          <w:rFonts w:eastAsia="仿宋"/>
          <w:bCs/>
          <w:kern w:val="2"/>
          <w:sz w:val="24"/>
          <w:szCs w:val="24"/>
          <w:lang w:val="en-US"/>
        </w:rPr>
        <w:t xml:space="preserve">     建宁</w:t>
      </w:r>
      <w:r>
        <w:rPr>
          <w:rFonts w:hint="default" w:eastAsia="仿宋"/>
          <w:bCs/>
          <w:kern w:val="2"/>
          <w:sz w:val="24"/>
          <w:szCs w:val="24"/>
          <w:lang w:val="en-US"/>
        </w:rPr>
        <w:t>县</w:t>
      </w:r>
      <w:r>
        <w:rPr>
          <w:rFonts w:eastAsia="仿宋"/>
          <w:bCs/>
          <w:kern w:val="2"/>
          <w:sz w:val="24"/>
          <w:szCs w:val="24"/>
          <w:lang w:val="en-US"/>
        </w:rPr>
        <w:t>“</w:t>
      </w:r>
      <w:r>
        <w:rPr>
          <w:rFonts w:hint="default" w:eastAsia="仿宋"/>
          <w:bCs/>
          <w:kern w:val="2"/>
          <w:sz w:val="24"/>
          <w:szCs w:val="24"/>
          <w:lang w:val="en-US"/>
        </w:rPr>
        <w:t>十四五</w:t>
      </w:r>
      <w:r>
        <w:rPr>
          <w:rFonts w:eastAsia="仿宋"/>
          <w:bCs/>
          <w:kern w:val="2"/>
          <w:sz w:val="24"/>
          <w:szCs w:val="24"/>
          <w:lang w:val="en-US"/>
        </w:rPr>
        <w:t>”</w:t>
      </w:r>
      <w:r>
        <w:rPr>
          <w:rFonts w:hint="default" w:eastAsia="仿宋"/>
          <w:bCs/>
          <w:kern w:val="2"/>
          <w:sz w:val="24"/>
          <w:szCs w:val="24"/>
          <w:lang w:val="en-US"/>
        </w:rPr>
        <w:t>畜牧业发展规划重点项目一览表</w:t>
      </w:r>
      <w:r>
        <w:rPr>
          <w:sz w:val="24"/>
          <w:szCs w:val="24"/>
        </w:rPr>
        <w:tab/>
      </w:r>
      <w:r>
        <w:rPr>
          <w:sz w:val="24"/>
          <w:szCs w:val="24"/>
        </w:rPr>
        <w:fldChar w:fldCharType="begin"/>
      </w:r>
      <w:r>
        <w:rPr>
          <w:sz w:val="24"/>
          <w:szCs w:val="24"/>
        </w:rPr>
        <w:instrText xml:space="preserve"> PAGEREF _Toc11372 </w:instrText>
      </w:r>
      <w:r>
        <w:rPr>
          <w:sz w:val="24"/>
          <w:szCs w:val="24"/>
        </w:rPr>
        <w:fldChar w:fldCharType="separate"/>
      </w:r>
      <w:r>
        <w:rPr>
          <w:sz w:val="24"/>
          <w:szCs w:val="24"/>
        </w:rPr>
        <w:t>58</w:t>
      </w:r>
      <w:r>
        <w:rPr>
          <w:sz w:val="24"/>
          <w:szCs w:val="24"/>
        </w:rPr>
        <w:fldChar w:fldCharType="end"/>
      </w:r>
      <w:r>
        <w:rPr>
          <w:sz w:val="24"/>
          <w:szCs w:val="24"/>
        </w:rPr>
        <w:fldChar w:fldCharType="end"/>
      </w:r>
    </w:p>
    <w:p>
      <w:pPr>
        <w:pStyle w:val="17"/>
        <w:spacing w:line="360" w:lineRule="auto"/>
        <w:ind w:left="560" w:firstLine="560"/>
        <w:rPr>
          <w:sz w:val="24"/>
          <w:szCs w:val="24"/>
        </w:rPr>
        <w:sectPr>
          <w:headerReference r:id="rId7" w:type="default"/>
          <w:footerReference r:id="rId8" w:type="default"/>
          <w:pgSz w:w="11906" w:h="16838"/>
          <w:pgMar w:top="1440" w:right="1800" w:bottom="1440" w:left="1800" w:header="851" w:footer="992" w:gutter="0"/>
          <w:pgNumType w:fmt="upperRoman" w:start="1"/>
          <w:cols w:space="720" w:num="1"/>
          <w:docGrid w:type="lines" w:linePitch="312" w:charSpace="0"/>
        </w:sectPr>
      </w:pPr>
      <w:r>
        <w:rPr>
          <w:sz w:val="24"/>
          <w:szCs w:val="24"/>
        </w:rPr>
        <w:fldChar w:fldCharType="end"/>
      </w:r>
    </w:p>
    <w:p>
      <w:pPr>
        <w:pStyle w:val="5"/>
        <w:keepNext/>
        <w:pageBreakBefore/>
        <w:widowControl/>
        <w:numPr>
          <w:ilvl w:val="0"/>
          <w:numId w:val="0"/>
        </w:numPr>
        <w:tabs>
          <w:tab w:val="clear" w:pos="0"/>
        </w:tabs>
        <w:autoSpaceDE/>
        <w:autoSpaceDN/>
        <w:adjustRightInd/>
        <w:spacing w:before="300" w:after="200" w:line="560" w:lineRule="exact"/>
        <w:rPr>
          <w:rFonts w:ascii="Times New Roman" w:hAnsi="Times New Roman" w:eastAsia="黑体"/>
          <w:b/>
          <w:kern w:val="44"/>
          <w:sz w:val="32"/>
          <w:szCs w:val="32"/>
          <w:lang w:val="en-US"/>
        </w:rPr>
      </w:pPr>
      <w:bookmarkStart w:id="0" w:name="_Toc28330"/>
      <w:bookmarkStart w:id="1" w:name="_Toc2996"/>
      <w:bookmarkStart w:id="2" w:name="_Toc105676043"/>
      <w:bookmarkStart w:id="3" w:name="_Toc13827"/>
      <w:bookmarkStart w:id="4" w:name="_Toc28866"/>
      <w:bookmarkStart w:id="5" w:name="_Toc17623"/>
      <w:bookmarkStart w:id="6" w:name="_Toc20950"/>
      <w:r>
        <w:rPr>
          <w:rFonts w:ascii="Times New Roman" w:hAnsi="Times New Roman"/>
          <w:b/>
          <w:kern w:val="44"/>
          <w:sz w:val="32"/>
          <w:szCs w:val="32"/>
          <w:lang w:val="en-US"/>
        </w:rPr>
        <w:t>第一</w:t>
      </w:r>
      <w:r>
        <w:rPr>
          <w:rFonts w:ascii="Times New Roman" w:hAnsi="Times New Roman" w:eastAsia="黑体"/>
          <w:b/>
          <w:kern w:val="44"/>
          <w:sz w:val="32"/>
          <w:szCs w:val="32"/>
          <w:lang w:val="en-US"/>
        </w:rPr>
        <w:t xml:space="preserve">章  </w:t>
      </w:r>
      <w:bookmarkEnd w:id="0"/>
      <w:bookmarkEnd w:id="1"/>
      <w:bookmarkEnd w:id="2"/>
      <w:bookmarkEnd w:id="3"/>
      <w:bookmarkEnd w:id="4"/>
      <w:bookmarkEnd w:id="5"/>
      <w:r>
        <w:rPr>
          <w:rFonts w:hint="default" w:ascii="Times New Roman" w:hAnsi="Times New Roman" w:eastAsia="黑体"/>
          <w:b/>
          <w:kern w:val="44"/>
          <w:sz w:val="32"/>
          <w:szCs w:val="32"/>
          <w:lang w:val="en-US"/>
        </w:rPr>
        <w:t>规划背景</w:t>
      </w:r>
      <w:bookmarkEnd w:id="6"/>
    </w:p>
    <w:p>
      <w:pPr>
        <w:snapToGrid w:val="0"/>
        <w:spacing w:line="580" w:lineRule="exact"/>
        <w:ind w:firstLine="641" w:firstLineChars="0"/>
        <w:rPr>
          <w:rFonts w:eastAsia="仿宋"/>
          <w:szCs w:val="28"/>
          <w:shd w:val="clear"/>
          <w:lang w:val="en-US"/>
        </w:rPr>
      </w:pPr>
      <w:bookmarkStart w:id="7" w:name="_Toc29957"/>
      <w:bookmarkStart w:id="8" w:name="_Toc105676046"/>
      <w:bookmarkStart w:id="9" w:name="_Toc4296"/>
      <w:bookmarkStart w:id="10" w:name="bookmark22"/>
      <w:bookmarkStart w:id="11" w:name="_Toc25210"/>
      <w:bookmarkStart w:id="12" w:name="_Toc19378"/>
      <w:bookmarkStart w:id="13" w:name="bookmark21"/>
      <w:bookmarkStart w:id="14" w:name="_Toc8443"/>
      <w:bookmarkStart w:id="15" w:name="_Toc18329"/>
      <w:bookmarkStart w:id="16" w:name="_Toc18435"/>
      <w:r>
        <w:rPr>
          <w:rFonts w:eastAsia="仿宋"/>
          <w:szCs w:val="28"/>
          <w:shd w:val="clear"/>
          <w:lang w:val="en-US"/>
        </w:rPr>
        <w:t>建宁县地处</w:t>
      </w:r>
      <w:r>
        <w:rPr>
          <w:rFonts w:hint="eastAsia" w:eastAsia="仿宋"/>
          <w:szCs w:val="28"/>
          <w:shd w:val="clear"/>
          <w:lang w:val="en-US"/>
        </w:rPr>
        <w:fldChar w:fldCharType="begin"/>
      </w:r>
      <w:r>
        <w:rPr>
          <w:rFonts w:hint="eastAsia" w:eastAsia="仿宋"/>
          <w:szCs w:val="28"/>
          <w:shd w:val="clear"/>
          <w:lang w:val="en-US"/>
        </w:rPr>
        <w:instrText xml:space="preserve"> HYPERLINK "https://baike.baidu.com/item/%E7%A6%8F%E5%BB%BA%E7%9C%81/122534" \t "https://baike.baidu.com/item/%E5%BB%BA%E5%AE%81%E5%8E%BF/_blank" </w:instrText>
      </w:r>
      <w:r>
        <w:rPr>
          <w:rFonts w:hint="eastAsia" w:eastAsia="仿宋"/>
          <w:szCs w:val="28"/>
          <w:shd w:val="clear"/>
          <w:lang w:val="en-US"/>
        </w:rPr>
        <w:fldChar w:fldCharType="separate"/>
      </w:r>
      <w:r>
        <w:rPr>
          <w:rFonts w:hint="eastAsia" w:eastAsia="仿宋"/>
          <w:szCs w:val="28"/>
          <w:shd w:val="clear"/>
          <w:lang w:val="en-US"/>
        </w:rPr>
        <w:t>福建省</w:t>
      </w:r>
      <w:r>
        <w:rPr>
          <w:rFonts w:hint="eastAsia" w:eastAsia="仿宋"/>
          <w:szCs w:val="28"/>
          <w:shd w:val="clear"/>
          <w:lang w:val="en-US"/>
        </w:rPr>
        <w:fldChar w:fldCharType="end"/>
      </w:r>
      <w:r>
        <w:rPr>
          <w:rFonts w:hint="eastAsia" w:eastAsia="仿宋"/>
          <w:szCs w:val="28"/>
          <w:shd w:val="clear"/>
          <w:lang w:val="en-US"/>
        </w:rPr>
        <w:t>西北部，位于武夷山脉中段，东接</w:t>
      </w:r>
      <w:r>
        <w:rPr>
          <w:rFonts w:hint="eastAsia" w:eastAsia="仿宋"/>
          <w:szCs w:val="28"/>
          <w:shd w:val="clear"/>
          <w:lang w:val="en-US"/>
        </w:rPr>
        <w:fldChar w:fldCharType="begin"/>
      </w:r>
      <w:r>
        <w:rPr>
          <w:rFonts w:hint="eastAsia" w:eastAsia="仿宋"/>
          <w:szCs w:val="28"/>
          <w:shd w:val="clear"/>
          <w:lang w:val="en-US"/>
        </w:rPr>
        <w:instrText xml:space="preserve"> HYPERLINK "https://baike.baidu.com/item/%E6%B3%B0%E5%AE%81%E5%8E%BF/33018" \t "https://baike.baidu.com/item/%E5%BB%BA%E5%AE%81%E5%8E%BF/_blank" </w:instrText>
      </w:r>
      <w:r>
        <w:rPr>
          <w:rFonts w:hint="eastAsia" w:eastAsia="仿宋"/>
          <w:szCs w:val="28"/>
          <w:shd w:val="clear"/>
          <w:lang w:val="en-US"/>
        </w:rPr>
        <w:fldChar w:fldCharType="separate"/>
      </w:r>
      <w:r>
        <w:rPr>
          <w:rFonts w:hint="eastAsia" w:eastAsia="仿宋"/>
          <w:szCs w:val="28"/>
          <w:shd w:val="clear"/>
          <w:lang w:val="en-US"/>
        </w:rPr>
        <w:t>泰宁县</w:t>
      </w:r>
      <w:r>
        <w:rPr>
          <w:rFonts w:hint="eastAsia" w:eastAsia="仿宋"/>
          <w:szCs w:val="28"/>
          <w:shd w:val="clear"/>
          <w:lang w:val="en-US"/>
        </w:rPr>
        <w:fldChar w:fldCharType="end"/>
      </w:r>
      <w:r>
        <w:rPr>
          <w:rFonts w:hint="eastAsia" w:eastAsia="仿宋"/>
          <w:szCs w:val="28"/>
          <w:shd w:val="clear"/>
          <w:lang w:val="en-US"/>
        </w:rPr>
        <w:t>，南邻</w:t>
      </w:r>
      <w:r>
        <w:rPr>
          <w:rFonts w:hint="eastAsia" w:eastAsia="仿宋"/>
          <w:szCs w:val="28"/>
          <w:shd w:val="clear"/>
          <w:lang w:val="en-US"/>
        </w:rPr>
        <w:fldChar w:fldCharType="begin"/>
      </w:r>
      <w:r>
        <w:rPr>
          <w:rFonts w:hint="eastAsia" w:eastAsia="仿宋"/>
          <w:szCs w:val="28"/>
          <w:shd w:val="clear"/>
          <w:lang w:val="en-US"/>
        </w:rPr>
        <w:instrText xml:space="preserve"> HYPERLINK "https://baike.baidu.com/item/%E6%98%8E%E6%BA%AA%E5%8E%BF/1913626" \t "https://baike.baidu.com/item/%E5%BB%BA%E5%AE%81%E5%8E%BF/_blank" </w:instrText>
      </w:r>
      <w:r>
        <w:rPr>
          <w:rFonts w:hint="eastAsia" w:eastAsia="仿宋"/>
          <w:szCs w:val="28"/>
          <w:shd w:val="clear"/>
          <w:lang w:val="en-US"/>
        </w:rPr>
        <w:fldChar w:fldCharType="separate"/>
      </w:r>
      <w:r>
        <w:rPr>
          <w:rFonts w:hint="eastAsia" w:eastAsia="仿宋"/>
          <w:szCs w:val="28"/>
          <w:shd w:val="clear"/>
          <w:lang w:val="en-US"/>
        </w:rPr>
        <w:t>明溪县</w:t>
      </w:r>
      <w:r>
        <w:rPr>
          <w:rFonts w:hint="eastAsia" w:eastAsia="仿宋"/>
          <w:szCs w:val="28"/>
          <w:shd w:val="clear"/>
          <w:lang w:val="en-US"/>
        </w:rPr>
        <w:fldChar w:fldCharType="end"/>
      </w:r>
      <w:r>
        <w:rPr>
          <w:rFonts w:hint="eastAsia" w:eastAsia="仿宋"/>
          <w:szCs w:val="28"/>
          <w:shd w:val="clear"/>
          <w:lang w:val="en-US"/>
        </w:rPr>
        <w:t>、</w:t>
      </w:r>
      <w:r>
        <w:rPr>
          <w:rFonts w:hint="eastAsia" w:eastAsia="仿宋"/>
          <w:szCs w:val="28"/>
          <w:shd w:val="clear"/>
          <w:lang w:val="en-US"/>
        </w:rPr>
        <w:fldChar w:fldCharType="begin"/>
      </w:r>
      <w:r>
        <w:rPr>
          <w:rFonts w:hint="eastAsia" w:eastAsia="仿宋"/>
          <w:szCs w:val="28"/>
          <w:shd w:val="clear"/>
          <w:lang w:val="en-US"/>
        </w:rPr>
        <w:instrText xml:space="preserve"> HYPERLINK "https://baike.baidu.com/item/%E5%AE%81%E5%8C%96%E5%8E%BF/3450464" \t "https://baike.baidu.com/item/%E5%BB%BA%E5%AE%81%E5%8E%BF/_blank" </w:instrText>
      </w:r>
      <w:r>
        <w:rPr>
          <w:rFonts w:hint="eastAsia" w:eastAsia="仿宋"/>
          <w:szCs w:val="28"/>
          <w:shd w:val="clear"/>
          <w:lang w:val="en-US"/>
        </w:rPr>
        <w:fldChar w:fldCharType="separate"/>
      </w:r>
      <w:r>
        <w:rPr>
          <w:rFonts w:hint="eastAsia" w:eastAsia="仿宋"/>
          <w:szCs w:val="28"/>
          <w:shd w:val="clear"/>
          <w:lang w:val="en-US"/>
        </w:rPr>
        <w:t>宁化县</w:t>
      </w:r>
      <w:r>
        <w:rPr>
          <w:rFonts w:hint="eastAsia" w:eastAsia="仿宋"/>
          <w:szCs w:val="28"/>
          <w:shd w:val="clear"/>
          <w:lang w:val="en-US"/>
        </w:rPr>
        <w:fldChar w:fldCharType="end"/>
      </w:r>
      <w:r>
        <w:rPr>
          <w:rFonts w:hint="eastAsia" w:eastAsia="仿宋"/>
          <w:szCs w:val="28"/>
          <w:shd w:val="clear"/>
          <w:lang w:val="en-US"/>
        </w:rPr>
        <w:t>，西北与江西省</w:t>
      </w:r>
      <w:r>
        <w:rPr>
          <w:rFonts w:hint="eastAsia" w:eastAsia="仿宋"/>
          <w:szCs w:val="28"/>
          <w:shd w:val="clear"/>
          <w:lang w:val="en-US"/>
        </w:rPr>
        <w:fldChar w:fldCharType="begin"/>
      </w:r>
      <w:r>
        <w:rPr>
          <w:rFonts w:hint="eastAsia" w:eastAsia="仿宋"/>
          <w:szCs w:val="28"/>
          <w:shd w:val="clear"/>
          <w:lang w:val="en-US"/>
        </w:rPr>
        <w:instrText xml:space="preserve"> HYPERLINK "https://baike.baidu.com/item/%E5%8D%97%E4%B8%B0%E5%8E%BF/520705" \t "https://baike.baidu.com/item/%E5%BB%BA%E5%AE%81%E5%8E%BF/_blank" </w:instrText>
      </w:r>
      <w:r>
        <w:rPr>
          <w:rFonts w:hint="eastAsia" w:eastAsia="仿宋"/>
          <w:szCs w:val="28"/>
          <w:shd w:val="clear"/>
          <w:lang w:val="en-US"/>
        </w:rPr>
        <w:fldChar w:fldCharType="separate"/>
      </w:r>
      <w:r>
        <w:rPr>
          <w:rFonts w:hint="eastAsia" w:eastAsia="仿宋"/>
          <w:szCs w:val="28"/>
          <w:shd w:val="clear"/>
          <w:lang w:val="en-US"/>
        </w:rPr>
        <w:t>南丰县</w:t>
      </w:r>
      <w:r>
        <w:rPr>
          <w:rFonts w:hint="eastAsia" w:eastAsia="仿宋"/>
          <w:szCs w:val="28"/>
          <w:shd w:val="clear"/>
          <w:lang w:val="en-US"/>
        </w:rPr>
        <w:fldChar w:fldCharType="end"/>
      </w:r>
      <w:r>
        <w:rPr>
          <w:rFonts w:hint="eastAsia" w:eastAsia="仿宋"/>
          <w:szCs w:val="28"/>
          <w:shd w:val="clear"/>
          <w:lang w:val="en-US"/>
        </w:rPr>
        <w:t>、</w:t>
      </w:r>
      <w:r>
        <w:rPr>
          <w:rFonts w:hint="eastAsia" w:eastAsia="仿宋"/>
          <w:szCs w:val="28"/>
          <w:shd w:val="clear"/>
          <w:lang w:val="en-US"/>
        </w:rPr>
        <w:fldChar w:fldCharType="begin"/>
      </w:r>
      <w:r>
        <w:rPr>
          <w:rFonts w:hint="eastAsia" w:eastAsia="仿宋"/>
          <w:szCs w:val="28"/>
          <w:shd w:val="clear"/>
          <w:lang w:val="en-US"/>
        </w:rPr>
        <w:instrText xml:space="preserve"> HYPERLINK "https://baike.baidu.com/item/%E5%B9%BF%E6%98%8C%E5%8E%BF/447866" \t "https://baike.baidu.com/item/%E5%BB%BA%E5%AE%81%E5%8E%BF/_blank" </w:instrText>
      </w:r>
      <w:r>
        <w:rPr>
          <w:rFonts w:hint="eastAsia" w:eastAsia="仿宋"/>
          <w:szCs w:val="28"/>
          <w:shd w:val="clear"/>
          <w:lang w:val="en-US"/>
        </w:rPr>
        <w:fldChar w:fldCharType="separate"/>
      </w:r>
      <w:r>
        <w:rPr>
          <w:rFonts w:hint="eastAsia" w:eastAsia="仿宋"/>
          <w:szCs w:val="28"/>
          <w:shd w:val="clear"/>
          <w:lang w:val="en-US"/>
        </w:rPr>
        <w:t>广昌县</w:t>
      </w:r>
      <w:r>
        <w:rPr>
          <w:rFonts w:hint="eastAsia" w:eastAsia="仿宋"/>
          <w:szCs w:val="28"/>
          <w:shd w:val="clear"/>
          <w:lang w:val="en-US"/>
        </w:rPr>
        <w:fldChar w:fldCharType="end"/>
      </w:r>
      <w:r>
        <w:rPr>
          <w:rFonts w:hint="eastAsia" w:eastAsia="仿宋"/>
          <w:szCs w:val="28"/>
          <w:shd w:val="clear"/>
          <w:lang w:val="en-US"/>
        </w:rPr>
        <w:t>、</w:t>
      </w:r>
      <w:r>
        <w:rPr>
          <w:rFonts w:hint="eastAsia" w:eastAsia="仿宋"/>
          <w:szCs w:val="28"/>
          <w:shd w:val="clear"/>
          <w:lang w:val="en-US"/>
        </w:rPr>
        <w:fldChar w:fldCharType="begin"/>
      </w:r>
      <w:r>
        <w:rPr>
          <w:rFonts w:hint="eastAsia" w:eastAsia="仿宋"/>
          <w:szCs w:val="28"/>
          <w:shd w:val="clear"/>
          <w:lang w:val="en-US"/>
        </w:rPr>
        <w:instrText xml:space="preserve"> HYPERLINK "https://baike.baidu.com/item/%E9%BB%8E%E5%B7%9D%E5%8E%BF/521209" \t "https://baike.baidu.com/item/%E5%BB%BA%E5%AE%81%E5%8E%BF/_blank" </w:instrText>
      </w:r>
      <w:r>
        <w:rPr>
          <w:rFonts w:hint="eastAsia" w:eastAsia="仿宋"/>
          <w:szCs w:val="28"/>
          <w:shd w:val="clear"/>
          <w:lang w:val="en-US"/>
        </w:rPr>
        <w:fldChar w:fldCharType="separate"/>
      </w:r>
      <w:r>
        <w:rPr>
          <w:rFonts w:hint="eastAsia" w:eastAsia="仿宋"/>
          <w:szCs w:val="28"/>
          <w:shd w:val="clear"/>
          <w:lang w:val="en-US"/>
        </w:rPr>
        <w:t>黎川县</w:t>
      </w:r>
      <w:r>
        <w:rPr>
          <w:rFonts w:hint="eastAsia" w:eastAsia="仿宋"/>
          <w:szCs w:val="28"/>
          <w:shd w:val="clear"/>
          <w:lang w:val="en-US"/>
        </w:rPr>
        <w:fldChar w:fldCharType="end"/>
      </w:r>
      <w:r>
        <w:rPr>
          <w:rFonts w:hint="eastAsia" w:eastAsia="仿宋"/>
          <w:szCs w:val="28"/>
          <w:shd w:val="clear"/>
          <w:lang w:val="en-US"/>
        </w:rPr>
        <w:t>接壤，介于北纬26°32′至27°06′，东经116°30′至117°03′之间，面积1716.34平方千米。</w:t>
      </w:r>
      <w:r>
        <w:rPr>
          <w:rFonts w:eastAsia="仿宋"/>
          <w:szCs w:val="28"/>
          <w:shd w:val="clear"/>
          <w:lang w:val="en-US"/>
        </w:rPr>
        <w:t>全县辖4镇5乡、92个建制村、7个社区，总人口15.5万。建宁设有闽江源国家级自然保护区和国家森林公园，全县森林</w:t>
      </w:r>
      <w:r>
        <w:rPr>
          <w:rFonts w:eastAsia="仿宋"/>
          <w:color w:val="000000"/>
          <w:szCs w:val="28"/>
          <w:shd w:val="clear"/>
          <w:lang w:val="en-US"/>
        </w:rPr>
        <w:t>覆盖率达78%，</w:t>
      </w:r>
      <w:r>
        <w:rPr>
          <w:rFonts w:eastAsia="仿宋"/>
          <w:szCs w:val="28"/>
          <w:shd w:val="clear"/>
          <w:lang w:val="en-US"/>
        </w:rPr>
        <w:t>环境空气质量优良天数比例长期保持100%，交界断面水质达到国家二类标准以上，集中式饮用水源地水质达标率达100%，被评为国家生态文明建设示范县，连续三年上榜“中国最美县域”榜单，连续五年获评全省县域经济发展“十佳”县。建宁县地处中亚热带，属海洋性季风气候区，又有大陆性山地气候特点。冬季气候寒冷，夏季昼夜温差大，年均气温16.8℃，年积温4900-5069.7℃，极端最高温39.9℃，极端最低温-12.8℃，夏季气温日较差达11℃以上。建宁县土地总面积171701公顷，林地面积136984公顷，有林地面积131583公顷，</w:t>
      </w:r>
      <w:r>
        <w:rPr>
          <w:rFonts w:eastAsia="仿宋"/>
          <w:color w:val="000000"/>
          <w:szCs w:val="28"/>
          <w:shd w:val="clear"/>
          <w:lang w:val="en-US"/>
        </w:rPr>
        <w:t>森林覆盖率76.6%</w:t>
      </w:r>
      <w:r>
        <w:rPr>
          <w:rFonts w:eastAsia="仿宋"/>
          <w:szCs w:val="28"/>
          <w:shd w:val="clear"/>
          <w:lang w:val="en-US"/>
        </w:rPr>
        <w:t>。</w:t>
      </w:r>
      <w:r>
        <w:rPr>
          <w:rFonts w:eastAsia="仿宋"/>
          <w:color w:val="000000"/>
          <w:szCs w:val="28"/>
          <w:shd w:val="clear"/>
          <w:lang w:val="en-US"/>
        </w:rPr>
        <w:t>建宁是区域交通枢纽。</w:t>
      </w:r>
      <w:r>
        <w:rPr>
          <w:rFonts w:eastAsia="仿宋"/>
          <w:szCs w:val="28"/>
          <w:shd w:val="clear"/>
          <w:lang w:val="en-US"/>
        </w:rPr>
        <w:t>古为闽盐赣米集散之地，今为闽赣省际交通枢纽之地。建泰高速、莆炎高速、</w:t>
      </w:r>
      <w:r>
        <w:rPr>
          <w:rFonts w:eastAsia="仿宋"/>
          <w:szCs w:val="28"/>
          <w:lang w:val="en-US"/>
        </w:rPr>
        <w:t>昌福铁路</w:t>
      </w:r>
      <w:r>
        <w:rPr>
          <w:rFonts w:eastAsia="仿宋"/>
          <w:szCs w:val="28"/>
          <w:shd w:val="clear"/>
          <w:lang w:val="en-US"/>
        </w:rPr>
        <w:t>、浦梅铁路建宁至冠豸山段相继建成通车，南昌至潮州高速建宁段、鹰潭至建宁铁路列入省“十四五”规划，建宁已成为闽赣边界区域性交通枢纽和福建挺进中西部的“桥头堡”。气候及地理位置对发展畜牧业都极为有利。</w:t>
      </w:r>
    </w:p>
    <w:p>
      <w:pPr>
        <w:snapToGrid w:val="0"/>
        <w:spacing w:line="580" w:lineRule="exact"/>
        <w:ind w:firstLine="641" w:firstLineChars="0"/>
        <w:rPr>
          <w:rFonts w:eastAsia="仿宋"/>
          <w:szCs w:val="28"/>
          <w:lang w:val="en-US"/>
        </w:rPr>
      </w:pPr>
      <w:r>
        <w:rPr>
          <w:rFonts w:eastAsia="仿宋"/>
          <w:szCs w:val="28"/>
          <w:lang w:val="en-US"/>
        </w:rPr>
        <w:t>畜牧业是现代农业产业体系的重要组成部分，也是乡村振兴的基础性、支撑性产业。发展畜牧业对于促进农业结构优化升级、推进农业供给侧结构性改革、稳定城乡居民“菜篮子”供应、构建农牧循环发展的种养业体系具有重要的战略意义和现实意义。为贯彻落实福建省高质量发展战略部署，进一步推动建宁县畜牧业转型升级，根据福建省委、福建省人民政府印发《关于全面推进乡村振兴加快农业农村现代化的实施意见》的要求，结合《福建省畜禽养殖污染防治“十三五”规划》和《福建省人民政府办公厅关于印发促进畜牧业高质量发展实施方案的通知》（闽政办〔2021〕3号）等精神编制本规划。</w:t>
      </w:r>
    </w:p>
    <w:p>
      <w:pPr>
        <w:snapToGrid w:val="0"/>
        <w:spacing w:line="580" w:lineRule="exact"/>
        <w:ind w:firstLine="641" w:firstLineChars="0"/>
        <w:rPr>
          <w:rFonts w:eastAsia="仿宋"/>
          <w:szCs w:val="28"/>
          <w:lang w:val="en-US"/>
        </w:rPr>
      </w:pPr>
      <w:r>
        <w:rPr>
          <w:rFonts w:eastAsia="仿宋"/>
          <w:szCs w:val="28"/>
          <w:lang w:val="en-US"/>
        </w:rPr>
        <w:t>本规划在充分做好与国家、省、三明市有关总体规划、产业规划与专项规划衔接的基础上，紧密结合建宁县城市定位、经济社会、农业农村与畜牧业发展的现状，立足新常态和畜禽养殖环境承载量测算，坚持实事求是和底线思维，重点围绕农业供给侧结构性改革，坚持绿色发展和高质量发展策略，研究提出建宁县畜牧产业（2021年-2025年）的发展思路、空间布局、养殖容量、重点任务和保障措施等，是全县畜牧产业发展的基本遵循和纲领性文件。</w:t>
      </w:r>
    </w:p>
    <w:p>
      <w:pPr>
        <w:snapToGrid w:val="0"/>
        <w:spacing w:line="580" w:lineRule="exact"/>
        <w:ind w:firstLine="641" w:firstLineChars="0"/>
        <w:rPr>
          <w:rFonts w:eastAsia="仿宋"/>
          <w:szCs w:val="28"/>
          <w:lang w:val="en-US"/>
        </w:rPr>
      </w:pPr>
      <w:r>
        <w:rPr>
          <w:rFonts w:eastAsia="仿宋"/>
          <w:szCs w:val="28"/>
          <w:lang w:val="en-US"/>
        </w:rPr>
        <w:t>本规划基准年为2020年，涵盖全县9个乡镇，规划期限为2021-2025年。</w:t>
      </w:r>
      <w:bookmarkStart w:id="17" w:name="_Toc28950"/>
      <w:bookmarkStart w:id="18" w:name="_Toc3861"/>
      <w:bookmarkStart w:id="19" w:name="_Toc59656397"/>
    </w:p>
    <w:p>
      <w:pPr>
        <w:pStyle w:val="14"/>
        <w:tabs>
          <w:tab w:val="right" w:leader="dot" w:pos="8296"/>
        </w:tabs>
        <w:spacing w:before="156" w:beforeLines="50" w:after="156" w:afterLines="50" w:line="240" w:lineRule="auto"/>
        <w:ind w:firstLine="602"/>
        <w:outlineLvl w:val="1"/>
        <w:rPr>
          <w:sz w:val="30"/>
          <w:szCs w:val="30"/>
        </w:rPr>
      </w:pPr>
      <w:bookmarkStart w:id="20" w:name="_Toc24528"/>
      <w:r>
        <w:rPr>
          <w:b/>
          <w:bCs/>
          <w:sz w:val="30"/>
          <w:szCs w:val="30"/>
        </w:rPr>
        <w:t>一、“十三五”期间畜牧业发展成效</w:t>
      </w:r>
      <w:bookmarkEnd w:id="17"/>
      <w:bookmarkEnd w:id="18"/>
      <w:bookmarkEnd w:id="20"/>
    </w:p>
    <w:p>
      <w:pPr>
        <w:spacing w:line="360" w:lineRule="auto"/>
        <w:ind w:firstLine="560"/>
        <w:outlineLvl w:val="1"/>
        <w:rPr>
          <w:rFonts w:ascii="仿宋_GB2312" w:eastAsia="仿宋_GB2312"/>
          <w:szCs w:val="28"/>
        </w:rPr>
      </w:pPr>
      <w:bookmarkStart w:id="21" w:name="_Toc19406"/>
      <w:bookmarkStart w:id="22" w:name="_Toc23027"/>
      <w:bookmarkStart w:id="23" w:name="_Toc1212"/>
      <w:bookmarkStart w:id="24" w:name="_Toc5997"/>
      <w:bookmarkStart w:id="25" w:name="_Toc11432"/>
      <w:bookmarkStart w:id="26" w:name="_Toc7640"/>
      <w:bookmarkStart w:id="27" w:name="_Toc21695"/>
      <w:bookmarkStart w:id="28" w:name="_Toc32275"/>
      <w:bookmarkStart w:id="29" w:name="_Toc20628"/>
      <w:r>
        <w:rPr>
          <w:rFonts w:eastAsia="仿宋"/>
          <w:szCs w:val="28"/>
          <w:shd w:val="clear" w:color="auto" w:fill="FFFFFF"/>
        </w:rPr>
        <w:t>“十三五”以来，</w:t>
      </w:r>
      <w:bookmarkEnd w:id="19"/>
      <w:r>
        <w:rPr>
          <w:rFonts w:eastAsia="仿宋"/>
          <w:szCs w:val="28"/>
          <w:shd w:val="clear" w:color="auto" w:fill="FFFFFF"/>
        </w:rPr>
        <w:t>在建宁县委、</w:t>
      </w:r>
      <w:r>
        <w:rPr>
          <w:rFonts w:eastAsia="仿宋"/>
          <w:szCs w:val="28"/>
          <w:shd w:val="clear" w:color="auto" w:fill="FFFFFF"/>
          <w:lang w:val="en-US"/>
        </w:rPr>
        <w:t>县</w:t>
      </w:r>
      <w:r>
        <w:rPr>
          <w:rFonts w:eastAsia="仿宋"/>
          <w:szCs w:val="28"/>
          <w:shd w:val="clear" w:color="auto" w:fill="FFFFFF"/>
        </w:rPr>
        <w:t>政府的坚强领导下，全</w:t>
      </w:r>
      <w:r>
        <w:rPr>
          <w:rFonts w:eastAsia="仿宋"/>
          <w:szCs w:val="28"/>
          <w:shd w:val="clear" w:color="auto" w:fill="FFFFFF"/>
          <w:lang w:val="en-US"/>
        </w:rPr>
        <w:t>县</w:t>
      </w:r>
      <w:r>
        <w:rPr>
          <w:rFonts w:eastAsia="仿宋"/>
          <w:szCs w:val="28"/>
          <w:shd w:val="clear" w:color="auto" w:fill="FFFFFF"/>
        </w:rPr>
        <w:t>立足农业供给侧结构性改革，围绕畜牧业转型升级主线，加快发展方式转变，加大政策扶持力度，不断优化</w:t>
      </w:r>
      <w:r>
        <w:rPr>
          <w:rFonts w:eastAsia="仿宋"/>
          <w:szCs w:val="28"/>
          <w:shd w:val="clear" w:color="auto" w:fill="FFFFFF"/>
          <w:lang w:val="en-US"/>
        </w:rPr>
        <w:t>产业</w:t>
      </w:r>
      <w:r>
        <w:rPr>
          <w:rFonts w:eastAsia="仿宋"/>
          <w:szCs w:val="28"/>
          <w:shd w:val="clear" w:color="auto" w:fill="FFFFFF"/>
        </w:rPr>
        <w:t>结构。通过推进规模养殖，加强</w:t>
      </w:r>
      <w:r>
        <w:rPr>
          <w:rFonts w:eastAsia="仿宋"/>
          <w:szCs w:val="28"/>
          <w:shd w:val="clear" w:color="auto" w:fill="FFFFFF"/>
          <w:lang w:val="en-US"/>
        </w:rPr>
        <w:t>畜禽粪</w:t>
      </w:r>
      <w:r>
        <w:rPr>
          <w:rFonts w:eastAsia="仿宋"/>
          <w:szCs w:val="28"/>
          <w:shd w:val="clear" w:color="auto" w:fill="FFFFFF"/>
        </w:rPr>
        <w:t>污</w:t>
      </w:r>
      <w:r>
        <w:rPr>
          <w:rFonts w:eastAsia="仿宋"/>
          <w:szCs w:val="28"/>
          <w:shd w:val="clear" w:color="auto" w:fill="FFFFFF"/>
          <w:lang w:val="en-US"/>
        </w:rPr>
        <w:t>资源化利用</w:t>
      </w:r>
      <w:r>
        <w:rPr>
          <w:rFonts w:eastAsia="仿宋"/>
          <w:szCs w:val="28"/>
          <w:shd w:val="clear" w:color="auto" w:fill="FFFFFF"/>
        </w:rPr>
        <w:t>，强化技术支撑，区域布局进一步优化、生产水平明显提升、养殖污染极大缓解、生物安全防控体系基本</w:t>
      </w:r>
      <w:r>
        <w:rPr>
          <w:rFonts w:eastAsia="仿宋"/>
          <w:szCs w:val="28"/>
          <w:shd w:val="clear" w:color="auto" w:fill="FFFFFF"/>
          <w:lang w:val="en-US"/>
        </w:rPr>
        <w:t>建立</w:t>
      </w:r>
      <w:r>
        <w:rPr>
          <w:rFonts w:eastAsia="仿宋"/>
          <w:szCs w:val="28"/>
          <w:shd w:val="clear" w:color="auto" w:fill="FFFFFF"/>
        </w:rPr>
        <w:t>，畜牧业发展取得了整体趋优的良好局面，为“十四五”全</w:t>
      </w:r>
      <w:r>
        <w:rPr>
          <w:rFonts w:eastAsia="仿宋"/>
          <w:szCs w:val="28"/>
          <w:shd w:val="clear" w:color="auto" w:fill="FFFFFF"/>
          <w:lang w:val="en-US"/>
        </w:rPr>
        <w:t>县</w:t>
      </w:r>
      <w:r>
        <w:rPr>
          <w:rFonts w:eastAsia="仿宋"/>
          <w:szCs w:val="28"/>
          <w:shd w:val="clear" w:color="auto" w:fill="FFFFFF"/>
        </w:rPr>
        <w:t>畜牧业实现绿色高质量发展奠定了坚实基础。</w:t>
      </w:r>
      <w:bookmarkEnd w:id="21"/>
      <w:bookmarkEnd w:id="22"/>
      <w:bookmarkEnd w:id="23"/>
      <w:bookmarkEnd w:id="24"/>
      <w:bookmarkEnd w:id="25"/>
      <w:bookmarkEnd w:id="26"/>
      <w:bookmarkEnd w:id="27"/>
      <w:bookmarkEnd w:id="28"/>
      <w:bookmarkEnd w:id="29"/>
    </w:p>
    <w:p>
      <w:pPr>
        <w:spacing w:line="540" w:lineRule="exact"/>
        <w:ind w:firstLine="602"/>
        <w:outlineLvl w:val="1"/>
        <w:rPr>
          <w:rFonts w:ascii="仿宋_GB2312" w:eastAsia="仿宋_GB2312"/>
          <w:b/>
          <w:sz w:val="30"/>
          <w:szCs w:val="30"/>
        </w:rPr>
      </w:pPr>
      <w:bookmarkStart w:id="30" w:name="_Toc59656399"/>
      <w:bookmarkStart w:id="31" w:name="_Toc18914"/>
      <w:bookmarkStart w:id="32" w:name="_Toc21624"/>
      <w:bookmarkStart w:id="33" w:name="_Toc31527"/>
      <w:bookmarkStart w:id="34" w:name="_Toc12275"/>
      <w:r>
        <w:rPr>
          <w:rFonts w:ascii="仿宋_GB2312" w:eastAsia="仿宋_GB2312"/>
          <w:b/>
          <w:sz w:val="30"/>
          <w:szCs w:val="30"/>
        </w:rPr>
        <w:t>（一）</w:t>
      </w:r>
      <w:bookmarkEnd w:id="30"/>
      <w:bookmarkStart w:id="35" w:name="_Toc59656400"/>
      <w:r>
        <w:rPr>
          <w:rFonts w:ascii="仿宋_GB2312" w:eastAsia="仿宋_GB2312"/>
          <w:b/>
          <w:sz w:val="30"/>
          <w:szCs w:val="30"/>
        </w:rPr>
        <w:t>生态化建设持续推进</w:t>
      </w:r>
      <w:bookmarkEnd w:id="31"/>
      <w:bookmarkEnd w:id="32"/>
      <w:bookmarkEnd w:id="33"/>
      <w:bookmarkEnd w:id="34"/>
    </w:p>
    <w:p>
      <w:pPr>
        <w:spacing w:line="360" w:lineRule="auto"/>
        <w:ind w:firstLine="560"/>
        <w:outlineLvl w:val="1"/>
        <w:rPr>
          <w:rFonts w:eastAsia="仿宋"/>
          <w:szCs w:val="28"/>
          <w:shd w:val="clear" w:color="auto" w:fill="FFFFFF"/>
        </w:rPr>
      </w:pPr>
      <w:bookmarkStart w:id="36" w:name="_Toc11014"/>
      <w:bookmarkStart w:id="37" w:name="_Toc31996"/>
      <w:bookmarkStart w:id="38" w:name="_Toc20752"/>
      <w:bookmarkStart w:id="39" w:name="_Toc23315"/>
      <w:bookmarkStart w:id="40" w:name="_Toc30340"/>
      <w:bookmarkStart w:id="41" w:name="_Toc1364"/>
      <w:bookmarkStart w:id="42" w:name="_Toc5535"/>
      <w:bookmarkStart w:id="43" w:name="_Toc24651"/>
      <w:bookmarkStart w:id="44" w:name="_Toc1108"/>
      <w:r>
        <w:rPr>
          <w:rFonts w:eastAsia="仿宋"/>
          <w:szCs w:val="28"/>
          <w:shd w:val="clear" w:color="auto" w:fill="FFFFFF"/>
        </w:rPr>
        <w:t>近年来，建宁县始终坚持“生态优先、绿色发展”战略，以区域环境容量为依据，</w:t>
      </w:r>
      <w:r>
        <w:rPr>
          <w:rFonts w:hint="eastAsia" w:eastAsia="仿宋"/>
          <w:szCs w:val="28"/>
          <w:shd w:val="clear" w:color="auto" w:fill="FFFFFF"/>
        </w:rPr>
        <w:t>发展适度规模养殖和健康养殖，大力推广优质、高效和集约化的生态养殖新技术。积极探索畜禽养殖与粮食、蔬菜、林果、</w:t>
      </w:r>
      <w:r>
        <w:rPr>
          <w:rFonts w:hint="eastAsia" w:eastAsia="仿宋"/>
          <w:szCs w:val="28"/>
          <w:shd w:val="clear" w:color="auto" w:fill="FFFFFF"/>
          <w:lang w:val="en-US" w:eastAsia="zh-CN"/>
        </w:rPr>
        <w:t>文旅</w:t>
      </w:r>
      <w:r>
        <w:rPr>
          <w:rFonts w:hint="eastAsia" w:eastAsia="仿宋"/>
          <w:szCs w:val="28"/>
          <w:shd w:val="clear" w:color="auto" w:fill="FFFFFF"/>
        </w:rPr>
        <w:t>相结合的生态种养新模式和新技术，逐步建立种、养、加相结合的复合型生态系统模式。</w:t>
      </w:r>
      <w:bookmarkEnd w:id="36"/>
      <w:bookmarkEnd w:id="37"/>
    </w:p>
    <w:p>
      <w:pPr>
        <w:spacing w:line="360" w:lineRule="auto"/>
        <w:ind w:firstLine="560"/>
        <w:outlineLvl w:val="1"/>
        <w:rPr>
          <w:rFonts w:eastAsia="仿宋"/>
          <w:color w:val="auto"/>
          <w:szCs w:val="28"/>
          <w:shd w:val="clear" w:color="auto" w:fill="FFFFFF"/>
        </w:rPr>
      </w:pPr>
      <w:bookmarkStart w:id="45" w:name="_Toc8635"/>
      <w:bookmarkStart w:id="46" w:name="_Toc23043"/>
      <w:r>
        <w:rPr>
          <w:rFonts w:hint="eastAsia" w:eastAsia="仿宋"/>
          <w:szCs w:val="28"/>
          <w:shd w:val="clear" w:color="auto" w:fill="FFFFFF"/>
        </w:rPr>
        <w:t>加快畜禽粪污处理设施建设。推广污水减量、厌氧发酵、粪便堆肥等生态化治理模式，建设覆盖全链条的病死畜禽无害化处理体系。对畜禽粪污集中处理和资源化利用，以有效减少对环境的污染。做好新建、改（扩）建畜禽养殖小区的环境影响评价，严格环境审批手续，确保粪污处理设施建设的高标准，保证污染物排放达到标准。</w:t>
      </w:r>
      <w:r>
        <w:rPr>
          <w:rFonts w:eastAsia="仿宋"/>
          <w:szCs w:val="28"/>
          <w:shd w:val="clear" w:color="auto" w:fill="FFFFFF"/>
        </w:rPr>
        <w:t>加强畜禽养殖</w:t>
      </w:r>
      <w:r>
        <w:rPr>
          <w:rFonts w:eastAsia="仿宋"/>
          <w:szCs w:val="28"/>
          <w:shd w:val="clear" w:color="auto" w:fill="FFFFFF"/>
          <w:lang w:val="en-US"/>
        </w:rPr>
        <w:t>面源污染</w:t>
      </w:r>
      <w:r>
        <w:rPr>
          <w:rFonts w:eastAsia="仿宋"/>
          <w:szCs w:val="28"/>
          <w:shd w:val="clear" w:color="auto" w:fill="FFFFFF"/>
        </w:rPr>
        <w:t>整治，建立健全了畜禽养殖废弃物资源化利用制度，“以地定养、以养肥地、种养对接”的种养结合制度初步形成。</w:t>
      </w:r>
      <w:r>
        <w:rPr>
          <w:rFonts w:ascii="仿宋_GB2312" w:eastAsia="仿宋_GB2312"/>
          <w:szCs w:val="28"/>
        </w:rPr>
        <w:t>实现规模畜禽场养殖废弃物资源化利用。</w:t>
      </w:r>
      <w:bookmarkEnd w:id="35"/>
      <w:bookmarkStart w:id="47" w:name="_Toc59656401"/>
      <w:r>
        <w:rPr>
          <w:rFonts w:eastAsia="仿宋"/>
          <w:szCs w:val="28"/>
          <w:shd w:val="clear" w:color="auto" w:fill="FFFFFF"/>
        </w:rPr>
        <w:t>全</w:t>
      </w:r>
      <w:r>
        <w:rPr>
          <w:rFonts w:eastAsia="仿宋"/>
          <w:szCs w:val="28"/>
          <w:shd w:val="clear" w:color="auto" w:fill="FFFFFF"/>
          <w:lang w:val="en-US"/>
        </w:rPr>
        <w:t>县</w:t>
      </w:r>
      <w:r>
        <w:rPr>
          <w:rFonts w:eastAsia="仿宋"/>
          <w:szCs w:val="28"/>
          <w:shd w:val="clear" w:color="auto" w:fill="FFFFFF"/>
        </w:rPr>
        <w:t>畜禽养殖废弃物综合利用率达到9</w:t>
      </w:r>
      <w:r>
        <w:rPr>
          <w:rFonts w:eastAsia="仿宋"/>
          <w:szCs w:val="28"/>
          <w:shd w:val="clear" w:color="auto" w:fill="FFFFFF"/>
          <w:lang w:val="en-US"/>
        </w:rPr>
        <w:t>0</w:t>
      </w:r>
      <w:r>
        <w:rPr>
          <w:rFonts w:eastAsia="仿宋"/>
          <w:szCs w:val="28"/>
          <w:shd w:val="clear" w:color="auto" w:fill="FFFFFF"/>
        </w:rPr>
        <w:t>%以上，</w:t>
      </w:r>
      <w:r>
        <w:rPr>
          <w:rFonts w:eastAsia="仿宋"/>
          <w:color w:val="auto"/>
          <w:szCs w:val="28"/>
          <w:shd w:val="clear" w:color="auto" w:fill="FFFFFF"/>
        </w:rPr>
        <w:t>规模养殖场粪污处理设施装备配套率达</w:t>
      </w:r>
      <w:r>
        <w:rPr>
          <w:rFonts w:eastAsia="仿宋"/>
          <w:szCs w:val="28"/>
          <w:shd w:val="clear" w:color="auto" w:fill="FFFFFF"/>
          <w:lang w:val="en-US"/>
        </w:rPr>
        <w:t>到95%</w:t>
      </w:r>
      <w:bookmarkEnd w:id="38"/>
      <w:bookmarkEnd w:id="39"/>
      <w:bookmarkEnd w:id="40"/>
      <w:r>
        <w:rPr>
          <w:rFonts w:ascii="仿宋_GB2312" w:eastAsia="仿宋_GB2312"/>
          <w:szCs w:val="28"/>
          <w:lang w:val="en-US"/>
        </w:rPr>
        <w:t>以上</w:t>
      </w:r>
      <w:r>
        <w:rPr>
          <w:rFonts w:ascii="仿宋_GB2312" w:eastAsia="仿宋_GB2312"/>
          <w:szCs w:val="28"/>
        </w:rPr>
        <w:t>，基本解决畜禽规模养殖场粪污处理和资源化利用问题。</w:t>
      </w:r>
      <w:bookmarkEnd w:id="41"/>
      <w:bookmarkEnd w:id="42"/>
      <w:bookmarkEnd w:id="43"/>
      <w:bookmarkEnd w:id="44"/>
      <w:bookmarkEnd w:id="45"/>
      <w:bookmarkEnd w:id="46"/>
    </w:p>
    <w:p>
      <w:pPr>
        <w:spacing w:line="540" w:lineRule="exact"/>
        <w:ind w:firstLine="602"/>
        <w:outlineLvl w:val="1"/>
        <w:rPr>
          <w:rFonts w:ascii="仿宋_GB2312" w:eastAsia="仿宋_GB2312"/>
          <w:b/>
          <w:sz w:val="30"/>
          <w:szCs w:val="30"/>
        </w:rPr>
      </w:pPr>
      <w:bookmarkStart w:id="48" w:name="_Toc25660"/>
      <w:bookmarkStart w:id="49" w:name="_Toc28968"/>
      <w:bookmarkStart w:id="50" w:name="_Toc13675"/>
      <w:bookmarkStart w:id="51" w:name="_Toc400"/>
      <w:r>
        <w:rPr>
          <w:rFonts w:ascii="仿宋_GB2312" w:eastAsia="仿宋_GB2312"/>
          <w:b/>
          <w:sz w:val="30"/>
          <w:szCs w:val="30"/>
        </w:rPr>
        <w:t>（二）</w:t>
      </w:r>
      <w:bookmarkEnd w:id="47"/>
      <w:r>
        <w:rPr>
          <w:rFonts w:ascii="仿宋_GB2312" w:eastAsia="仿宋_GB2312"/>
          <w:b/>
          <w:sz w:val="30"/>
          <w:szCs w:val="30"/>
        </w:rPr>
        <w:t>产业结构不断调整和优化</w:t>
      </w:r>
      <w:bookmarkEnd w:id="48"/>
      <w:bookmarkEnd w:id="49"/>
      <w:bookmarkEnd w:id="50"/>
      <w:bookmarkStart w:id="52" w:name="_Toc59656402"/>
    </w:p>
    <w:p>
      <w:pPr>
        <w:spacing w:line="360" w:lineRule="auto"/>
        <w:ind w:firstLine="560"/>
        <w:outlineLvl w:val="1"/>
        <w:rPr>
          <w:rFonts w:hint="default" w:ascii="Times New Roman" w:hAnsi="Times New Roman" w:eastAsia="仿宋" w:cs="Times New Roman"/>
          <w:szCs w:val="28"/>
          <w:shd w:val="clear" w:color="auto" w:fill="FFFFFF"/>
          <w:lang w:val="en-US"/>
        </w:rPr>
      </w:pPr>
      <w:bookmarkStart w:id="53" w:name="_Toc23680"/>
      <w:bookmarkStart w:id="54" w:name="_Toc4423"/>
      <w:bookmarkStart w:id="55" w:name="_Toc24901"/>
      <w:bookmarkStart w:id="56" w:name="_Toc15754"/>
      <w:bookmarkStart w:id="57" w:name="_Toc24848"/>
      <w:bookmarkStart w:id="58" w:name="_Toc61"/>
      <w:bookmarkStart w:id="59" w:name="_Toc982"/>
      <w:bookmarkStart w:id="60" w:name="_Toc25840"/>
      <w:r>
        <w:rPr>
          <w:rFonts w:ascii="仿宋_GB2312" w:eastAsia="仿宋_GB2312"/>
          <w:szCs w:val="28"/>
        </w:rPr>
        <w:t>按照“经营规模化、生产标准化”要求，</w:t>
      </w:r>
      <w:bookmarkEnd w:id="52"/>
      <w:r>
        <w:rPr>
          <w:rFonts w:hint="default" w:ascii="Times New Roman" w:hAnsi="Times New Roman" w:eastAsia="仿宋_GB2312" w:cs="Times New Roman"/>
          <w:szCs w:val="28"/>
          <w:lang w:val="en-US"/>
        </w:rPr>
        <w:t>201</w:t>
      </w:r>
      <w:r>
        <w:rPr>
          <w:rFonts w:hint="default" w:ascii="Times New Roman" w:hAnsi="Times New Roman" w:eastAsia="仿宋_GB2312" w:cs="Times New Roman"/>
          <w:szCs w:val="28"/>
          <w:lang w:val="en-US" w:eastAsia="zh-CN"/>
        </w:rPr>
        <w:t>6</w:t>
      </w:r>
      <w:r>
        <w:rPr>
          <w:rFonts w:hint="default" w:ascii="Times New Roman" w:hAnsi="Times New Roman" w:eastAsia="仿宋_GB2312" w:cs="Times New Roman"/>
          <w:szCs w:val="28"/>
          <w:lang w:val="en-US"/>
        </w:rPr>
        <w:t>年至202</w:t>
      </w:r>
      <w:r>
        <w:rPr>
          <w:rFonts w:hint="default" w:ascii="Times New Roman" w:hAnsi="Times New Roman" w:eastAsia="仿宋_GB2312" w:cs="Times New Roman"/>
          <w:szCs w:val="28"/>
          <w:lang w:val="en-US" w:eastAsia="zh-CN"/>
        </w:rPr>
        <w:t>0</w:t>
      </w:r>
      <w:r>
        <w:rPr>
          <w:rFonts w:ascii="仿宋_GB2312" w:eastAsia="仿宋_GB2312"/>
          <w:szCs w:val="28"/>
          <w:lang w:val="en-US"/>
        </w:rPr>
        <w:t>年五年期间，全县畜禽产量和产业结构发生了显著的变化，养殖</w:t>
      </w:r>
      <w:r>
        <w:rPr>
          <w:rFonts w:eastAsia="仿宋"/>
          <w:szCs w:val="28"/>
          <w:shd w:val="clear" w:color="auto" w:fill="FFFFFF"/>
          <w:lang w:val="en-US"/>
        </w:rPr>
        <w:t>总量得到明显增长。全县主要畜禽存出栏量都有显著增加，特别是生猪和草食动物生产增长趋势特别明显。</w:t>
      </w:r>
      <w:bookmarkEnd w:id="51"/>
      <w:r>
        <w:rPr>
          <w:rFonts w:eastAsia="仿宋"/>
          <w:szCs w:val="28"/>
          <w:shd w:val="clear" w:color="auto" w:fill="FFFFFF"/>
          <w:lang w:val="en-US"/>
        </w:rPr>
        <w:t>建宁县奶牛产业虽然发展起步较晚，但目前已成为福建省奶牛产业优势产区。</w:t>
      </w:r>
      <w:r>
        <w:rPr>
          <w:rFonts w:hint="eastAsia" w:eastAsia="仿宋"/>
          <w:szCs w:val="28"/>
          <w:shd w:val="clear" w:color="auto" w:fill="FFFFFF"/>
          <w:lang w:val="en-US" w:eastAsia="zh-CN"/>
        </w:rPr>
        <w:t>2020年</w:t>
      </w:r>
      <w:r>
        <w:rPr>
          <w:rFonts w:eastAsia="仿宋"/>
          <w:szCs w:val="28"/>
          <w:shd w:val="clear" w:color="auto" w:fill="FFFFFF"/>
          <w:lang w:val="en-US"/>
        </w:rPr>
        <w:t>全县奶牛存栏</w:t>
      </w:r>
      <w:r>
        <w:rPr>
          <w:rFonts w:hint="eastAsia" w:eastAsia="仿宋"/>
          <w:szCs w:val="28"/>
          <w:shd w:val="clear" w:color="auto" w:fill="FFFFFF"/>
          <w:lang w:val="en-US" w:eastAsia="zh-CN"/>
        </w:rPr>
        <w:t>28</w:t>
      </w:r>
      <w:r>
        <w:rPr>
          <w:rFonts w:eastAsia="仿宋"/>
          <w:szCs w:val="28"/>
          <w:shd w:val="clear" w:color="auto" w:fill="FFFFFF"/>
          <w:lang w:val="en-US"/>
        </w:rPr>
        <w:t>00头。饲草种植基地1000亩，年供应青贮玉米、牧草等5000吨。具体数值详见</w:t>
      </w:r>
      <w:r>
        <w:rPr>
          <w:rFonts w:hint="default" w:ascii="Times New Roman" w:hAnsi="Times New Roman" w:eastAsia="仿宋" w:cs="Times New Roman"/>
          <w:szCs w:val="28"/>
          <w:shd w:val="clear" w:color="auto" w:fill="FFFFFF"/>
          <w:lang w:val="en-US"/>
        </w:rPr>
        <w:t>表1.</w:t>
      </w:r>
      <w:bookmarkEnd w:id="53"/>
      <w:bookmarkEnd w:id="54"/>
      <w:bookmarkEnd w:id="55"/>
      <w:bookmarkEnd w:id="56"/>
      <w:bookmarkEnd w:id="57"/>
      <w:bookmarkEnd w:id="58"/>
      <w:bookmarkEnd w:id="59"/>
      <w:bookmarkEnd w:id="60"/>
    </w:p>
    <w:p>
      <w:pPr>
        <w:pStyle w:val="4"/>
        <w:rPr>
          <w:rFonts w:hint="default" w:ascii="Times New Roman" w:hAnsi="Times New Roman" w:eastAsia="仿宋" w:cs="Times New Roman"/>
          <w:szCs w:val="28"/>
          <w:shd w:val="clear" w:color="auto" w:fill="FFFFFF"/>
          <w:lang w:val="en-US"/>
        </w:rPr>
      </w:pPr>
    </w:p>
    <w:p>
      <w:pPr>
        <w:widowControl/>
        <w:spacing w:line="400" w:lineRule="exact"/>
        <w:ind w:firstLine="562"/>
        <w:jc w:val="center"/>
        <w:textAlignment w:val="center"/>
        <w:rPr>
          <w:rFonts w:eastAsia="仿宋"/>
          <w:b/>
          <w:bCs/>
          <w:szCs w:val="28"/>
          <w:lang w:val="en-US"/>
        </w:rPr>
      </w:pPr>
      <w:r>
        <w:rPr>
          <w:rFonts w:hint="default" w:ascii="Times New Roman" w:hAnsi="Times New Roman" w:eastAsia="仿宋" w:cs="Times New Roman"/>
          <w:b/>
          <w:bCs/>
          <w:szCs w:val="28"/>
          <w:lang w:val="en-US"/>
        </w:rPr>
        <w:t xml:space="preserve">表1 </w:t>
      </w:r>
      <w:r>
        <w:rPr>
          <w:rFonts w:eastAsia="仿宋"/>
          <w:b/>
          <w:bCs/>
          <w:szCs w:val="28"/>
          <w:lang w:val="en-US"/>
        </w:rPr>
        <w:t xml:space="preserve"> 主要指标完成情况</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9"/>
        <w:gridCol w:w="1735"/>
        <w:gridCol w:w="845"/>
        <w:gridCol w:w="1173"/>
        <w:gridCol w:w="1200"/>
        <w:gridCol w:w="1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blHeader/>
          <w:jc w:val="center"/>
        </w:trPr>
        <w:tc>
          <w:tcPr>
            <w:tcW w:w="2844" w:type="dxa"/>
            <w:gridSpan w:val="2"/>
            <w:noWrap w:val="0"/>
            <w:vAlign w:val="center"/>
          </w:tcPr>
          <w:p>
            <w:pPr>
              <w:ind w:firstLine="482"/>
              <w:jc w:val="center"/>
              <w:rPr>
                <w:rFonts w:ascii="宋体" w:hAnsi="宋体" w:cs="宋体"/>
                <w:b/>
                <w:bCs/>
                <w:sz w:val="24"/>
              </w:rPr>
            </w:pPr>
            <w:r>
              <w:rPr>
                <w:rFonts w:ascii="宋体" w:hAnsi="宋体" w:cs="宋体"/>
                <w:b/>
                <w:bCs/>
                <w:sz w:val="24"/>
              </w:rPr>
              <w:t>指标名称</w:t>
            </w:r>
          </w:p>
        </w:tc>
        <w:tc>
          <w:tcPr>
            <w:tcW w:w="845" w:type="dxa"/>
            <w:noWrap w:val="0"/>
            <w:vAlign w:val="center"/>
          </w:tcPr>
          <w:p>
            <w:pPr>
              <w:ind w:firstLine="0" w:firstLineChars="0"/>
              <w:jc w:val="both"/>
              <w:rPr>
                <w:rFonts w:hint="default" w:ascii="Times New Roman" w:hAnsi="Times New Roman" w:cs="Times New Roman"/>
                <w:b/>
                <w:bCs/>
                <w:sz w:val="24"/>
              </w:rPr>
            </w:pPr>
            <w:r>
              <w:rPr>
                <w:rFonts w:hint="default" w:ascii="Times New Roman" w:hAnsi="Times New Roman" w:cs="Times New Roman"/>
                <w:b/>
                <w:bCs/>
                <w:sz w:val="24"/>
              </w:rPr>
              <w:t>单位</w:t>
            </w:r>
          </w:p>
        </w:tc>
        <w:tc>
          <w:tcPr>
            <w:tcW w:w="1173" w:type="dxa"/>
            <w:noWrap w:val="0"/>
            <w:vAlign w:val="center"/>
          </w:tcPr>
          <w:p>
            <w:pPr>
              <w:ind w:firstLine="0" w:firstLineChars="0"/>
              <w:jc w:val="both"/>
              <w:rPr>
                <w:rFonts w:hint="default" w:ascii="Times New Roman" w:hAnsi="Times New Roman" w:cs="Times New Roman"/>
                <w:b/>
                <w:bCs/>
                <w:sz w:val="24"/>
              </w:rPr>
            </w:pPr>
            <w:r>
              <w:rPr>
                <w:rFonts w:hint="default" w:ascii="Times New Roman" w:hAnsi="Times New Roman" w:cs="Times New Roman"/>
                <w:b/>
                <w:bCs/>
                <w:sz w:val="24"/>
              </w:rPr>
              <w:t>201</w:t>
            </w:r>
            <w:r>
              <w:rPr>
                <w:rFonts w:hint="default" w:ascii="Times New Roman" w:hAnsi="Times New Roman" w:cs="Times New Roman"/>
                <w:b/>
                <w:bCs/>
                <w:sz w:val="24"/>
                <w:lang w:val="en-US" w:eastAsia="zh-CN"/>
              </w:rPr>
              <w:t>6</w:t>
            </w:r>
            <w:r>
              <w:rPr>
                <w:rFonts w:hint="default" w:ascii="Times New Roman" w:hAnsi="Times New Roman" w:cs="Times New Roman"/>
                <w:b/>
                <w:bCs/>
                <w:sz w:val="24"/>
              </w:rPr>
              <w:t>年</w:t>
            </w:r>
          </w:p>
        </w:tc>
        <w:tc>
          <w:tcPr>
            <w:tcW w:w="1200" w:type="dxa"/>
            <w:noWrap w:val="0"/>
            <w:vAlign w:val="center"/>
          </w:tcPr>
          <w:p>
            <w:pPr>
              <w:ind w:firstLine="0" w:firstLineChars="0"/>
              <w:jc w:val="both"/>
              <w:rPr>
                <w:rFonts w:hint="default" w:ascii="Times New Roman" w:hAnsi="Times New Roman" w:cs="Times New Roman"/>
                <w:b/>
                <w:bCs/>
                <w:sz w:val="24"/>
              </w:rPr>
            </w:pPr>
            <w:r>
              <w:rPr>
                <w:rFonts w:hint="default" w:ascii="Times New Roman" w:hAnsi="Times New Roman" w:cs="Times New Roman"/>
                <w:b/>
                <w:bCs/>
                <w:sz w:val="24"/>
              </w:rPr>
              <w:t>202</w:t>
            </w:r>
            <w:r>
              <w:rPr>
                <w:rFonts w:hint="default" w:ascii="Times New Roman" w:hAnsi="Times New Roman" w:cs="Times New Roman"/>
                <w:b/>
                <w:bCs/>
                <w:sz w:val="24"/>
                <w:lang w:val="en-US" w:eastAsia="zh-CN"/>
              </w:rPr>
              <w:t>0</w:t>
            </w:r>
            <w:r>
              <w:rPr>
                <w:rFonts w:hint="default" w:ascii="Times New Roman" w:hAnsi="Times New Roman" w:cs="Times New Roman"/>
                <w:b/>
                <w:bCs/>
                <w:sz w:val="24"/>
              </w:rPr>
              <w:t>年</w:t>
            </w:r>
          </w:p>
        </w:tc>
        <w:tc>
          <w:tcPr>
            <w:tcW w:w="1763" w:type="dxa"/>
            <w:noWrap w:val="0"/>
            <w:vAlign w:val="center"/>
          </w:tcPr>
          <w:p>
            <w:pPr>
              <w:spacing w:line="360" w:lineRule="exact"/>
              <w:ind w:firstLine="0" w:firstLineChars="0"/>
              <w:jc w:val="both"/>
              <w:rPr>
                <w:rFonts w:hint="default" w:ascii="Times New Roman" w:hAnsi="Times New Roman" w:cs="Times New Roman"/>
                <w:b/>
                <w:bCs/>
                <w:sz w:val="24"/>
              </w:rPr>
            </w:pPr>
            <w:r>
              <w:rPr>
                <w:rFonts w:hint="default" w:ascii="Times New Roman" w:hAnsi="Times New Roman" w:cs="Times New Roman"/>
                <w:b/>
                <w:bCs/>
                <w:sz w:val="24"/>
              </w:rPr>
              <w:t>年均增长</w:t>
            </w:r>
            <w:r>
              <w:rPr>
                <w:rFonts w:hint="default" w:ascii="Times New Roman" w:hAnsi="Times New Roman" w:cs="Times New Roman"/>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restart"/>
            <w:noWrap w:val="0"/>
            <w:vAlign w:val="center"/>
          </w:tcPr>
          <w:p>
            <w:pPr>
              <w:ind w:firstLine="0" w:firstLineChars="0"/>
              <w:jc w:val="both"/>
              <w:rPr>
                <w:rFonts w:ascii="仿宋_GB2312" w:hAnsi="仿宋_GB2312" w:eastAsia="仿宋_GB2312" w:cs="仿宋_GB2312"/>
                <w:sz w:val="24"/>
              </w:rPr>
            </w:pPr>
            <w:r>
              <w:rPr>
                <w:rFonts w:ascii="仿宋_GB2312" w:hAnsi="仿宋_GB2312" w:eastAsia="仿宋_GB2312" w:cs="仿宋_GB2312"/>
                <w:sz w:val="24"/>
              </w:rPr>
              <w:t>生猪</w:t>
            </w:r>
          </w:p>
          <w:p>
            <w:pPr>
              <w:ind w:firstLine="480"/>
              <w:jc w:val="center"/>
              <w:rPr>
                <w:rFonts w:ascii="仿宋_GB2312" w:hAnsi="仿宋_GB2312" w:eastAsia="仿宋_GB2312" w:cs="仿宋_GB2312"/>
                <w:sz w:val="24"/>
              </w:rPr>
            </w:pPr>
          </w:p>
        </w:tc>
        <w:tc>
          <w:tcPr>
            <w:tcW w:w="1735" w:type="dxa"/>
            <w:noWrap w:val="0"/>
            <w:vAlign w:val="center"/>
          </w:tcPr>
          <w:p>
            <w:pPr>
              <w:ind w:firstLine="0" w:firstLineChars="0"/>
              <w:jc w:val="both"/>
              <w:rPr>
                <w:rFonts w:ascii="仿宋_GB2312" w:hAnsi="仿宋_GB2312" w:eastAsia="仿宋_GB2312" w:cs="仿宋_GB2312"/>
                <w:sz w:val="24"/>
              </w:rPr>
            </w:pPr>
            <w:r>
              <w:rPr>
                <w:rFonts w:ascii="仿宋_GB2312" w:hAnsi="仿宋_GB2312" w:eastAsia="仿宋_GB2312" w:cs="仿宋_GB2312"/>
                <w:sz w:val="24"/>
              </w:rPr>
              <w:t>年底存栏</w:t>
            </w:r>
          </w:p>
        </w:tc>
        <w:tc>
          <w:tcPr>
            <w:tcW w:w="845" w:type="dxa"/>
            <w:noWrap w:val="0"/>
            <w:vAlign w:val="center"/>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头</w:t>
            </w:r>
          </w:p>
        </w:tc>
        <w:tc>
          <w:tcPr>
            <w:tcW w:w="1173"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44620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70792</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1</w:t>
            </w:r>
            <w:r>
              <w:rPr>
                <w:rFonts w:hint="default" w:ascii="Times New Roman" w:hAnsi="Times New Roman" w:eastAsia="仿宋_GB2312" w:cs="Times New Roman"/>
                <w:sz w:val="24"/>
                <w:lang w:val="en-US" w:eastAsia="zh-CN"/>
              </w:rPr>
              <w:t>1</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noWrap w:val="0"/>
            <w:vAlign w:val="center"/>
          </w:tcPr>
          <w:p>
            <w:pPr>
              <w:ind w:firstLine="480"/>
              <w:jc w:val="center"/>
              <w:rPr>
                <w:rFonts w:ascii="仿宋_GB2312" w:hAnsi="仿宋_GB2312" w:eastAsia="仿宋_GB2312" w:cs="仿宋_GB2312"/>
                <w:sz w:val="24"/>
              </w:rPr>
            </w:pPr>
          </w:p>
        </w:tc>
        <w:tc>
          <w:tcPr>
            <w:tcW w:w="1735" w:type="dxa"/>
            <w:noWrap w:val="0"/>
            <w:vAlign w:val="center"/>
          </w:tcPr>
          <w:p>
            <w:pPr>
              <w:ind w:firstLine="0" w:firstLineChars="0"/>
              <w:jc w:val="both"/>
              <w:rPr>
                <w:rFonts w:ascii="仿宋_GB2312" w:hAnsi="仿宋_GB2312" w:eastAsia="仿宋_GB2312" w:cs="仿宋_GB2312"/>
                <w:sz w:val="24"/>
              </w:rPr>
            </w:pPr>
            <w:r>
              <w:rPr>
                <w:rFonts w:ascii="仿宋_GB2312" w:hAnsi="仿宋_GB2312" w:eastAsia="仿宋_GB2312" w:cs="仿宋_GB2312"/>
                <w:sz w:val="24"/>
              </w:rPr>
              <w:t>年出栏</w:t>
            </w:r>
          </w:p>
        </w:tc>
        <w:tc>
          <w:tcPr>
            <w:tcW w:w="845" w:type="dxa"/>
            <w:noWrap w:val="0"/>
            <w:vAlign w:val="center"/>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头</w:t>
            </w:r>
          </w:p>
        </w:tc>
        <w:tc>
          <w:tcPr>
            <w:tcW w:w="1173"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5</w:t>
            </w:r>
            <w:r>
              <w:rPr>
                <w:rFonts w:hint="default" w:ascii="Times New Roman" w:hAnsi="Times New Roman" w:eastAsia="仿宋_GB2312" w:cs="Times New Roman"/>
                <w:sz w:val="24"/>
                <w:lang w:val="en-US" w:eastAsia="zh-CN"/>
              </w:rPr>
              <w:t>6960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11</w:t>
            </w:r>
            <w:r>
              <w:rPr>
                <w:rFonts w:hint="default" w:ascii="Times New Roman" w:hAnsi="Times New Roman" w:eastAsia="仿宋_GB2312" w:cs="Times New Roman"/>
                <w:sz w:val="24"/>
                <w:lang w:val="en-US" w:eastAsia="zh-CN"/>
              </w:rPr>
              <w:t>5464</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2</w:t>
            </w:r>
            <w:r>
              <w:rPr>
                <w:rFonts w:hint="default" w:ascii="Times New Roman" w:hAnsi="Times New Roman" w:eastAsia="仿宋_GB2312" w:cs="Times New Roman"/>
                <w:sz w:val="24"/>
                <w:lang w:val="en-US" w:eastAsia="zh-CN"/>
              </w:rPr>
              <w:t>0</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restart"/>
            <w:noWrap w:val="0"/>
            <w:vAlign w:val="center"/>
          </w:tcPr>
          <w:p>
            <w:pPr>
              <w:ind w:firstLine="480"/>
              <w:jc w:val="center"/>
              <w:rPr>
                <w:rFonts w:ascii="仿宋_GB2312" w:hAnsi="仿宋_GB2312" w:eastAsia="仿宋_GB2312" w:cs="仿宋_GB2312"/>
                <w:bCs/>
                <w:sz w:val="24"/>
              </w:rPr>
            </w:pPr>
            <w:r>
              <w:rPr>
                <w:rFonts w:ascii="仿宋_GB2312" w:hAnsi="仿宋_GB2312" w:eastAsia="仿宋_GB2312" w:cs="仿宋_GB2312"/>
                <w:bCs/>
                <w:sz w:val="24"/>
              </w:rPr>
              <w:t>牛</w:t>
            </w:r>
          </w:p>
        </w:tc>
        <w:tc>
          <w:tcPr>
            <w:tcW w:w="1735" w:type="dxa"/>
            <w:noWrap w:val="0"/>
            <w:vAlign w:val="center"/>
          </w:tcPr>
          <w:p>
            <w:pPr>
              <w:ind w:firstLine="0" w:firstLineChars="0"/>
              <w:jc w:val="both"/>
              <w:rPr>
                <w:rFonts w:ascii="仿宋_GB2312" w:hAnsi="仿宋_GB2312" w:eastAsia="仿宋_GB2312" w:cs="仿宋_GB2312"/>
                <w:bCs/>
                <w:sz w:val="24"/>
              </w:rPr>
            </w:pPr>
            <w:r>
              <w:rPr>
                <w:rFonts w:ascii="仿宋_GB2312" w:hAnsi="仿宋_GB2312" w:eastAsia="仿宋_GB2312" w:cs="仿宋_GB2312"/>
                <w:bCs/>
                <w:sz w:val="24"/>
              </w:rPr>
              <w:t>存栏</w:t>
            </w:r>
          </w:p>
        </w:tc>
        <w:tc>
          <w:tcPr>
            <w:tcW w:w="845" w:type="dxa"/>
            <w:noWrap w:val="0"/>
            <w:vAlign w:val="center"/>
          </w:tcPr>
          <w:p>
            <w:pPr>
              <w:widowControl/>
              <w:ind w:firstLine="0" w:firstLineChars="0"/>
              <w:jc w:val="both"/>
              <w:rPr>
                <w:rFonts w:hint="default" w:ascii="Times New Roman" w:hAnsi="Times New Roman" w:eastAsia="仿宋_GB2312" w:cs="Times New Roman"/>
                <w:bCs/>
                <w:sz w:val="24"/>
              </w:rPr>
            </w:pPr>
            <w:r>
              <w:rPr>
                <w:rFonts w:hint="default" w:ascii="Times New Roman" w:hAnsi="Times New Roman" w:eastAsia="仿宋_GB2312" w:cs="Times New Roman"/>
                <w:bCs/>
                <w:sz w:val="24"/>
              </w:rPr>
              <w:t>头</w:t>
            </w:r>
          </w:p>
        </w:tc>
        <w:tc>
          <w:tcPr>
            <w:tcW w:w="1173"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8110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5619</w:t>
            </w:r>
          </w:p>
        </w:tc>
        <w:tc>
          <w:tcPr>
            <w:tcW w:w="1763" w:type="dxa"/>
            <w:noWrap w:val="0"/>
            <w:vAlign w:val="center"/>
          </w:tcPr>
          <w:p>
            <w:pPr>
              <w:ind w:firstLine="480"/>
              <w:rPr>
                <w:rFonts w:hint="default" w:ascii="Times New Roman" w:hAnsi="Times New Roman" w:eastAsia="仿宋_GB2312" w:cs="Times New Roman"/>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noWrap w:val="0"/>
            <w:vAlign w:val="center"/>
          </w:tcPr>
          <w:p>
            <w:pPr>
              <w:ind w:firstLine="480"/>
              <w:jc w:val="center"/>
              <w:rPr>
                <w:rFonts w:ascii="仿宋_GB2312" w:hAnsi="仿宋_GB2312" w:eastAsia="仿宋_GB2312" w:cs="仿宋_GB2312"/>
                <w:bCs/>
                <w:sz w:val="24"/>
              </w:rPr>
            </w:pPr>
          </w:p>
        </w:tc>
        <w:tc>
          <w:tcPr>
            <w:tcW w:w="1735" w:type="dxa"/>
            <w:noWrap w:val="0"/>
            <w:vAlign w:val="center"/>
          </w:tcPr>
          <w:p>
            <w:pPr>
              <w:ind w:firstLine="0" w:firstLineChars="0"/>
              <w:jc w:val="both"/>
              <w:rPr>
                <w:rFonts w:ascii="仿宋_GB2312" w:hAnsi="仿宋_GB2312" w:eastAsia="仿宋_GB2312" w:cs="仿宋_GB2312"/>
                <w:bCs/>
                <w:sz w:val="24"/>
                <w:lang w:val="en-US"/>
              </w:rPr>
            </w:pPr>
            <w:r>
              <w:rPr>
                <w:rFonts w:ascii="仿宋_GB2312" w:hAnsi="仿宋_GB2312" w:eastAsia="仿宋_GB2312" w:cs="仿宋_GB2312"/>
                <w:bCs/>
                <w:sz w:val="24"/>
                <w:lang w:val="en-US"/>
              </w:rPr>
              <w:t>其中奶牛</w:t>
            </w:r>
          </w:p>
        </w:tc>
        <w:tc>
          <w:tcPr>
            <w:tcW w:w="845" w:type="dxa"/>
            <w:noWrap w:val="0"/>
            <w:vAlign w:val="center"/>
          </w:tcPr>
          <w:p>
            <w:pPr>
              <w:widowControl/>
              <w:ind w:firstLine="0" w:firstLineChars="0"/>
              <w:jc w:val="both"/>
              <w:rPr>
                <w:rFonts w:hint="default" w:ascii="Times New Roman" w:hAnsi="Times New Roman" w:eastAsia="仿宋_GB2312" w:cs="Times New Roman"/>
                <w:bCs/>
                <w:sz w:val="24"/>
                <w:lang w:val="en-US"/>
              </w:rPr>
            </w:pPr>
            <w:r>
              <w:rPr>
                <w:rFonts w:hint="default" w:ascii="Times New Roman" w:hAnsi="Times New Roman" w:eastAsia="仿宋_GB2312" w:cs="Times New Roman"/>
                <w:bCs/>
                <w:sz w:val="24"/>
                <w:lang w:val="en-US"/>
              </w:rPr>
              <w:t>头</w:t>
            </w:r>
          </w:p>
        </w:tc>
        <w:tc>
          <w:tcPr>
            <w:tcW w:w="1173" w:type="dxa"/>
            <w:noWrap w:val="0"/>
            <w:vAlign w:val="center"/>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rPr>
              <w:t>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2800</w:t>
            </w:r>
          </w:p>
        </w:tc>
        <w:tc>
          <w:tcPr>
            <w:tcW w:w="1763" w:type="dxa"/>
            <w:noWrap w:val="0"/>
            <w:vAlign w:val="center"/>
          </w:tcPr>
          <w:p>
            <w:pPr>
              <w:ind w:firstLine="480"/>
              <w:rPr>
                <w:rFonts w:hint="default" w:ascii="Times New Roman" w:hAnsi="Times New Roman" w:eastAsia="仿宋_GB2312" w:cs="Times New Roman"/>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restart"/>
            <w:noWrap w:val="0"/>
            <w:vAlign w:val="center"/>
          </w:tcPr>
          <w:p>
            <w:pPr>
              <w:ind w:firstLine="480"/>
              <w:jc w:val="center"/>
              <w:rPr>
                <w:rFonts w:ascii="仿宋_GB2312" w:hAnsi="仿宋_GB2312" w:eastAsia="仿宋_GB2312" w:cs="仿宋_GB2312"/>
                <w:sz w:val="24"/>
              </w:rPr>
            </w:pPr>
            <w:r>
              <w:rPr>
                <w:rFonts w:ascii="仿宋_GB2312" w:hAnsi="仿宋_GB2312" w:eastAsia="仿宋_GB2312" w:cs="仿宋_GB2312"/>
                <w:sz w:val="24"/>
              </w:rPr>
              <w:t>羊</w:t>
            </w:r>
          </w:p>
        </w:tc>
        <w:tc>
          <w:tcPr>
            <w:tcW w:w="1735" w:type="dxa"/>
            <w:noWrap w:val="0"/>
            <w:vAlign w:val="center"/>
          </w:tcPr>
          <w:p>
            <w:pPr>
              <w:ind w:firstLine="480"/>
              <w:jc w:val="center"/>
              <w:rPr>
                <w:rFonts w:ascii="仿宋_GB2312" w:hAnsi="仿宋_GB2312" w:eastAsia="仿宋_GB2312" w:cs="仿宋_GB2312"/>
                <w:sz w:val="24"/>
              </w:rPr>
            </w:pPr>
            <w:r>
              <w:rPr>
                <w:rFonts w:ascii="仿宋_GB2312" w:hAnsi="仿宋_GB2312" w:eastAsia="仿宋_GB2312" w:cs="仿宋_GB2312"/>
                <w:sz w:val="24"/>
              </w:rPr>
              <w:t>存栏</w:t>
            </w:r>
          </w:p>
        </w:tc>
        <w:tc>
          <w:tcPr>
            <w:tcW w:w="845" w:type="dxa"/>
            <w:noWrap w:val="0"/>
            <w:vAlign w:val="center"/>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只</w:t>
            </w:r>
          </w:p>
        </w:tc>
        <w:tc>
          <w:tcPr>
            <w:tcW w:w="1173" w:type="dxa"/>
            <w:noWrap w:val="0"/>
            <w:vAlign w:val="center"/>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rPr>
              <w:t>6</w:t>
            </w:r>
            <w:r>
              <w:rPr>
                <w:rFonts w:hint="default" w:ascii="Times New Roman" w:hAnsi="Times New Roman" w:eastAsia="仿宋_GB2312" w:cs="Times New Roman"/>
                <w:sz w:val="24"/>
                <w:lang w:val="en-US" w:eastAsia="zh-CN"/>
              </w:rPr>
              <w:t>55</w:t>
            </w:r>
            <w:r>
              <w:rPr>
                <w:rFonts w:hint="default" w:ascii="Times New Roman" w:hAnsi="Times New Roman" w:eastAsia="仿宋_GB2312" w:cs="Times New Roman"/>
                <w:sz w:val="24"/>
                <w:lang w:val="en-US"/>
              </w:rPr>
              <w:t>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1</w:t>
            </w:r>
            <w:r>
              <w:rPr>
                <w:rFonts w:hint="default" w:ascii="Times New Roman" w:hAnsi="Times New Roman" w:eastAsia="仿宋_GB2312" w:cs="Times New Roman"/>
                <w:sz w:val="24"/>
                <w:lang w:val="en-US" w:eastAsia="zh-CN"/>
              </w:rPr>
              <w:t>2113</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17</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noWrap w:val="0"/>
            <w:vAlign w:val="center"/>
          </w:tcPr>
          <w:p>
            <w:pPr>
              <w:ind w:firstLine="480"/>
              <w:jc w:val="center"/>
              <w:rPr>
                <w:rFonts w:ascii="仿宋_GB2312" w:hAnsi="仿宋_GB2312" w:eastAsia="仿宋_GB2312" w:cs="仿宋_GB2312"/>
                <w:sz w:val="24"/>
              </w:rPr>
            </w:pPr>
          </w:p>
        </w:tc>
        <w:tc>
          <w:tcPr>
            <w:tcW w:w="1735" w:type="dxa"/>
            <w:noWrap w:val="0"/>
            <w:vAlign w:val="center"/>
          </w:tcPr>
          <w:p>
            <w:pPr>
              <w:ind w:firstLine="480"/>
              <w:jc w:val="center"/>
              <w:rPr>
                <w:rFonts w:ascii="仿宋_GB2312" w:hAnsi="仿宋_GB2312" w:eastAsia="仿宋_GB2312" w:cs="仿宋_GB2312"/>
                <w:sz w:val="24"/>
              </w:rPr>
            </w:pPr>
            <w:r>
              <w:rPr>
                <w:rFonts w:ascii="仿宋_GB2312" w:hAnsi="仿宋_GB2312" w:eastAsia="仿宋_GB2312" w:cs="仿宋_GB2312"/>
                <w:sz w:val="24"/>
              </w:rPr>
              <w:t>出栏</w:t>
            </w:r>
          </w:p>
        </w:tc>
        <w:tc>
          <w:tcPr>
            <w:tcW w:w="845" w:type="dxa"/>
            <w:noWrap w:val="0"/>
            <w:vAlign w:val="center"/>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只</w:t>
            </w:r>
          </w:p>
        </w:tc>
        <w:tc>
          <w:tcPr>
            <w:tcW w:w="1173" w:type="dxa"/>
            <w:noWrap w:val="0"/>
            <w:vAlign w:val="center"/>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eastAsia="zh-CN"/>
              </w:rPr>
              <w:t>3</w:t>
            </w:r>
            <w:r>
              <w:rPr>
                <w:rFonts w:hint="default" w:ascii="Times New Roman" w:hAnsi="Times New Roman" w:eastAsia="仿宋_GB2312" w:cs="Times New Roman"/>
                <w:sz w:val="24"/>
                <w:lang w:val="en-US"/>
              </w:rPr>
              <w:t>4</w:t>
            </w:r>
            <w:r>
              <w:rPr>
                <w:rFonts w:hint="default" w:ascii="Times New Roman" w:hAnsi="Times New Roman" w:eastAsia="仿宋_GB2312" w:cs="Times New Roman"/>
                <w:sz w:val="24"/>
                <w:lang w:val="en-US" w:eastAsia="zh-CN"/>
              </w:rPr>
              <w:t>7</w:t>
            </w:r>
            <w:r>
              <w:rPr>
                <w:rFonts w:hint="default" w:ascii="Times New Roman" w:hAnsi="Times New Roman" w:eastAsia="仿宋_GB2312" w:cs="Times New Roman"/>
                <w:sz w:val="24"/>
                <w:lang w:val="en-US"/>
              </w:rPr>
              <w:t>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1</w:t>
            </w:r>
            <w:r>
              <w:rPr>
                <w:rFonts w:hint="default" w:ascii="Times New Roman" w:hAnsi="Times New Roman" w:eastAsia="仿宋_GB2312" w:cs="Times New Roman"/>
                <w:sz w:val="24"/>
                <w:lang w:val="en-US" w:eastAsia="zh-CN"/>
              </w:rPr>
              <w:t>0450</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40</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restart"/>
            <w:noWrap w:val="0"/>
            <w:vAlign w:val="center"/>
          </w:tcPr>
          <w:p>
            <w:pPr>
              <w:ind w:firstLine="480"/>
              <w:jc w:val="center"/>
              <w:rPr>
                <w:rFonts w:ascii="仿宋_GB2312" w:hAnsi="仿宋_GB2312" w:eastAsia="仿宋_GB2312" w:cs="仿宋_GB2312"/>
                <w:sz w:val="24"/>
              </w:rPr>
            </w:pPr>
            <w:r>
              <w:rPr>
                <w:rFonts w:ascii="仿宋_GB2312" w:hAnsi="仿宋_GB2312" w:eastAsia="仿宋_GB2312" w:cs="仿宋_GB2312"/>
                <w:sz w:val="24"/>
              </w:rPr>
              <w:t>兔</w:t>
            </w:r>
          </w:p>
        </w:tc>
        <w:tc>
          <w:tcPr>
            <w:tcW w:w="1735" w:type="dxa"/>
            <w:noWrap w:val="0"/>
            <w:vAlign w:val="top"/>
          </w:tcPr>
          <w:p>
            <w:pPr>
              <w:ind w:firstLine="480"/>
              <w:jc w:val="center"/>
              <w:rPr>
                <w:rFonts w:ascii="仿宋_GB2312" w:hAnsi="仿宋_GB2312" w:eastAsia="仿宋_GB2312" w:cs="仿宋_GB2312"/>
                <w:sz w:val="24"/>
              </w:rPr>
            </w:pPr>
            <w:r>
              <w:rPr>
                <w:rFonts w:ascii="仿宋_GB2312" w:hAnsi="仿宋_GB2312" w:eastAsia="仿宋_GB2312" w:cs="仿宋_GB2312"/>
                <w:sz w:val="24"/>
              </w:rPr>
              <w:t>存栏</w:t>
            </w:r>
          </w:p>
        </w:tc>
        <w:tc>
          <w:tcPr>
            <w:tcW w:w="845" w:type="dxa"/>
            <w:noWrap w:val="0"/>
            <w:vAlign w:val="top"/>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只</w:t>
            </w:r>
          </w:p>
        </w:tc>
        <w:tc>
          <w:tcPr>
            <w:tcW w:w="1173" w:type="dxa"/>
            <w:noWrap w:val="0"/>
            <w:vAlign w:val="center"/>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eastAsia="zh-CN"/>
              </w:rPr>
              <w:t>1</w:t>
            </w:r>
            <w:r>
              <w:rPr>
                <w:rFonts w:hint="default" w:ascii="Times New Roman" w:hAnsi="Times New Roman" w:eastAsia="仿宋_GB2312" w:cs="Times New Roman"/>
                <w:sz w:val="24"/>
                <w:lang w:val="en-US"/>
              </w:rPr>
              <w:t>6</w:t>
            </w:r>
            <w:r>
              <w:rPr>
                <w:rFonts w:hint="default" w:ascii="Times New Roman" w:hAnsi="Times New Roman" w:eastAsia="仿宋_GB2312" w:cs="Times New Roman"/>
                <w:sz w:val="24"/>
                <w:lang w:val="en-US" w:eastAsia="zh-CN"/>
              </w:rPr>
              <w:t>2</w:t>
            </w:r>
            <w:r>
              <w:rPr>
                <w:rFonts w:hint="default" w:ascii="Times New Roman" w:hAnsi="Times New Roman" w:eastAsia="仿宋_GB2312" w:cs="Times New Roman"/>
                <w:sz w:val="24"/>
                <w:lang w:val="en-US"/>
              </w:rPr>
              <w:t>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2645</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12</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noWrap w:val="0"/>
            <w:vAlign w:val="center"/>
          </w:tcPr>
          <w:p>
            <w:pPr>
              <w:ind w:firstLine="480"/>
              <w:jc w:val="center"/>
              <w:rPr>
                <w:rFonts w:ascii="仿宋_GB2312" w:hAnsi="仿宋_GB2312" w:eastAsia="仿宋_GB2312" w:cs="仿宋_GB2312"/>
                <w:sz w:val="24"/>
              </w:rPr>
            </w:pPr>
          </w:p>
        </w:tc>
        <w:tc>
          <w:tcPr>
            <w:tcW w:w="1735" w:type="dxa"/>
            <w:noWrap w:val="0"/>
            <w:vAlign w:val="top"/>
          </w:tcPr>
          <w:p>
            <w:pPr>
              <w:ind w:firstLine="480"/>
              <w:jc w:val="center"/>
              <w:rPr>
                <w:rFonts w:ascii="仿宋_GB2312" w:hAnsi="仿宋_GB2312" w:eastAsia="仿宋_GB2312" w:cs="仿宋_GB2312"/>
                <w:sz w:val="24"/>
              </w:rPr>
            </w:pPr>
            <w:r>
              <w:rPr>
                <w:rFonts w:ascii="仿宋_GB2312" w:hAnsi="仿宋_GB2312" w:eastAsia="仿宋_GB2312" w:cs="仿宋_GB2312"/>
                <w:sz w:val="24"/>
              </w:rPr>
              <w:t>出栏</w:t>
            </w:r>
          </w:p>
        </w:tc>
        <w:tc>
          <w:tcPr>
            <w:tcW w:w="845" w:type="dxa"/>
            <w:noWrap w:val="0"/>
            <w:vAlign w:val="top"/>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只</w:t>
            </w:r>
          </w:p>
        </w:tc>
        <w:tc>
          <w:tcPr>
            <w:tcW w:w="1173" w:type="dxa"/>
            <w:noWrap w:val="0"/>
            <w:vAlign w:val="center"/>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rPr>
              <w:t>21</w:t>
            </w:r>
            <w:r>
              <w:rPr>
                <w:rFonts w:hint="default" w:ascii="Times New Roman" w:hAnsi="Times New Roman" w:eastAsia="仿宋_GB2312" w:cs="Times New Roman"/>
                <w:sz w:val="24"/>
                <w:lang w:val="en-US" w:eastAsia="zh-CN"/>
              </w:rPr>
              <w:t>2</w:t>
            </w:r>
            <w:r>
              <w:rPr>
                <w:rFonts w:hint="default" w:ascii="Times New Roman" w:hAnsi="Times New Roman" w:eastAsia="仿宋_GB2312" w:cs="Times New Roman"/>
                <w:sz w:val="24"/>
                <w:lang w:val="en-US"/>
              </w:rPr>
              <w:t>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5866</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35</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restart"/>
            <w:noWrap w:val="0"/>
            <w:vAlign w:val="center"/>
          </w:tcPr>
          <w:p>
            <w:pPr>
              <w:ind w:firstLine="0" w:firstLineChars="0"/>
              <w:jc w:val="both"/>
              <w:rPr>
                <w:rFonts w:ascii="仿宋_GB2312" w:hAnsi="仿宋_GB2312" w:eastAsia="仿宋_GB2312" w:cs="仿宋_GB2312"/>
                <w:sz w:val="24"/>
              </w:rPr>
            </w:pPr>
            <w:r>
              <w:rPr>
                <w:rFonts w:ascii="仿宋_GB2312" w:hAnsi="仿宋_GB2312" w:eastAsia="仿宋_GB2312" w:cs="仿宋_GB2312"/>
                <w:sz w:val="24"/>
                <w:lang w:val="en-US"/>
              </w:rPr>
              <w:t>家</w:t>
            </w:r>
            <w:r>
              <w:rPr>
                <w:rFonts w:ascii="仿宋_GB2312" w:hAnsi="仿宋_GB2312" w:eastAsia="仿宋_GB2312" w:cs="仿宋_GB2312"/>
                <w:sz w:val="24"/>
              </w:rPr>
              <w:t>禽</w:t>
            </w:r>
          </w:p>
        </w:tc>
        <w:tc>
          <w:tcPr>
            <w:tcW w:w="1735" w:type="dxa"/>
            <w:noWrap w:val="0"/>
            <w:vAlign w:val="top"/>
          </w:tcPr>
          <w:p>
            <w:pPr>
              <w:ind w:firstLine="480"/>
              <w:jc w:val="center"/>
              <w:rPr>
                <w:rFonts w:ascii="仿宋_GB2312" w:hAnsi="仿宋_GB2312" w:eastAsia="仿宋_GB2312" w:cs="仿宋_GB2312"/>
                <w:sz w:val="24"/>
              </w:rPr>
            </w:pPr>
            <w:r>
              <w:rPr>
                <w:rFonts w:ascii="仿宋_GB2312" w:hAnsi="仿宋_GB2312" w:eastAsia="仿宋_GB2312" w:cs="仿宋_GB2312"/>
                <w:sz w:val="24"/>
              </w:rPr>
              <w:t>存栏</w:t>
            </w:r>
          </w:p>
        </w:tc>
        <w:tc>
          <w:tcPr>
            <w:tcW w:w="845" w:type="dxa"/>
            <w:noWrap w:val="0"/>
            <w:vAlign w:val="top"/>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羽</w:t>
            </w:r>
          </w:p>
        </w:tc>
        <w:tc>
          <w:tcPr>
            <w:tcW w:w="1173" w:type="dxa"/>
            <w:noWrap w:val="0"/>
            <w:vAlign w:val="bottom"/>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eastAsia="zh-CN"/>
              </w:rPr>
              <w:t>598</w:t>
            </w:r>
            <w:r>
              <w:rPr>
                <w:rFonts w:hint="default" w:ascii="Times New Roman" w:hAnsi="Times New Roman" w:eastAsia="仿宋_GB2312" w:cs="Times New Roman"/>
                <w:sz w:val="24"/>
                <w:lang w:val="en-US"/>
              </w:rPr>
              <w:t>800</w:t>
            </w:r>
          </w:p>
        </w:tc>
        <w:tc>
          <w:tcPr>
            <w:tcW w:w="1200" w:type="dxa"/>
            <w:noWrap w:val="0"/>
            <w:vAlign w:val="top"/>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70</w:t>
            </w:r>
            <w:r>
              <w:rPr>
                <w:rFonts w:hint="default" w:ascii="Times New Roman" w:hAnsi="Times New Roman" w:eastAsia="仿宋_GB2312" w:cs="Times New Roman"/>
                <w:sz w:val="24"/>
                <w:lang w:val="en-US" w:eastAsia="zh-CN"/>
              </w:rPr>
              <w:t>0397</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3.</w:t>
            </w:r>
            <w:r>
              <w:rPr>
                <w:rFonts w:hint="default" w:ascii="Times New Roman" w:hAnsi="Times New Roman" w:eastAsia="仿宋_GB2312" w:cs="Times New Roman"/>
                <w:sz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09" w:type="dxa"/>
            <w:vMerge w:val="continue"/>
            <w:noWrap w:val="0"/>
            <w:vAlign w:val="center"/>
          </w:tcPr>
          <w:p>
            <w:pPr>
              <w:ind w:firstLine="480"/>
              <w:jc w:val="center"/>
              <w:rPr>
                <w:rFonts w:ascii="仿宋_GB2312" w:hAnsi="仿宋_GB2312" w:eastAsia="仿宋_GB2312" w:cs="仿宋_GB2312"/>
                <w:sz w:val="24"/>
              </w:rPr>
            </w:pPr>
          </w:p>
        </w:tc>
        <w:tc>
          <w:tcPr>
            <w:tcW w:w="1735" w:type="dxa"/>
            <w:noWrap w:val="0"/>
            <w:vAlign w:val="top"/>
          </w:tcPr>
          <w:p>
            <w:pPr>
              <w:ind w:firstLine="480"/>
              <w:jc w:val="center"/>
              <w:rPr>
                <w:rFonts w:ascii="仿宋_GB2312" w:hAnsi="仿宋_GB2312" w:eastAsia="仿宋_GB2312" w:cs="仿宋_GB2312"/>
                <w:sz w:val="24"/>
              </w:rPr>
            </w:pPr>
            <w:r>
              <w:rPr>
                <w:rFonts w:ascii="仿宋_GB2312" w:hAnsi="仿宋_GB2312" w:eastAsia="仿宋_GB2312" w:cs="仿宋_GB2312"/>
                <w:sz w:val="24"/>
              </w:rPr>
              <w:t>出栏</w:t>
            </w:r>
          </w:p>
        </w:tc>
        <w:tc>
          <w:tcPr>
            <w:tcW w:w="845" w:type="dxa"/>
            <w:noWrap w:val="0"/>
            <w:vAlign w:val="top"/>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羽</w:t>
            </w:r>
          </w:p>
        </w:tc>
        <w:tc>
          <w:tcPr>
            <w:tcW w:w="1173" w:type="dxa"/>
            <w:noWrap w:val="0"/>
            <w:vAlign w:val="top"/>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514280</w:t>
            </w:r>
          </w:p>
        </w:tc>
        <w:tc>
          <w:tcPr>
            <w:tcW w:w="1200" w:type="dxa"/>
            <w:noWrap w:val="0"/>
            <w:vAlign w:val="top"/>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15</w:t>
            </w:r>
            <w:r>
              <w:rPr>
                <w:rFonts w:hint="default" w:ascii="Times New Roman" w:hAnsi="Times New Roman" w:eastAsia="仿宋_GB2312" w:cs="Times New Roman"/>
                <w:sz w:val="24"/>
                <w:lang w:val="en-US" w:eastAsia="zh-CN"/>
              </w:rPr>
              <w:t>00235</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38</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44" w:type="dxa"/>
            <w:gridSpan w:val="2"/>
            <w:noWrap w:val="0"/>
            <w:vAlign w:val="center"/>
          </w:tcPr>
          <w:p>
            <w:pPr>
              <w:spacing w:line="360" w:lineRule="exact"/>
              <w:ind w:firstLine="240" w:firstLineChars="100"/>
              <w:rPr>
                <w:rFonts w:ascii="仿宋_GB2312" w:hAnsi="仿宋_GB2312" w:eastAsia="仿宋_GB2312" w:cs="仿宋_GB2312"/>
                <w:sz w:val="24"/>
              </w:rPr>
            </w:pPr>
            <w:r>
              <w:rPr>
                <w:rFonts w:ascii="仿宋_GB2312" w:hAnsi="仿宋_GB2312" w:eastAsia="仿宋_GB2312" w:cs="仿宋_GB2312"/>
                <w:sz w:val="24"/>
              </w:rPr>
              <w:t>肉</w:t>
            </w:r>
            <w:r>
              <w:rPr>
                <w:rFonts w:ascii="仿宋_GB2312" w:hAnsi="仿宋_GB2312" w:eastAsia="仿宋_GB2312" w:cs="仿宋_GB2312"/>
                <w:sz w:val="24"/>
                <w:lang w:val="en-US"/>
              </w:rPr>
              <w:t>类</w:t>
            </w:r>
            <w:r>
              <w:rPr>
                <w:rFonts w:ascii="仿宋_GB2312" w:hAnsi="仿宋_GB2312" w:eastAsia="仿宋_GB2312" w:cs="仿宋_GB2312"/>
                <w:sz w:val="24"/>
              </w:rPr>
              <w:t>总产量</w:t>
            </w:r>
          </w:p>
        </w:tc>
        <w:tc>
          <w:tcPr>
            <w:tcW w:w="845" w:type="dxa"/>
            <w:noWrap w:val="0"/>
            <w:vAlign w:val="center"/>
          </w:tcPr>
          <w:p>
            <w:pPr>
              <w:ind w:firstLine="0" w:firstLineChars="0"/>
              <w:jc w:val="both"/>
              <w:rPr>
                <w:rFonts w:hint="default" w:ascii="Times New Roman" w:hAnsi="Times New Roman" w:eastAsia="仿宋_GB2312" w:cs="Times New Roman"/>
                <w:sz w:val="24"/>
              </w:rPr>
            </w:pPr>
            <w:r>
              <w:rPr>
                <w:rFonts w:hint="default" w:ascii="Times New Roman" w:hAnsi="Times New Roman" w:eastAsia="仿宋_GB2312" w:cs="Times New Roman"/>
                <w:sz w:val="24"/>
              </w:rPr>
              <w:t>吨</w:t>
            </w:r>
          </w:p>
        </w:tc>
        <w:tc>
          <w:tcPr>
            <w:tcW w:w="1173"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5</w:t>
            </w:r>
            <w:r>
              <w:rPr>
                <w:rFonts w:hint="default" w:ascii="Times New Roman" w:hAnsi="Times New Roman" w:eastAsia="仿宋_GB2312" w:cs="Times New Roman"/>
                <w:sz w:val="24"/>
                <w:lang w:val="en-US" w:eastAsia="zh-CN"/>
              </w:rPr>
              <w:t>643</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4</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1</w:t>
            </w:r>
            <w:r>
              <w:rPr>
                <w:rFonts w:hint="default" w:ascii="Times New Roman" w:hAnsi="Times New Roman" w:eastAsia="仿宋_GB2312" w:cs="Times New Roman"/>
                <w:sz w:val="24"/>
                <w:lang w:val="en-US" w:eastAsia="zh-CN"/>
              </w:rPr>
              <w:t>1714</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4</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2</w:t>
            </w:r>
            <w:r>
              <w:rPr>
                <w:rFonts w:hint="default" w:ascii="Times New Roman" w:hAnsi="Times New Roman" w:eastAsia="仿宋_GB2312" w:cs="Times New Roman"/>
                <w:sz w:val="24"/>
                <w:lang w:val="en-US" w:eastAsia="zh-CN"/>
              </w:rPr>
              <w:t>1</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44" w:type="dxa"/>
            <w:gridSpan w:val="2"/>
            <w:noWrap w:val="0"/>
            <w:vAlign w:val="center"/>
          </w:tcPr>
          <w:p>
            <w:pPr>
              <w:spacing w:line="360" w:lineRule="exact"/>
              <w:ind w:firstLine="240" w:firstLineChars="100"/>
              <w:rPr>
                <w:rFonts w:hint="default" w:ascii="仿宋_GB2312" w:hAnsi="仿宋_GB2312" w:eastAsia="仿宋_GB2312" w:cs="仿宋_GB2312"/>
                <w:sz w:val="24"/>
                <w:lang w:val="en-US"/>
              </w:rPr>
            </w:pPr>
            <w:r>
              <w:rPr>
                <w:rFonts w:ascii="仿宋_GB2312" w:hAnsi="仿宋_GB2312" w:eastAsia="仿宋_GB2312" w:cs="仿宋_GB2312"/>
                <w:sz w:val="24"/>
                <w:lang w:val="en-US"/>
              </w:rPr>
              <w:t>禽蛋产量</w:t>
            </w:r>
          </w:p>
        </w:tc>
        <w:tc>
          <w:tcPr>
            <w:tcW w:w="845" w:type="dxa"/>
            <w:noWrap w:val="0"/>
            <w:vAlign w:val="center"/>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rPr>
              <w:t>吨</w:t>
            </w:r>
          </w:p>
        </w:tc>
        <w:tc>
          <w:tcPr>
            <w:tcW w:w="1173"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474</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rPr>
              <w:t>16</w:t>
            </w:r>
            <w:r>
              <w:rPr>
                <w:rFonts w:hint="default" w:ascii="Times New Roman" w:hAnsi="Times New Roman" w:eastAsia="仿宋_GB2312" w:cs="Times New Roman"/>
                <w:sz w:val="24"/>
                <w:lang w:val="en-US" w:eastAsia="zh-CN"/>
              </w:rPr>
              <w:t>10</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3</w:t>
            </w:r>
          </w:p>
        </w:tc>
        <w:tc>
          <w:tcPr>
            <w:tcW w:w="1763" w:type="dxa"/>
            <w:noWrap w:val="0"/>
            <w:vAlign w:val="center"/>
          </w:tcPr>
          <w:p>
            <w:pPr>
              <w:ind w:firstLine="480"/>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47</w:t>
            </w:r>
            <w:r>
              <w:rPr>
                <w:rFonts w:hint="default" w:ascii="Times New Roman" w:hAnsi="Times New Roman" w:eastAsia="仿宋_GB2312" w:cs="Times New Roman"/>
                <w:sz w:val="24"/>
                <w:lang w:val="en-US"/>
              </w:rPr>
              <w:t>.</w:t>
            </w:r>
            <w:r>
              <w:rPr>
                <w:rFonts w:hint="default" w:ascii="Times New Roman" w:hAnsi="Times New Roman" w:eastAsia="仿宋_GB2312" w:cs="Times New Roman"/>
                <w:sz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844" w:type="dxa"/>
            <w:gridSpan w:val="2"/>
            <w:noWrap w:val="0"/>
            <w:vAlign w:val="center"/>
          </w:tcPr>
          <w:p>
            <w:pPr>
              <w:spacing w:line="360" w:lineRule="exact"/>
              <w:ind w:firstLine="240" w:firstLineChars="100"/>
              <w:rPr>
                <w:rFonts w:hint="default" w:ascii="仿宋_GB2312" w:hAnsi="仿宋_GB2312" w:eastAsia="仿宋_GB2312" w:cs="仿宋_GB2312"/>
                <w:kern w:val="2"/>
                <w:sz w:val="24"/>
                <w:lang w:val="en-US"/>
              </w:rPr>
            </w:pPr>
            <w:r>
              <w:rPr>
                <w:rFonts w:ascii="仿宋_GB2312" w:hAnsi="仿宋_GB2312" w:eastAsia="仿宋_GB2312" w:cs="仿宋_GB2312"/>
                <w:sz w:val="24"/>
                <w:lang w:val="en-US"/>
              </w:rPr>
              <w:t>牛奶产量</w:t>
            </w:r>
          </w:p>
        </w:tc>
        <w:tc>
          <w:tcPr>
            <w:tcW w:w="845" w:type="dxa"/>
            <w:noWrap w:val="0"/>
            <w:vAlign w:val="center"/>
          </w:tcPr>
          <w:p>
            <w:pPr>
              <w:ind w:firstLine="0" w:firstLineChars="0"/>
              <w:jc w:val="both"/>
              <w:rPr>
                <w:rFonts w:hint="default" w:ascii="Times New Roman" w:hAnsi="Times New Roman" w:eastAsia="仿宋_GB2312" w:cs="Times New Roman"/>
                <w:kern w:val="2"/>
                <w:sz w:val="24"/>
                <w:lang w:val="en-US"/>
              </w:rPr>
            </w:pPr>
            <w:r>
              <w:rPr>
                <w:rFonts w:hint="default" w:ascii="Times New Roman" w:hAnsi="Times New Roman" w:eastAsia="仿宋_GB2312" w:cs="Times New Roman"/>
                <w:sz w:val="24"/>
                <w:lang w:val="en-US"/>
              </w:rPr>
              <w:t>吨</w:t>
            </w:r>
          </w:p>
        </w:tc>
        <w:tc>
          <w:tcPr>
            <w:tcW w:w="1173" w:type="dxa"/>
            <w:noWrap w:val="0"/>
            <w:vAlign w:val="center"/>
          </w:tcPr>
          <w:p>
            <w:pPr>
              <w:ind w:firstLine="0" w:firstLineChars="0"/>
              <w:jc w:val="both"/>
              <w:rPr>
                <w:rFonts w:hint="default" w:ascii="Times New Roman" w:hAnsi="Times New Roman" w:eastAsia="仿宋_GB2312" w:cs="Times New Roman"/>
                <w:sz w:val="24"/>
                <w:lang w:val="en-US"/>
              </w:rPr>
            </w:pPr>
            <w:r>
              <w:rPr>
                <w:rFonts w:hint="default" w:ascii="Times New Roman" w:hAnsi="Times New Roman" w:eastAsia="仿宋_GB2312" w:cs="Times New Roman"/>
                <w:sz w:val="24"/>
                <w:lang w:val="en-US"/>
              </w:rPr>
              <w:t>0</w:t>
            </w:r>
          </w:p>
        </w:tc>
        <w:tc>
          <w:tcPr>
            <w:tcW w:w="1200" w:type="dxa"/>
            <w:noWrap w:val="0"/>
            <w:vAlign w:val="center"/>
          </w:tcPr>
          <w:p>
            <w:pPr>
              <w:ind w:firstLine="0" w:firstLineChars="0"/>
              <w:jc w:val="both"/>
              <w:rPr>
                <w:rFonts w:hint="default" w:ascii="Times New Roman" w:hAnsi="Times New Roman" w:eastAsia="仿宋_GB2312" w:cs="Times New Roman"/>
                <w:sz w:val="24"/>
                <w:lang w:val="en-US" w:eastAsia="zh-CN"/>
              </w:rPr>
            </w:pPr>
            <w:r>
              <w:rPr>
                <w:rFonts w:hint="default" w:ascii="Times New Roman" w:hAnsi="Times New Roman" w:eastAsia="仿宋_GB2312" w:cs="Times New Roman"/>
                <w:sz w:val="24"/>
                <w:lang w:val="en-US" w:eastAsia="zh-CN"/>
              </w:rPr>
              <w:t>26</w:t>
            </w:r>
          </w:p>
        </w:tc>
        <w:tc>
          <w:tcPr>
            <w:tcW w:w="1763" w:type="dxa"/>
            <w:noWrap w:val="0"/>
            <w:vAlign w:val="center"/>
          </w:tcPr>
          <w:p>
            <w:pPr>
              <w:ind w:firstLine="480"/>
              <w:jc w:val="center"/>
              <w:rPr>
                <w:rFonts w:hint="default" w:ascii="Times New Roman" w:hAnsi="Times New Roman" w:eastAsia="仿宋_GB2312" w:cs="Times New Roman"/>
                <w:sz w:val="24"/>
                <w:lang w:val="en-US"/>
              </w:rPr>
            </w:pPr>
          </w:p>
        </w:tc>
      </w:tr>
    </w:tbl>
    <w:p>
      <w:pPr>
        <w:numPr>
          <w:ilvl w:val="0"/>
          <w:numId w:val="3"/>
        </w:numPr>
        <w:spacing w:line="360" w:lineRule="auto"/>
        <w:ind w:firstLine="602"/>
        <w:outlineLvl w:val="1"/>
        <w:rPr>
          <w:rFonts w:ascii="仿宋_GB2312" w:eastAsia="仿宋_GB2312"/>
          <w:b/>
          <w:sz w:val="30"/>
          <w:szCs w:val="30"/>
        </w:rPr>
      </w:pPr>
      <w:bookmarkStart w:id="61" w:name="_Toc7131"/>
      <w:bookmarkStart w:id="62" w:name="_Toc59656403"/>
      <w:bookmarkStart w:id="63" w:name="_Toc14438"/>
      <w:bookmarkStart w:id="64" w:name="_Toc3470"/>
      <w:bookmarkStart w:id="65" w:name="_Toc31993"/>
      <w:bookmarkStart w:id="66" w:name="_Toc19121"/>
      <w:r>
        <w:rPr>
          <w:rFonts w:ascii="仿宋_GB2312" w:eastAsia="仿宋_GB2312"/>
          <w:b/>
          <w:sz w:val="30"/>
          <w:szCs w:val="30"/>
        </w:rPr>
        <w:t>提质增效实现新突破</w:t>
      </w:r>
      <w:bookmarkEnd w:id="61"/>
      <w:bookmarkEnd w:id="62"/>
      <w:bookmarkEnd w:id="63"/>
      <w:bookmarkEnd w:id="64"/>
      <w:bookmarkStart w:id="67" w:name="_Toc59656404"/>
    </w:p>
    <w:p>
      <w:pPr>
        <w:spacing w:line="360" w:lineRule="auto"/>
        <w:ind w:firstLine="560"/>
        <w:outlineLvl w:val="1"/>
        <w:rPr>
          <w:rFonts w:hint="default" w:ascii="仿宋_GB2312" w:eastAsia="仿宋_GB2312"/>
          <w:szCs w:val="28"/>
          <w:lang w:val="en-US"/>
        </w:rPr>
      </w:pPr>
      <w:bookmarkStart w:id="68" w:name="_Toc29010"/>
      <w:bookmarkStart w:id="69" w:name="_Toc25436"/>
      <w:bookmarkStart w:id="70" w:name="_Toc27003"/>
      <w:bookmarkStart w:id="71" w:name="_Toc5837"/>
      <w:bookmarkStart w:id="72" w:name="_Toc32607"/>
      <w:bookmarkStart w:id="73" w:name="_Toc3020"/>
      <w:bookmarkStart w:id="74" w:name="_Toc97"/>
      <w:bookmarkStart w:id="75" w:name="_Toc8075"/>
      <w:r>
        <w:rPr>
          <w:rFonts w:ascii="仿宋_GB2312" w:eastAsia="仿宋_GB2312"/>
          <w:szCs w:val="28"/>
          <w:lang w:val="en-US"/>
        </w:rPr>
        <w:t>随着供给侧改革稳步推进，建宁县畜牧业围绕“保安全、保供给、保生态”中心任务，加快推进防疫监管、品牌培育和应急供应基地建设，全面推进畜牧业提质增效、转型发展。全县大力推进畜牧业业态融合和品牌建设，建设一批特色精品畜牧业龙头示范企业。</w:t>
      </w:r>
      <w:r>
        <w:rPr>
          <w:rFonts w:hint="default" w:ascii="Times New Roman" w:hAnsi="Times New Roman" w:eastAsia="仿宋_GB2312" w:cs="Times New Roman"/>
          <w:szCs w:val="28"/>
          <w:lang w:val="en-US"/>
        </w:rPr>
        <w:t>2018年建宁县以奶业为主导产业的现代畜禽产业园列入首批市级现代农业产业园创建名单。</w:t>
      </w:r>
      <w:r>
        <w:rPr>
          <w:rFonts w:hint="default" w:ascii="Times New Roman" w:hAnsi="Times New Roman" w:eastAsia="仿宋_GB2312" w:cs="Times New Roman"/>
          <w:szCs w:val="28"/>
        </w:rPr>
        <w:t>明一</w:t>
      </w:r>
      <w:r>
        <w:rPr>
          <w:rFonts w:hint="default" w:ascii="Times New Roman" w:hAnsi="Times New Roman" w:eastAsia="仿宋_GB2312" w:cs="Times New Roman"/>
          <w:szCs w:val="28"/>
          <w:lang w:val="en-US"/>
        </w:rPr>
        <w:t>国际建宁加工产业园拥有乳粉生产线5条，液态奶生产线7条，年可加工乳粉2.5万吨、液态奶6万吨。乳品加工厂被评为省专精特新企业、科技小巨人企业、省绿色工厂等荣誉称号。2020年我县生猪存栏7.0万头，出栏11.5万头</w:t>
      </w:r>
      <w:r>
        <w:rPr>
          <w:rFonts w:hint="default" w:ascii="Times New Roman" w:hAnsi="Times New Roman" w:eastAsia="仿宋_GB2312" w:cs="Times New Roman"/>
          <w:szCs w:val="28"/>
        </w:rPr>
        <w:t>，</w:t>
      </w:r>
      <w:r>
        <w:rPr>
          <w:rFonts w:hint="default" w:ascii="Times New Roman" w:hAnsi="Times New Roman" w:eastAsia="仿宋_GB2312" w:cs="Times New Roman"/>
          <w:szCs w:val="28"/>
          <w:lang w:val="en-US"/>
        </w:rPr>
        <w:t>存栏6.5</w:t>
      </w:r>
      <w:r>
        <w:rPr>
          <w:rFonts w:hint="default" w:ascii="Times New Roman" w:hAnsi="Times New Roman" w:eastAsia="仿宋_GB2312" w:cs="Times New Roman"/>
          <w:szCs w:val="28"/>
        </w:rPr>
        <w:t>万羽蛋禽。实现全县</w:t>
      </w:r>
      <w:r>
        <w:rPr>
          <w:rFonts w:hint="default" w:ascii="Times New Roman" w:hAnsi="Times New Roman" w:eastAsia="仿宋_GB2312" w:cs="Times New Roman"/>
          <w:szCs w:val="28"/>
          <w:lang w:val="en-US" w:eastAsia="zh-CN"/>
        </w:rPr>
        <w:t>畜禽</w:t>
      </w:r>
      <w:r>
        <w:rPr>
          <w:rFonts w:hint="default" w:ascii="Times New Roman" w:hAnsi="Times New Roman" w:eastAsia="仿宋_GB2312" w:cs="Times New Roman"/>
          <w:szCs w:val="28"/>
        </w:rPr>
        <w:t>产品供需平衡，构建起产业区域布局合理、产业结构优化、特色优势明显、产品优质安全、竞争能力强、与自然环境协调发展的现代</w:t>
      </w:r>
      <w:r>
        <w:rPr>
          <w:rFonts w:ascii="仿宋_GB2312" w:hAnsi="仿宋_GB2312" w:eastAsia="仿宋_GB2312" w:cs="仿宋_GB2312"/>
          <w:szCs w:val="28"/>
          <w:lang w:val="en-US"/>
        </w:rPr>
        <w:t>畜牧</w:t>
      </w:r>
      <w:r>
        <w:rPr>
          <w:rFonts w:ascii="仿宋_GB2312" w:hAnsi="仿宋_GB2312" w:eastAsia="仿宋_GB2312" w:cs="仿宋_GB2312"/>
          <w:szCs w:val="28"/>
        </w:rPr>
        <w:t>产业发展新格局。</w:t>
      </w:r>
      <w:bookmarkEnd w:id="65"/>
      <w:bookmarkEnd w:id="67"/>
      <w:bookmarkEnd w:id="68"/>
      <w:bookmarkEnd w:id="69"/>
      <w:bookmarkEnd w:id="70"/>
      <w:bookmarkEnd w:id="71"/>
      <w:bookmarkEnd w:id="72"/>
      <w:bookmarkEnd w:id="73"/>
      <w:bookmarkEnd w:id="74"/>
      <w:bookmarkEnd w:id="75"/>
    </w:p>
    <w:p>
      <w:pPr>
        <w:spacing w:line="540" w:lineRule="exact"/>
        <w:ind w:firstLine="602"/>
        <w:outlineLvl w:val="1"/>
        <w:rPr>
          <w:rFonts w:hint="default" w:ascii="仿宋_GB2312" w:eastAsia="仿宋_GB2312"/>
          <w:b/>
          <w:color w:val="FF0000"/>
          <w:sz w:val="30"/>
          <w:szCs w:val="30"/>
          <w:lang w:val="en-US"/>
        </w:rPr>
      </w:pPr>
      <w:bookmarkStart w:id="76" w:name="_Toc14385"/>
      <w:bookmarkStart w:id="77" w:name="_Toc3710"/>
      <w:bookmarkStart w:id="78" w:name="_Toc9406"/>
      <w:r>
        <w:rPr>
          <w:rFonts w:ascii="仿宋_GB2312" w:eastAsia="仿宋_GB2312"/>
          <w:b/>
          <w:sz w:val="30"/>
          <w:szCs w:val="30"/>
        </w:rPr>
        <w:t>（四）</w:t>
      </w:r>
      <w:r>
        <w:rPr>
          <w:rFonts w:ascii="仿宋_GB2312" w:eastAsia="仿宋_GB2312"/>
          <w:b/>
          <w:sz w:val="30"/>
          <w:szCs w:val="30"/>
          <w:lang w:val="en-US"/>
        </w:rPr>
        <w:t>非洲猪瘟等</w:t>
      </w:r>
      <w:r>
        <w:rPr>
          <w:rFonts w:ascii="仿宋_GB2312" w:eastAsia="仿宋_GB2312"/>
          <w:b/>
          <w:sz w:val="30"/>
          <w:szCs w:val="30"/>
        </w:rPr>
        <w:t>疫病防控</w:t>
      </w:r>
      <w:bookmarkEnd w:id="66"/>
      <w:r>
        <w:rPr>
          <w:rFonts w:ascii="仿宋_GB2312" w:eastAsia="仿宋_GB2312"/>
          <w:b/>
          <w:sz w:val="30"/>
          <w:szCs w:val="30"/>
          <w:lang w:val="en-US"/>
        </w:rPr>
        <w:t>科学有效</w:t>
      </w:r>
      <w:bookmarkEnd w:id="76"/>
      <w:bookmarkEnd w:id="77"/>
      <w:bookmarkEnd w:id="78"/>
    </w:p>
    <w:p>
      <w:pPr>
        <w:spacing w:line="540" w:lineRule="exact"/>
        <w:ind w:firstLine="560"/>
        <w:rPr>
          <w:rFonts w:eastAsia="仿宋"/>
          <w:sz w:val="30"/>
          <w:szCs w:val="30"/>
          <w:shd w:val="clear" w:color="auto" w:fill="FFFFFF"/>
        </w:rPr>
      </w:pPr>
      <w:r>
        <w:rPr>
          <w:rFonts w:eastAsia="仿宋"/>
          <w:szCs w:val="28"/>
          <w:shd w:val="clear" w:color="auto" w:fill="FFFFFF"/>
        </w:rPr>
        <w:t>“十三五”期间，全县基本建成动物疫病监测、预警和防控体系，开展了生猪养殖生物安全提升专项行动，围绕“人、车、猪、肉、料”重点环节构建了闭环防控链条，实行生猪调动“点对点、批批检”，对每批次运出的猪进行监测，确保安全。县重大动物疫病防控指挥部</w:t>
      </w:r>
      <w:r>
        <w:rPr>
          <w:rFonts w:hint="eastAsia" w:eastAsia="仿宋"/>
          <w:szCs w:val="28"/>
          <w:shd w:val="clear" w:color="auto" w:fill="FFFFFF"/>
          <w:lang w:val="en-US" w:eastAsia="zh-CN"/>
        </w:rPr>
        <w:t>直接</w:t>
      </w:r>
      <w:r>
        <w:rPr>
          <w:rFonts w:eastAsia="仿宋"/>
          <w:szCs w:val="28"/>
          <w:shd w:val="clear" w:color="auto" w:fill="FFFFFF"/>
        </w:rPr>
        <w:t>部署工作，各级各部门统一思想认识，按照各自的职责分工，认真抓好各项防控措施的落实。一是做好生猪养殖情况和疫情防控薄弱环节的隐患排查，摸清情况，找准工作重点。二是做好防堵工作。重点抓好生猪及其产品流通领域的管控，把好“生猪准调”审批、检疫监管、省际边境检查值班、市场巡查等关口。三是做好应急准备。做好值班值守，保证通信畅通</w:t>
      </w:r>
      <w:r>
        <w:rPr>
          <w:rFonts w:eastAsia="仿宋"/>
          <w:szCs w:val="28"/>
          <w:shd w:val="clear" w:color="auto" w:fill="FFFFFF"/>
          <w:lang w:val="en-US"/>
        </w:rPr>
        <w:t>和</w:t>
      </w:r>
      <w:r>
        <w:rPr>
          <w:rFonts w:eastAsia="仿宋"/>
          <w:szCs w:val="28"/>
          <w:shd w:val="clear" w:color="auto" w:fill="FFFFFF"/>
        </w:rPr>
        <w:t>防疫物资的应急储备，以备不时之需。四是做好科普和宣传引导工作，即要做到科学防控，又要避免引起社会恐慌。</w:t>
      </w:r>
      <w:r>
        <w:rPr>
          <w:rFonts w:eastAsia="仿宋"/>
          <w:szCs w:val="28"/>
          <w:shd w:val="clear" w:color="auto" w:fill="FFFFFF"/>
          <w:lang w:val="en-US"/>
        </w:rPr>
        <w:t>另外</w:t>
      </w:r>
      <w:r>
        <w:rPr>
          <w:rFonts w:eastAsia="仿宋"/>
          <w:szCs w:val="28"/>
          <w:shd w:val="clear" w:color="auto" w:fill="FFFFFF"/>
        </w:rPr>
        <w:t>从“种、场”两个层次入手，重点抓好种畜禽场主要疫病净化，未发生</w:t>
      </w:r>
      <w:r>
        <w:rPr>
          <w:rFonts w:eastAsia="仿宋"/>
          <w:szCs w:val="28"/>
          <w:shd w:val="clear" w:color="auto" w:fill="FFFFFF"/>
          <w:lang w:val="en-US"/>
        </w:rPr>
        <w:t>高致病性禽流感、口蹄疫和小反刍兽疫等</w:t>
      </w:r>
      <w:r>
        <w:rPr>
          <w:rFonts w:eastAsia="仿宋"/>
          <w:szCs w:val="28"/>
          <w:shd w:val="clear" w:color="auto" w:fill="FFFFFF"/>
        </w:rPr>
        <w:t>重大动物疫情。</w:t>
      </w:r>
    </w:p>
    <w:p>
      <w:pPr>
        <w:pStyle w:val="14"/>
        <w:tabs>
          <w:tab w:val="right" w:leader="dot" w:pos="8296"/>
        </w:tabs>
        <w:spacing w:before="156" w:beforeLines="50" w:after="156" w:afterLines="50" w:line="240" w:lineRule="auto"/>
        <w:ind w:firstLine="602"/>
        <w:outlineLvl w:val="1"/>
        <w:rPr>
          <w:b/>
          <w:bCs/>
          <w:sz w:val="30"/>
          <w:szCs w:val="30"/>
        </w:rPr>
      </w:pPr>
      <w:bookmarkStart w:id="79" w:name="_Toc23830"/>
      <w:bookmarkStart w:id="80" w:name="_Toc29235"/>
      <w:bookmarkStart w:id="81" w:name="_Toc268"/>
    </w:p>
    <w:p>
      <w:pPr>
        <w:pStyle w:val="14"/>
        <w:tabs>
          <w:tab w:val="right" w:leader="dot" w:pos="8296"/>
        </w:tabs>
        <w:spacing w:before="156" w:beforeLines="50" w:after="156" w:afterLines="50" w:line="240" w:lineRule="auto"/>
        <w:ind w:firstLine="602"/>
        <w:outlineLvl w:val="1"/>
        <w:rPr>
          <w:b/>
          <w:bCs/>
          <w:sz w:val="30"/>
          <w:szCs w:val="30"/>
        </w:rPr>
      </w:pPr>
      <w:r>
        <w:rPr>
          <w:b/>
          <w:bCs/>
          <w:sz w:val="30"/>
          <w:szCs w:val="30"/>
        </w:rPr>
        <w:t>二、畜牧业发展的有利条件</w:t>
      </w:r>
      <w:bookmarkEnd w:id="79"/>
      <w:bookmarkEnd w:id="80"/>
      <w:bookmarkEnd w:id="81"/>
    </w:p>
    <w:p>
      <w:pPr>
        <w:spacing w:line="360" w:lineRule="auto"/>
        <w:ind w:firstLine="602"/>
        <w:outlineLvl w:val="1"/>
        <w:rPr>
          <w:rFonts w:ascii="仿宋_GB2312" w:eastAsia="仿宋_GB2312"/>
          <w:b/>
          <w:sz w:val="30"/>
          <w:szCs w:val="30"/>
        </w:rPr>
      </w:pPr>
      <w:bookmarkStart w:id="82" w:name="_Toc9734"/>
      <w:bookmarkStart w:id="83" w:name="_Toc14158"/>
      <w:bookmarkStart w:id="84" w:name="_Toc5600"/>
      <w:bookmarkStart w:id="85" w:name="_Toc59656409"/>
      <w:bookmarkStart w:id="86" w:name="_Toc15543"/>
      <w:r>
        <w:rPr>
          <w:rFonts w:ascii="仿宋_GB2312" w:eastAsia="仿宋_GB2312"/>
          <w:b/>
          <w:sz w:val="30"/>
          <w:szCs w:val="30"/>
        </w:rPr>
        <w:t>（一）乡村振兴战略带来新机遇</w:t>
      </w:r>
      <w:bookmarkEnd w:id="82"/>
      <w:bookmarkEnd w:id="83"/>
      <w:bookmarkEnd w:id="84"/>
      <w:bookmarkEnd w:id="85"/>
      <w:bookmarkStart w:id="87" w:name="_Toc59656410"/>
    </w:p>
    <w:p>
      <w:pPr>
        <w:spacing w:line="360" w:lineRule="auto"/>
        <w:ind w:firstLine="560"/>
        <w:outlineLvl w:val="1"/>
        <w:rPr>
          <w:rFonts w:ascii="仿宋_GB2312" w:eastAsia="仿宋_GB2312"/>
          <w:szCs w:val="28"/>
        </w:rPr>
      </w:pPr>
      <w:bookmarkStart w:id="88" w:name="_Toc31220"/>
      <w:bookmarkStart w:id="89" w:name="_Toc20194"/>
      <w:bookmarkStart w:id="90" w:name="_Toc26669"/>
      <w:bookmarkStart w:id="91" w:name="_Toc158"/>
      <w:bookmarkStart w:id="92" w:name="_Toc18862"/>
      <w:bookmarkStart w:id="93" w:name="_Toc24236"/>
      <w:bookmarkStart w:id="94" w:name="_Toc2590"/>
      <w:bookmarkStart w:id="95" w:name="_Toc5376"/>
      <w:r>
        <w:rPr>
          <w:rFonts w:ascii="仿宋_GB2312" w:eastAsia="仿宋_GB2312"/>
          <w:szCs w:val="28"/>
        </w:rPr>
        <w:t>“十三五”以来，国家和省政府不断出台政策，为规范、支持引导畜牧业发展提供重要支撑。2019年以来为稳定畜牧业特别是生猪生产，国家出台《国务院办公厅关于稳定生猪生产促进转型升级的意见》等文件；福建省和</w:t>
      </w:r>
      <w:r>
        <w:rPr>
          <w:rFonts w:ascii="仿宋_GB2312" w:eastAsia="仿宋_GB2312"/>
          <w:szCs w:val="28"/>
          <w:lang w:val="en-US"/>
        </w:rPr>
        <w:t>三明</w:t>
      </w:r>
      <w:r>
        <w:rPr>
          <w:rFonts w:ascii="仿宋_GB2312" w:eastAsia="仿宋_GB2312"/>
          <w:szCs w:val="28"/>
        </w:rPr>
        <w:t>市也出台一系列政策文件，加大对畜牧业特别是生猪生产的支持。国家及地方系列政策的出台，一方面进一步规范行业发展，为产业转型升级、科学布局、完善产业体系、强化配套服务提供指引；另一方面，释放政策红利与积极信号，提振生产经营者的信心，促进产业内生动力的形成。新时期，全面实施乡村振兴和坚持农业农村优先发展，为现代畜牧业振兴和发展提供了良好发展机遇。产业兴旺是乡村振兴的重点，围绕大力推进乡村产业振兴，加快促进农业发展方式转变，吸引更多资源要素进入农业农村，提升建宁县乡村产业发展质量和效益，保持农民持续较快增收。特别是在当前宏观经济下行压力加大背景下，必须依托产业发展，多渠道促进农民持续增收，在推动乡村一二三产业融合发展的背景下，畜牧生产、加工、销售、流通、服务等环节都将发生诸多转变。</w:t>
      </w:r>
      <w:bookmarkEnd w:id="86"/>
      <w:bookmarkEnd w:id="87"/>
      <w:bookmarkEnd w:id="88"/>
      <w:bookmarkEnd w:id="89"/>
      <w:bookmarkEnd w:id="90"/>
      <w:bookmarkEnd w:id="91"/>
      <w:bookmarkEnd w:id="92"/>
      <w:bookmarkEnd w:id="93"/>
      <w:bookmarkEnd w:id="94"/>
      <w:bookmarkEnd w:id="95"/>
    </w:p>
    <w:p>
      <w:pPr>
        <w:spacing w:line="360" w:lineRule="auto"/>
        <w:ind w:firstLine="602"/>
        <w:outlineLvl w:val="1"/>
        <w:rPr>
          <w:rFonts w:ascii="仿宋_GB2312" w:eastAsia="仿宋_GB2312"/>
          <w:b/>
          <w:sz w:val="30"/>
          <w:szCs w:val="30"/>
        </w:rPr>
      </w:pPr>
      <w:bookmarkStart w:id="96" w:name="_Toc27439"/>
      <w:bookmarkStart w:id="97" w:name="_Toc21302"/>
      <w:bookmarkStart w:id="98" w:name="_Toc28357"/>
      <w:bookmarkStart w:id="99" w:name="_Toc59656411"/>
      <w:bookmarkStart w:id="100" w:name="_Toc27461"/>
      <w:r>
        <w:rPr>
          <w:rFonts w:ascii="仿宋_GB2312" w:eastAsia="仿宋_GB2312"/>
          <w:b/>
          <w:sz w:val="30"/>
          <w:szCs w:val="30"/>
        </w:rPr>
        <w:t>（二）政策环境不断优化</w:t>
      </w:r>
      <w:bookmarkEnd w:id="96"/>
    </w:p>
    <w:p>
      <w:pPr>
        <w:spacing w:line="540" w:lineRule="exact"/>
        <w:ind w:firstLine="560"/>
        <w:rPr>
          <w:rFonts w:ascii="仿宋_GB2312" w:eastAsia="仿宋_GB2312"/>
          <w:szCs w:val="28"/>
        </w:rPr>
      </w:pPr>
      <w:r>
        <w:rPr>
          <w:rFonts w:ascii="仿宋_GB2312" w:eastAsia="仿宋_GB2312"/>
          <w:szCs w:val="28"/>
        </w:rPr>
        <w:t>2018年非洲猪瘟疫情发生以来，国家、福建省先后出台了多项促进以生猪为主的畜禽产业转型升级和生产保障的政策措施，在财政金融、养殖用地、依法治牧等方面给予了强力政策支持；在标准化规模养殖、核心产能培育、疫病防控、冷链物流体系建设、屠宰行业提档升级、废弃物资源化利用等方面给予了明确的政策指向。2020年，国务院办公厅印发了《关于促进畜牧业高质量发展的意见》，福建省办公厅也印发了《关于促进畜牧业高质量发展实施方案》，为未来畜牧业实现高质量发展指明发展方向、重点与目标。</w:t>
      </w:r>
    </w:p>
    <w:bookmarkEnd w:id="97"/>
    <w:bookmarkEnd w:id="98"/>
    <w:bookmarkEnd w:id="99"/>
    <w:bookmarkEnd w:id="100"/>
    <w:p>
      <w:pPr>
        <w:spacing w:line="360" w:lineRule="auto"/>
        <w:ind w:firstLine="602"/>
        <w:outlineLvl w:val="1"/>
        <w:rPr>
          <w:rFonts w:ascii="仿宋_GB2312" w:eastAsia="仿宋_GB2312"/>
          <w:b/>
          <w:sz w:val="30"/>
          <w:szCs w:val="30"/>
        </w:rPr>
      </w:pPr>
      <w:bookmarkStart w:id="101" w:name="_Toc59656413"/>
      <w:bookmarkStart w:id="102" w:name="_Toc3764"/>
      <w:r>
        <w:rPr>
          <w:rFonts w:ascii="仿宋_GB2312" w:eastAsia="仿宋_GB2312"/>
          <w:b/>
          <w:sz w:val="30"/>
          <w:szCs w:val="30"/>
        </w:rPr>
        <w:t>（三）</w:t>
      </w:r>
      <w:bookmarkEnd w:id="101"/>
      <w:bookmarkStart w:id="103" w:name="_Toc59656415"/>
      <w:r>
        <w:rPr>
          <w:rFonts w:ascii="仿宋_GB2312" w:eastAsia="仿宋_GB2312"/>
          <w:b/>
          <w:sz w:val="30"/>
          <w:szCs w:val="30"/>
        </w:rPr>
        <w:t>技术转型速度加快</w:t>
      </w:r>
      <w:bookmarkEnd w:id="102"/>
    </w:p>
    <w:p>
      <w:pPr>
        <w:spacing w:line="540" w:lineRule="exact"/>
        <w:ind w:firstLine="560"/>
        <w:rPr>
          <w:rFonts w:ascii="仿宋_GB2312" w:eastAsia="仿宋_GB2312"/>
          <w:szCs w:val="28"/>
        </w:rPr>
      </w:pPr>
      <w:r>
        <w:rPr>
          <w:rFonts w:ascii="仿宋_GB2312" w:eastAsia="仿宋_GB2312"/>
          <w:szCs w:val="28"/>
        </w:rPr>
        <w:t>畜牧业转型升级步伐加快，先进技术、工艺和装备不断研发和集成应用，强化了畜牧业的科技支撑；畜禽粪污资源化利用和“粮改饲”等的实施优化了种养关系，保护了环境，让绿色发展成为畜牧业现代化的主旋律；饲料全面禁抗、养殖减抗、产品无抗成为畜牧业高质量发展的重要内容；畜禽产品供应不断满足多样化的消费需求，质量安全水平稳步提高。规模化集中饲养大大加快了畜禽产业中先进技术与装备的应用速度，有力提高了畜禽繁育与养殖水平。未来在良种培育、清洁生产、种养循环、疫病防控、质量安全、畜禽养殖废弃物资源化利用等关键环节有望不断取得突破；通过推动实施标准化、规模化、智能化、绿色养殖，提高畜牧生产效率和畜牧用地集约化水平。</w:t>
      </w:r>
    </w:p>
    <w:p>
      <w:pPr>
        <w:spacing w:line="360" w:lineRule="auto"/>
        <w:ind w:firstLine="602"/>
        <w:outlineLvl w:val="1"/>
        <w:rPr>
          <w:rFonts w:ascii="仿宋_GB2312" w:eastAsia="仿宋_GB2312"/>
          <w:b/>
          <w:sz w:val="30"/>
          <w:szCs w:val="30"/>
        </w:rPr>
      </w:pPr>
      <w:bookmarkStart w:id="104" w:name="_Toc19803"/>
      <w:r>
        <w:rPr>
          <w:rFonts w:ascii="仿宋_GB2312" w:eastAsia="仿宋_GB2312"/>
          <w:b/>
          <w:sz w:val="30"/>
          <w:szCs w:val="30"/>
        </w:rPr>
        <w:t>（四）</w:t>
      </w:r>
      <w:bookmarkEnd w:id="103"/>
      <w:r>
        <w:rPr>
          <w:rFonts w:ascii="仿宋_GB2312" w:eastAsia="仿宋_GB2312"/>
          <w:b/>
          <w:sz w:val="30"/>
          <w:szCs w:val="30"/>
        </w:rPr>
        <w:t>消费需求升级带来新拉力</w:t>
      </w:r>
      <w:bookmarkEnd w:id="104"/>
      <w:bookmarkStart w:id="105" w:name="_Toc59656412"/>
    </w:p>
    <w:p>
      <w:pPr>
        <w:spacing w:line="360" w:lineRule="auto"/>
        <w:ind w:firstLine="560"/>
        <w:outlineLvl w:val="1"/>
        <w:rPr>
          <w:rFonts w:hint="default" w:ascii="仿宋_GB2312" w:eastAsia="仿宋_GB2312"/>
          <w:szCs w:val="28"/>
          <w:lang w:val="en-US"/>
        </w:rPr>
      </w:pPr>
      <w:bookmarkStart w:id="106" w:name="_Toc287"/>
      <w:bookmarkStart w:id="107" w:name="_Toc20902"/>
      <w:bookmarkStart w:id="108" w:name="_Toc29918"/>
      <w:bookmarkStart w:id="109" w:name="_Toc11006"/>
      <w:bookmarkStart w:id="110" w:name="_Toc6769"/>
      <w:bookmarkStart w:id="111" w:name="_Toc19636"/>
      <w:bookmarkStart w:id="112" w:name="_Toc517"/>
      <w:bookmarkStart w:id="113" w:name="_Toc14200"/>
      <w:r>
        <w:rPr>
          <w:rFonts w:ascii="仿宋_GB2312" w:eastAsia="仿宋_GB2312"/>
          <w:szCs w:val="28"/>
        </w:rPr>
        <w:t>随着经济发展和人们生活条件改善，对优质、安全、营养和绿色畜禽产品，及休闲度假、旅游观光、农耕体验等休闲畜牧业的需求快速增长，市场潜力巨大，将为推动建宁县农业供给侧结构性改革、促进畜牧业与一二三产业融合发展带来强大新拉力。由于消费结构升级，城乡居民对饮食结构中肉、蛋、奶制品等畜禽产品的需求日益增长，不仅要吃饱，还要吃好，吃得安全放心；不仅要有数量，还要上档次，对优质、特色、绿色畜禽产品消费需求明显增加。尤其在“互联网+”“旅游热”等背景下，消费热点和消费模式的转变使拓展畜牧业发展空间带动力更加巨大。</w:t>
      </w:r>
      <w:bookmarkEnd w:id="105"/>
      <w:r>
        <w:rPr>
          <w:rFonts w:ascii="仿宋_GB2312" w:eastAsia="仿宋_GB2312"/>
          <w:szCs w:val="28"/>
        </w:rPr>
        <w:t>2020年</w:t>
      </w:r>
      <w:r>
        <w:rPr>
          <w:rFonts w:ascii="仿宋_GB2312" w:eastAsia="仿宋_GB2312"/>
          <w:szCs w:val="28"/>
          <w:lang w:val="en-US"/>
        </w:rPr>
        <w:t>建宁县总</w:t>
      </w:r>
      <w:r>
        <w:rPr>
          <w:rFonts w:ascii="仿宋_GB2312" w:eastAsia="仿宋_GB2312"/>
          <w:szCs w:val="28"/>
        </w:rPr>
        <w:t>人</w:t>
      </w:r>
      <w:r>
        <w:rPr>
          <w:rFonts w:ascii="仿宋_GB2312" w:eastAsia="仿宋_GB2312"/>
          <w:szCs w:val="28"/>
          <w:lang w:val="en-US"/>
        </w:rPr>
        <w:t>口</w:t>
      </w:r>
      <w:r>
        <w:rPr>
          <w:rFonts w:eastAsia="仿宋"/>
          <w:szCs w:val="28"/>
          <w:shd w:val="clear" w:color="auto" w:fill="FFFFFF"/>
        </w:rPr>
        <w:t>15.5</w:t>
      </w:r>
      <w:r>
        <w:rPr>
          <w:rFonts w:ascii="仿宋_GB2312" w:eastAsia="仿宋_GB2312"/>
          <w:szCs w:val="28"/>
          <w:lang w:val="en-US"/>
        </w:rPr>
        <w:t>万人，目前肉蛋奶基本满足市民需求，消费发展空间仍然巨大。</w:t>
      </w:r>
      <w:bookmarkEnd w:id="106"/>
      <w:bookmarkEnd w:id="107"/>
      <w:bookmarkEnd w:id="108"/>
      <w:bookmarkEnd w:id="109"/>
      <w:bookmarkEnd w:id="110"/>
      <w:bookmarkEnd w:id="111"/>
      <w:bookmarkEnd w:id="112"/>
      <w:bookmarkEnd w:id="113"/>
    </w:p>
    <w:p>
      <w:pPr>
        <w:pStyle w:val="14"/>
        <w:tabs>
          <w:tab w:val="right" w:leader="dot" w:pos="8296"/>
        </w:tabs>
        <w:spacing w:before="156" w:beforeLines="50" w:after="156" w:afterLines="50" w:line="240" w:lineRule="auto"/>
        <w:ind w:firstLine="602"/>
        <w:outlineLvl w:val="1"/>
        <w:rPr>
          <w:sz w:val="30"/>
          <w:szCs w:val="30"/>
        </w:rPr>
      </w:pPr>
      <w:bookmarkStart w:id="114" w:name="_Toc17087"/>
      <w:bookmarkStart w:id="115" w:name="_Toc31439"/>
      <w:bookmarkStart w:id="116" w:name="_Toc26784"/>
      <w:r>
        <w:rPr>
          <w:b/>
          <w:bCs/>
          <w:sz w:val="30"/>
          <w:szCs w:val="30"/>
        </w:rPr>
        <w:t>三、畜牧业发展面临的挑战</w:t>
      </w:r>
      <w:bookmarkEnd w:id="114"/>
      <w:bookmarkEnd w:id="115"/>
      <w:bookmarkEnd w:id="116"/>
    </w:p>
    <w:p>
      <w:pPr>
        <w:spacing w:line="360" w:lineRule="auto"/>
        <w:ind w:firstLine="602"/>
        <w:outlineLvl w:val="1"/>
        <w:rPr>
          <w:rFonts w:hint="default" w:ascii="仿宋_GB2312" w:eastAsia="仿宋_GB2312"/>
          <w:b/>
          <w:sz w:val="30"/>
          <w:szCs w:val="30"/>
          <w:lang w:val="en-US"/>
        </w:rPr>
      </w:pPr>
      <w:bookmarkStart w:id="117" w:name="_Toc59656417"/>
      <w:bookmarkStart w:id="118" w:name="_Toc26224"/>
      <w:bookmarkStart w:id="119" w:name="_Toc23319"/>
      <w:bookmarkStart w:id="120" w:name="_Toc14802"/>
      <w:bookmarkStart w:id="121" w:name="_Toc21353"/>
      <w:bookmarkStart w:id="122" w:name="_Toc16926"/>
      <w:r>
        <w:rPr>
          <w:rFonts w:ascii="仿宋_GB2312" w:eastAsia="仿宋_GB2312"/>
          <w:b/>
          <w:sz w:val="30"/>
          <w:szCs w:val="30"/>
        </w:rPr>
        <w:t>（一）资源环境约束</w:t>
      </w:r>
      <w:bookmarkEnd w:id="117"/>
      <w:bookmarkStart w:id="123" w:name="_Toc59656418"/>
      <w:r>
        <w:rPr>
          <w:rFonts w:ascii="仿宋_GB2312" w:eastAsia="仿宋_GB2312"/>
          <w:b/>
          <w:sz w:val="30"/>
          <w:szCs w:val="30"/>
          <w:lang w:val="en-US"/>
        </w:rPr>
        <w:t>依然存在</w:t>
      </w:r>
      <w:bookmarkEnd w:id="118"/>
      <w:bookmarkEnd w:id="119"/>
      <w:bookmarkEnd w:id="120"/>
      <w:bookmarkEnd w:id="121"/>
    </w:p>
    <w:p>
      <w:pPr>
        <w:spacing w:line="360" w:lineRule="auto"/>
        <w:ind w:firstLine="560"/>
        <w:outlineLvl w:val="1"/>
        <w:rPr>
          <w:rFonts w:ascii="仿宋_GB2312" w:hAnsi="仿宋" w:eastAsia="仿宋_GB2312"/>
          <w:szCs w:val="28"/>
        </w:rPr>
      </w:pPr>
      <w:bookmarkStart w:id="124" w:name="_Toc19718"/>
      <w:bookmarkStart w:id="125" w:name="_Toc32123"/>
      <w:bookmarkStart w:id="126" w:name="_Toc24183"/>
      <w:bookmarkStart w:id="127" w:name="_Toc14891"/>
      <w:bookmarkStart w:id="128" w:name="_Toc25209"/>
      <w:bookmarkStart w:id="129" w:name="_Toc30765"/>
      <w:bookmarkStart w:id="130" w:name="_Toc5058"/>
      <w:r>
        <w:rPr>
          <w:rFonts w:ascii="仿宋_GB2312" w:eastAsia="仿宋_GB2312"/>
          <w:szCs w:val="28"/>
        </w:rPr>
        <w:t>我县山地丘陵多，平原较少，随着城市规模的不断扩大、工业园区的开发建设、水资源保护区、风景名胜及旅游度假区、基本农田保护区、生态公益林区等区域的划定，导致我县畜禽养殖的空间持续缩减。自然资源部、农业农村部、国家林业和草原局发布了“关于严格耕地用途管制有关问题的通知”。通知明确，严格落实永久基本农田特殊保护制度，严格管控一般耕地转为其他农用地，严格永久基本农田占用与补划，改进和规范建设占用耕地占补平衡，严肃处置违法违规占用耕地问题。现行土地利用总体规划中未明确具体的畜牧用地指标和位置，造成畜牧业发展用地难以落地。同时，随着城镇化扩张，部分畜牧用地被征用，由于目前没有畜牧用地占补平衡机制，用于发展畜牧的土地空间逐渐缩小。</w:t>
      </w:r>
      <w:bookmarkEnd w:id="122"/>
      <w:bookmarkEnd w:id="123"/>
      <w:bookmarkEnd w:id="124"/>
      <w:bookmarkEnd w:id="125"/>
      <w:bookmarkEnd w:id="126"/>
      <w:bookmarkEnd w:id="127"/>
      <w:bookmarkEnd w:id="128"/>
      <w:bookmarkEnd w:id="129"/>
      <w:bookmarkEnd w:id="130"/>
      <w:bookmarkStart w:id="131" w:name="_Toc59656419"/>
    </w:p>
    <w:p>
      <w:pPr>
        <w:spacing w:line="360" w:lineRule="auto"/>
        <w:ind w:firstLine="602"/>
        <w:outlineLvl w:val="1"/>
        <w:rPr>
          <w:rFonts w:hint="default" w:ascii="仿宋_GB2312" w:eastAsia="仿宋_GB2312"/>
          <w:b/>
          <w:sz w:val="30"/>
          <w:szCs w:val="30"/>
          <w:lang w:val="en-US"/>
        </w:rPr>
      </w:pPr>
      <w:bookmarkStart w:id="132" w:name="_Toc11916"/>
      <w:r>
        <w:rPr>
          <w:rFonts w:ascii="仿宋_GB2312" w:eastAsia="仿宋_GB2312"/>
          <w:b/>
          <w:sz w:val="30"/>
          <w:szCs w:val="30"/>
          <w:lang w:val="en-US"/>
        </w:rPr>
        <w:t>（二）</w:t>
      </w:r>
      <w:bookmarkEnd w:id="131"/>
      <w:r>
        <w:rPr>
          <w:rFonts w:ascii="仿宋_GB2312" w:eastAsia="仿宋_GB2312"/>
          <w:b/>
          <w:sz w:val="30"/>
          <w:szCs w:val="30"/>
          <w:lang w:val="en-US"/>
        </w:rPr>
        <w:t>潜在疫病风险</w:t>
      </w:r>
      <w:bookmarkStart w:id="133" w:name="_Toc59656426"/>
      <w:r>
        <w:rPr>
          <w:rFonts w:ascii="仿宋_GB2312" w:eastAsia="仿宋_GB2312"/>
          <w:b/>
          <w:sz w:val="30"/>
          <w:szCs w:val="30"/>
          <w:lang w:val="en-US"/>
        </w:rPr>
        <w:t>依然严峻</w:t>
      </w:r>
      <w:bookmarkEnd w:id="132"/>
    </w:p>
    <w:p>
      <w:pPr>
        <w:snapToGrid w:val="0"/>
        <w:spacing w:line="600" w:lineRule="exact"/>
        <w:ind w:firstLine="560"/>
        <w:rPr>
          <w:rFonts w:ascii="仿宋_GB2312" w:eastAsia="仿宋_GB2312"/>
          <w:szCs w:val="28"/>
        </w:rPr>
      </w:pPr>
      <w:r>
        <w:rPr>
          <w:rFonts w:ascii="仿宋_GB2312" w:eastAsia="仿宋_GB2312"/>
          <w:szCs w:val="28"/>
        </w:rPr>
        <w:t>非洲猪瘟、口蹄疫和禽流感等重大动物疫病在全产业链均有分布，零星发生疫情将成为常态。由于我县每年从外地调入大量活畜和肉类产品，输入性重大动物疫情形势严峻，呈现出多样性、复杂性、经常性的特点，给疫病防控带来巨大压力。在疫情防控严峻的形势下，目前我县生产经营主体生物安全水平和防疫意识参差不齐，防疫体系还存在机构不健全、动物卫生监督机构队伍弱化、防疫力量薄弱等问题，疫病发生的风险隐患和动物疫病防控压力很大。</w:t>
      </w:r>
      <w:bookmarkEnd w:id="133"/>
    </w:p>
    <w:p>
      <w:pPr>
        <w:spacing w:line="360" w:lineRule="auto"/>
        <w:ind w:firstLine="602"/>
        <w:outlineLvl w:val="1"/>
        <w:rPr>
          <w:rFonts w:ascii="仿宋_GB2312" w:eastAsia="仿宋_GB2312"/>
          <w:b/>
          <w:sz w:val="30"/>
          <w:szCs w:val="30"/>
        </w:rPr>
      </w:pPr>
      <w:bookmarkStart w:id="134" w:name="_Toc22798"/>
      <w:bookmarkStart w:id="135" w:name="_Toc22458"/>
      <w:bookmarkStart w:id="136" w:name="_Toc59656421"/>
      <w:bookmarkStart w:id="137" w:name="_Toc12638"/>
      <w:bookmarkStart w:id="138" w:name="_Toc9511"/>
      <w:r>
        <w:rPr>
          <w:rFonts w:ascii="仿宋_GB2312" w:eastAsia="仿宋_GB2312"/>
          <w:b/>
          <w:sz w:val="30"/>
          <w:szCs w:val="30"/>
        </w:rPr>
        <w:t>（三）畜禽养殖产业化有待提升</w:t>
      </w:r>
      <w:bookmarkEnd w:id="134"/>
      <w:bookmarkEnd w:id="135"/>
      <w:bookmarkEnd w:id="136"/>
      <w:bookmarkEnd w:id="137"/>
      <w:bookmarkStart w:id="139" w:name="_Toc59656422"/>
    </w:p>
    <w:p>
      <w:pPr>
        <w:snapToGrid w:val="0"/>
        <w:spacing w:line="600" w:lineRule="exact"/>
        <w:ind w:firstLine="560"/>
        <w:rPr>
          <w:rFonts w:ascii="仿宋_GB2312" w:eastAsia="仿宋_GB2312"/>
          <w:szCs w:val="28"/>
        </w:rPr>
      </w:pPr>
      <w:bookmarkStart w:id="140" w:name="_Toc6141"/>
      <w:bookmarkStart w:id="141" w:name="_Toc21594"/>
      <w:r>
        <w:rPr>
          <w:rFonts w:ascii="仿宋_GB2312" w:eastAsia="仿宋_GB2312"/>
          <w:szCs w:val="28"/>
        </w:rPr>
        <w:t>目前我县大多数养殖场产业化水平不高。一是养殖场规模小、分散，屠宰场现代化水平不高；</w:t>
      </w:r>
      <w:r>
        <w:rPr>
          <w:rFonts w:hint="default" w:ascii="仿宋_GB2312" w:eastAsia="仿宋_GB2312"/>
          <w:szCs w:val="28"/>
          <w:lang w:val="en-US"/>
        </w:rPr>
        <w:t>畜禽养殖粪污加工有机肥、高架床养殖、微生物发酵等生态养殖技术推广力度不够，</w:t>
      </w:r>
      <w:r>
        <w:rPr>
          <w:rFonts w:ascii="仿宋_GB2312" w:eastAsia="仿宋_GB2312"/>
          <w:szCs w:val="28"/>
        </w:rPr>
        <w:t>二是联结机制不紧密，主要是“投入品供应+养殖场户”或“养殖场户+屠宰经营户”。三是产业链短，育种、饲料、兽药、防疫、屠宰、加工、储运、销售和深加工等环节分离。四是养殖生产环节整体管理手段落后，信息化、智能化</w:t>
      </w:r>
      <w:r>
        <w:rPr>
          <w:rFonts w:ascii="仿宋_GB2312" w:eastAsia="仿宋_GB2312"/>
          <w:szCs w:val="28"/>
          <w:lang w:val="en-US"/>
        </w:rPr>
        <w:t>有待提高</w:t>
      </w:r>
      <w:r>
        <w:rPr>
          <w:rFonts w:ascii="仿宋_GB2312" w:eastAsia="仿宋_GB2312"/>
          <w:szCs w:val="28"/>
        </w:rPr>
        <w:t>。五是养殖成本不断攀升，养殖规模得不到扩大，在单位产值受到挤压的情况下，饲料、人工、环保等养殖成本持续增长，制约养殖场（户）的生产积极性。</w:t>
      </w:r>
      <w:bookmarkEnd w:id="138"/>
      <w:bookmarkEnd w:id="139"/>
      <w:bookmarkEnd w:id="140"/>
      <w:bookmarkEnd w:id="141"/>
    </w:p>
    <w:p>
      <w:pPr>
        <w:pStyle w:val="2"/>
        <w:rPr>
          <w:rFonts w:ascii="仿宋_GB2312" w:eastAsia="仿宋_GB2312"/>
          <w:szCs w:val="28"/>
        </w:rPr>
      </w:pPr>
    </w:p>
    <w:p>
      <w:pPr>
        <w:pStyle w:val="4"/>
        <w:rPr>
          <w:rFonts w:ascii="仿宋_GB2312" w:eastAsia="仿宋_GB2312"/>
          <w:szCs w:val="28"/>
        </w:rPr>
      </w:pPr>
    </w:p>
    <w:p>
      <w:pPr>
        <w:pStyle w:val="4"/>
        <w:rPr>
          <w:rFonts w:ascii="仿宋_GB2312" w:eastAsia="仿宋_GB2312"/>
          <w:szCs w:val="28"/>
        </w:rPr>
      </w:pPr>
    </w:p>
    <w:p>
      <w:pPr>
        <w:pStyle w:val="4"/>
        <w:rPr>
          <w:rFonts w:ascii="仿宋_GB2312" w:eastAsia="仿宋_GB2312"/>
          <w:szCs w:val="28"/>
        </w:rPr>
      </w:pPr>
    </w:p>
    <w:p>
      <w:pPr>
        <w:pStyle w:val="4"/>
        <w:rPr>
          <w:rFonts w:ascii="仿宋_GB2312" w:eastAsia="仿宋_GB2312"/>
          <w:szCs w:val="28"/>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bookmarkStart w:id="142" w:name="_Toc2722"/>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r>
        <w:rPr>
          <w:rFonts w:ascii="黑体" w:hAnsi="黑体" w:eastAsia="黑体"/>
          <w:kern w:val="2"/>
          <w:sz w:val="32"/>
          <w:szCs w:val="32"/>
          <w:lang w:val="en-US"/>
        </w:rPr>
        <w:t>第</w:t>
      </w:r>
      <w:r>
        <w:rPr>
          <w:rFonts w:hint="eastAsia" w:ascii="黑体" w:hAnsi="黑体" w:eastAsia="黑体"/>
          <w:kern w:val="2"/>
          <w:sz w:val="32"/>
          <w:szCs w:val="32"/>
          <w:lang w:val="en-US" w:eastAsia="zh-CN"/>
        </w:rPr>
        <w:t>二</w:t>
      </w:r>
      <w:r>
        <w:rPr>
          <w:rFonts w:ascii="黑体" w:hAnsi="黑体" w:eastAsia="黑体"/>
          <w:kern w:val="2"/>
          <w:sz w:val="32"/>
          <w:szCs w:val="32"/>
          <w:lang w:val="en-US"/>
        </w:rPr>
        <w:t>章 指导思想与发展目标</w:t>
      </w:r>
      <w:bookmarkEnd w:id="142"/>
    </w:p>
    <w:p>
      <w:pPr>
        <w:pStyle w:val="6"/>
        <w:numPr>
          <w:ilvl w:val="0"/>
          <w:numId w:val="0"/>
        </w:numPr>
        <w:spacing w:before="156" w:beforeLines="50" w:after="156" w:afterLines="50"/>
        <w:ind w:left="560" w:leftChars="200"/>
        <w:rPr>
          <w:rFonts w:ascii="黑体" w:hAnsi="黑体"/>
          <w:b w:val="0"/>
          <w:bCs w:val="0"/>
          <w:sz w:val="30"/>
          <w:szCs w:val="30"/>
        </w:rPr>
      </w:pPr>
      <w:bookmarkStart w:id="143" w:name="_Toc58780937"/>
      <w:bookmarkStart w:id="144" w:name="_Toc59656452"/>
      <w:bookmarkStart w:id="145" w:name="_Toc14001"/>
      <w:bookmarkStart w:id="146" w:name="_Toc55807939"/>
      <w:bookmarkStart w:id="147" w:name="_Toc26841"/>
      <w:bookmarkStart w:id="148" w:name="_Toc17770"/>
      <w:bookmarkStart w:id="149" w:name="_Toc12380"/>
      <w:r>
        <w:rPr>
          <w:rFonts w:hint="eastAsia" w:ascii="黑体" w:hAnsi="黑体" w:eastAsia="黑体"/>
          <w:b w:val="0"/>
          <w:bCs w:val="0"/>
          <w:sz w:val="30"/>
          <w:szCs w:val="30"/>
        </w:rPr>
        <w:t>一、指导思想</w:t>
      </w:r>
      <w:bookmarkEnd w:id="143"/>
      <w:bookmarkEnd w:id="144"/>
      <w:bookmarkEnd w:id="145"/>
      <w:bookmarkEnd w:id="146"/>
      <w:bookmarkEnd w:id="147"/>
      <w:bookmarkEnd w:id="148"/>
      <w:bookmarkEnd w:id="149"/>
    </w:p>
    <w:p>
      <w:pPr>
        <w:spacing w:line="600" w:lineRule="exact"/>
        <w:ind w:firstLine="560"/>
        <w:rPr>
          <w:rFonts w:ascii="仿宋_GB2312" w:hAnsi="仿宋_GB2312" w:eastAsia="仿宋_GB2312" w:cs="仿宋_GB2312"/>
          <w:szCs w:val="28"/>
        </w:rPr>
      </w:pPr>
      <w:bookmarkStart w:id="150" w:name="_Toc27180"/>
      <w:bookmarkStart w:id="151" w:name="_Toc12204"/>
      <w:bookmarkStart w:id="152" w:name="_Toc55807940"/>
      <w:bookmarkStart w:id="153" w:name="_Toc59656453"/>
      <w:bookmarkStart w:id="154" w:name="_Toc58780938"/>
      <w:r>
        <w:rPr>
          <w:rFonts w:ascii="仿宋_GB2312" w:eastAsia="仿宋_GB2312"/>
          <w:szCs w:val="28"/>
        </w:rPr>
        <w:t>以习近平新时代中国特色社会主义思想为指导思想，紧紧围绕实施乡村振兴战略，</w:t>
      </w:r>
      <w:r>
        <w:rPr>
          <w:rFonts w:eastAsia="仿宋"/>
          <w:szCs w:val="28"/>
          <w:shd w:val="clear" w:color="auto" w:fill="FFFFFF"/>
        </w:rPr>
        <w:t>统筹考虑资源禀赋和环境承载能力，加快形成与市场需求基本匹配、与环境保护相协调的生产格局</w:t>
      </w:r>
      <w:bookmarkEnd w:id="150"/>
      <w:bookmarkEnd w:id="151"/>
      <w:r>
        <w:rPr>
          <w:rFonts w:eastAsia="仿宋"/>
          <w:szCs w:val="28"/>
          <w:shd w:val="clear" w:color="auto" w:fill="FFFFFF"/>
          <w:lang w:val="en-US"/>
        </w:rPr>
        <w:t>。</w:t>
      </w:r>
      <w:r>
        <w:rPr>
          <w:rFonts w:ascii="仿宋_GB2312" w:hAnsi="仿宋_GB2312" w:eastAsia="仿宋_GB2312" w:cs="仿宋_GB2312"/>
          <w:szCs w:val="28"/>
        </w:rPr>
        <w:t>积极践行新发展理念，按照“提素质、增效益、稳供给、保安全、促生态”的发展思路，以“总量稳定、自求平衡、多做贡献”为目标，加快转变</w:t>
      </w:r>
      <w:r>
        <w:rPr>
          <w:rFonts w:ascii="仿宋_GB2312" w:hAnsi="仿宋_GB2312" w:eastAsia="仿宋_GB2312" w:cs="仿宋_GB2312"/>
          <w:szCs w:val="28"/>
          <w:lang w:val="en-US"/>
        </w:rPr>
        <w:t>畜牧</w:t>
      </w:r>
      <w:r>
        <w:rPr>
          <w:rFonts w:ascii="仿宋_GB2312" w:hAnsi="仿宋_GB2312" w:eastAsia="仿宋_GB2312" w:cs="仿宋_GB2312"/>
          <w:szCs w:val="28"/>
        </w:rPr>
        <w:t>产业发展方式，大力推进布局区域化、生产标准化、经营规模化、发展产业化。</w:t>
      </w:r>
    </w:p>
    <w:bookmarkEnd w:id="152"/>
    <w:bookmarkEnd w:id="153"/>
    <w:bookmarkEnd w:id="154"/>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155" w:name="_Toc58780939"/>
      <w:bookmarkStart w:id="156" w:name="_Toc8862"/>
      <w:bookmarkStart w:id="157" w:name="_Toc55807941"/>
      <w:bookmarkStart w:id="158" w:name="_Toc13781"/>
      <w:bookmarkStart w:id="159" w:name="_Toc30205"/>
      <w:bookmarkStart w:id="160" w:name="_Toc59656454"/>
      <w:bookmarkStart w:id="161" w:name="_Toc7637"/>
      <w:r>
        <w:rPr>
          <w:rFonts w:hint="eastAsia" w:ascii="黑体" w:hAnsi="黑体" w:eastAsia="黑体"/>
          <w:b w:val="0"/>
          <w:bCs w:val="0"/>
          <w:sz w:val="30"/>
          <w:szCs w:val="30"/>
        </w:rPr>
        <w:t>二、基本原则</w:t>
      </w:r>
      <w:bookmarkEnd w:id="155"/>
      <w:bookmarkEnd w:id="156"/>
      <w:bookmarkEnd w:id="157"/>
      <w:bookmarkEnd w:id="158"/>
      <w:bookmarkEnd w:id="159"/>
      <w:bookmarkEnd w:id="160"/>
      <w:bookmarkEnd w:id="161"/>
    </w:p>
    <w:p>
      <w:pPr>
        <w:spacing w:line="360" w:lineRule="auto"/>
        <w:ind w:firstLine="588" w:firstLineChars="196"/>
        <w:outlineLvl w:val="1"/>
        <w:rPr>
          <w:rFonts w:ascii="仿宋_GB2312" w:eastAsia="仿宋_GB2312"/>
          <w:szCs w:val="28"/>
        </w:rPr>
      </w:pPr>
      <w:bookmarkStart w:id="162" w:name="_Toc58780940"/>
      <w:bookmarkStart w:id="163" w:name="_Toc55807942"/>
      <w:bookmarkStart w:id="164" w:name="_Toc8829"/>
      <w:bookmarkStart w:id="165" w:name="_Toc29053"/>
      <w:bookmarkStart w:id="166" w:name="_Toc193"/>
      <w:bookmarkStart w:id="167" w:name="_Toc8446"/>
      <w:bookmarkStart w:id="168" w:name="_Toc59656455"/>
      <w:r>
        <w:rPr>
          <w:rFonts w:ascii="仿宋_GB2312" w:eastAsia="仿宋_GB2312"/>
          <w:b/>
          <w:sz w:val="30"/>
          <w:szCs w:val="30"/>
        </w:rPr>
        <w:t>（一）生态优先原则</w:t>
      </w:r>
      <w:bookmarkEnd w:id="162"/>
      <w:bookmarkEnd w:id="163"/>
      <w:bookmarkStart w:id="169" w:name="_Toc58780941"/>
      <w:bookmarkStart w:id="170" w:name="_Toc55807943"/>
      <w:r>
        <w:rPr>
          <w:rFonts w:ascii="仿宋_GB2312" w:eastAsia="仿宋_GB2312"/>
          <w:b/>
          <w:sz w:val="30"/>
          <w:szCs w:val="30"/>
          <w:lang w:val="en-US"/>
        </w:rPr>
        <w:t xml:space="preserve">  </w:t>
      </w:r>
      <w:r>
        <w:rPr>
          <w:rFonts w:ascii="仿宋_GB2312" w:eastAsia="仿宋_GB2312"/>
          <w:szCs w:val="28"/>
        </w:rPr>
        <w:t>遵循“绿水青山就是金山银山”的理念，以保护生态环境和资源化利用为前提，调整优化区域布局和产业结构，改善养殖、屠宰生产设施条件，重点发展生态型养殖模式，开展标准化畜禽养殖场和美丽牧场示范创建，实现畜牧业发展与生态环境建设“双赢”为目标，促进美丽乡村建设。</w:t>
      </w:r>
      <w:bookmarkEnd w:id="164"/>
      <w:bookmarkEnd w:id="165"/>
      <w:bookmarkEnd w:id="166"/>
      <w:bookmarkEnd w:id="167"/>
      <w:bookmarkEnd w:id="168"/>
      <w:bookmarkEnd w:id="169"/>
      <w:bookmarkEnd w:id="170"/>
    </w:p>
    <w:p>
      <w:pPr>
        <w:spacing w:line="360" w:lineRule="auto"/>
        <w:ind w:firstLine="588" w:firstLineChars="196"/>
        <w:outlineLvl w:val="1"/>
        <w:rPr>
          <w:rFonts w:ascii="仿宋_GB2312" w:eastAsia="仿宋_GB2312"/>
          <w:szCs w:val="28"/>
        </w:rPr>
      </w:pPr>
      <w:bookmarkStart w:id="171" w:name="_Toc55807944"/>
      <w:bookmarkStart w:id="172" w:name="_Toc58780942"/>
      <w:bookmarkStart w:id="173" w:name="_Toc27124"/>
      <w:bookmarkStart w:id="174" w:name="_Toc2250"/>
      <w:bookmarkStart w:id="175" w:name="_Toc9479"/>
      <w:bookmarkStart w:id="176" w:name="_Toc22478"/>
      <w:bookmarkStart w:id="177" w:name="_Toc59656456"/>
      <w:r>
        <w:rPr>
          <w:rFonts w:ascii="仿宋_GB2312" w:eastAsia="仿宋_GB2312"/>
          <w:b/>
          <w:sz w:val="30"/>
          <w:szCs w:val="30"/>
        </w:rPr>
        <w:t>（二）总量控制原则</w:t>
      </w:r>
      <w:bookmarkEnd w:id="171"/>
      <w:bookmarkEnd w:id="172"/>
      <w:bookmarkStart w:id="178" w:name="_Toc58780943"/>
      <w:bookmarkStart w:id="179" w:name="_Toc55807945"/>
      <w:r>
        <w:rPr>
          <w:rFonts w:ascii="仿宋_GB2312" w:eastAsia="仿宋_GB2312"/>
          <w:b/>
          <w:sz w:val="30"/>
          <w:szCs w:val="30"/>
          <w:lang w:val="en-US"/>
        </w:rPr>
        <w:t xml:space="preserve">  </w:t>
      </w:r>
      <w:r>
        <w:rPr>
          <w:rFonts w:ascii="仿宋_GB2312" w:eastAsia="仿宋_GB2312"/>
          <w:szCs w:val="28"/>
        </w:rPr>
        <w:t>充分考虑资源禀赋、产业基础、市场供求和土地消纳能力，科学确定畜禽养殖和屠宰规模，优化养殖和屠宰布局，实现畜禽养殖屠宰与环境容量相匹配，稳定现有养殖规模，提质增效，推进畜牧业提档升级，实现强牧富民。</w:t>
      </w:r>
      <w:bookmarkEnd w:id="173"/>
      <w:bookmarkEnd w:id="174"/>
      <w:bookmarkEnd w:id="175"/>
      <w:bookmarkEnd w:id="176"/>
      <w:bookmarkEnd w:id="177"/>
      <w:bookmarkEnd w:id="178"/>
      <w:bookmarkEnd w:id="179"/>
    </w:p>
    <w:p>
      <w:pPr>
        <w:spacing w:line="360" w:lineRule="auto"/>
        <w:ind w:firstLine="588" w:firstLineChars="196"/>
        <w:outlineLvl w:val="1"/>
        <w:rPr>
          <w:rFonts w:ascii="仿宋_GB2312" w:eastAsia="仿宋_GB2312"/>
          <w:szCs w:val="28"/>
        </w:rPr>
      </w:pPr>
      <w:bookmarkStart w:id="180" w:name="_Toc55807946"/>
      <w:bookmarkStart w:id="181" w:name="_Toc58780944"/>
      <w:bookmarkStart w:id="182" w:name="_Toc29107"/>
      <w:bookmarkStart w:id="183" w:name="_Toc18292"/>
      <w:bookmarkStart w:id="184" w:name="_Toc12030"/>
      <w:bookmarkStart w:id="185" w:name="_Toc28477"/>
      <w:bookmarkStart w:id="186" w:name="_Toc59656457"/>
      <w:r>
        <w:rPr>
          <w:rFonts w:ascii="仿宋_GB2312" w:eastAsia="仿宋_GB2312"/>
          <w:b/>
          <w:sz w:val="30"/>
          <w:szCs w:val="30"/>
        </w:rPr>
        <w:t>（三）安全发展原则</w:t>
      </w:r>
      <w:bookmarkEnd w:id="180"/>
      <w:bookmarkEnd w:id="181"/>
      <w:bookmarkStart w:id="187" w:name="_Toc55807947"/>
      <w:bookmarkStart w:id="188" w:name="_Toc58780945"/>
      <w:r>
        <w:rPr>
          <w:rFonts w:ascii="仿宋_GB2312" w:eastAsia="仿宋_GB2312"/>
          <w:b/>
          <w:sz w:val="30"/>
          <w:szCs w:val="30"/>
          <w:lang w:val="en-US"/>
        </w:rPr>
        <w:t xml:space="preserve">  </w:t>
      </w:r>
      <w:r>
        <w:rPr>
          <w:rFonts w:ascii="仿宋_GB2312" w:eastAsia="仿宋_GB2312"/>
          <w:szCs w:val="28"/>
        </w:rPr>
        <w:t>加强动物疫病防控和畜产品质量安全管理，严格执行标准化生产体系，提高畜产品质量安全监测水平</w:t>
      </w:r>
      <w:bookmarkEnd w:id="187"/>
      <w:bookmarkEnd w:id="188"/>
      <w:r>
        <w:rPr>
          <w:rFonts w:ascii="仿宋_GB2312" w:eastAsia="仿宋_GB2312"/>
          <w:szCs w:val="28"/>
        </w:rPr>
        <w:t>。增强产品质量意识与环境保护意识，强化畜牧兽医社会化服务，实现畜牧业生产安全、供给安全、生态安全。</w:t>
      </w:r>
      <w:bookmarkEnd w:id="182"/>
      <w:bookmarkEnd w:id="183"/>
      <w:bookmarkEnd w:id="184"/>
      <w:bookmarkEnd w:id="185"/>
      <w:bookmarkEnd w:id="186"/>
    </w:p>
    <w:p>
      <w:pPr>
        <w:spacing w:before="156" w:after="156" w:line="360" w:lineRule="auto"/>
        <w:ind w:firstLine="588" w:firstLineChars="196"/>
        <w:outlineLvl w:val="1"/>
        <w:rPr>
          <w:rFonts w:ascii="黑体" w:hAnsi="黑体"/>
          <w:szCs w:val="28"/>
        </w:rPr>
      </w:pPr>
      <w:bookmarkStart w:id="189" w:name="_Toc55807948"/>
      <w:bookmarkStart w:id="190" w:name="_Toc58780946"/>
      <w:bookmarkStart w:id="191" w:name="_Toc59656458"/>
      <w:bookmarkStart w:id="192" w:name="_Toc32101"/>
      <w:bookmarkStart w:id="193" w:name="_Toc22342"/>
      <w:bookmarkStart w:id="194" w:name="_Toc7499"/>
      <w:bookmarkStart w:id="195" w:name="_Toc26081"/>
      <w:r>
        <w:rPr>
          <w:rFonts w:ascii="仿宋_GB2312" w:eastAsia="仿宋_GB2312"/>
          <w:b/>
          <w:sz w:val="30"/>
          <w:szCs w:val="30"/>
        </w:rPr>
        <w:t>（四）产业提升原则</w:t>
      </w:r>
      <w:bookmarkEnd w:id="189"/>
      <w:bookmarkEnd w:id="190"/>
      <w:bookmarkStart w:id="196" w:name="_Toc55807949"/>
      <w:bookmarkStart w:id="197" w:name="_Toc58780947"/>
      <w:r>
        <w:rPr>
          <w:rFonts w:ascii="仿宋_GB2312" w:eastAsia="仿宋_GB2312"/>
          <w:b/>
          <w:sz w:val="30"/>
          <w:szCs w:val="30"/>
          <w:lang w:val="en-US"/>
        </w:rPr>
        <w:t xml:space="preserve">  </w:t>
      </w:r>
      <w:r>
        <w:rPr>
          <w:rFonts w:ascii="仿宋_GB2312" w:eastAsia="仿宋_GB2312"/>
          <w:szCs w:val="28"/>
        </w:rPr>
        <w:t>科学规划畜牧业区域化布局，有效利用资源条件优势，发展适度规模养殖，注重主体培育，促进畜牧产业化集聚、品牌化经营，提升畜禽产品品质，推动小农户与现代农业的有机衔接，促进养殖企业和农民增收，促进“品质建宁”建设。</w:t>
      </w:r>
      <w:bookmarkEnd w:id="191"/>
      <w:bookmarkEnd w:id="192"/>
      <w:bookmarkEnd w:id="193"/>
      <w:bookmarkEnd w:id="194"/>
      <w:bookmarkEnd w:id="195"/>
      <w:bookmarkEnd w:id="196"/>
      <w:bookmarkEnd w:id="197"/>
      <w:bookmarkStart w:id="198" w:name="_Toc59656459"/>
      <w:bookmarkStart w:id="199" w:name="_Toc58780952"/>
      <w:bookmarkStart w:id="200" w:name="_Toc55807953"/>
      <w:bookmarkStart w:id="201" w:name="_Toc532972874"/>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202" w:name="_Toc29141"/>
      <w:bookmarkStart w:id="203" w:name="_Toc12976"/>
      <w:bookmarkStart w:id="204" w:name="_Toc31615"/>
      <w:bookmarkStart w:id="205" w:name="_Toc9925"/>
      <w:r>
        <w:rPr>
          <w:rFonts w:hint="eastAsia" w:ascii="黑体" w:hAnsi="黑体" w:eastAsia="黑体"/>
          <w:b w:val="0"/>
          <w:bCs w:val="0"/>
          <w:sz w:val="30"/>
          <w:szCs w:val="30"/>
        </w:rPr>
        <w:t>三、发展目标</w:t>
      </w:r>
      <w:bookmarkEnd w:id="198"/>
      <w:bookmarkEnd w:id="199"/>
      <w:bookmarkEnd w:id="200"/>
      <w:bookmarkEnd w:id="201"/>
      <w:bookmarkEnd w:id="202"/>
      <w:bookmarkEnd w:id="203"/>
      <w:bookmarkEnd w:id="204"/>
      <w:bookmarkEnd w:id="205"/>
    </w:p>
    <w:p>
      <w:pPr>
        <w:widowControl/>
        <w:ind w:firstLine="602"/>
        <w:rPr>
          <w:rFonts w:ascii="仿宋_GB2312" w:eastAsia="仿宋_GB2312"/>
          <w:b/>
          <w:sz w:val="30"/>
          <w:szCs w:val="30"/>
        </w:rPr>
      </w:pPr>
      <w:bookmarkStart w:id="206" w:name="_Toc59656461"/>
      <w:r>
        <w:rPr>
          <w:rFonts w:ascii="仿宋_GB2312" w:eastAsia="仿宋_GB2312"/>
          <w:b/>
          <w:sz w:val="30"/>
          <w:szCs w:val="30"/>
        </w:rPr>
        <w:t>（一）</w:t>
      </w:r>
      <w:bookmarkEnd w:id="206"/>
      <w:r>
        <w:rPr>
          <w:rFonts w:ascii="仿宋_GB2312" w:eastAsia="仿宋_GB2312"/>
          <w:b/>
          <w:sz w:val="30"/>
          <w:szCs w:val="30"/>
          <w:lang w:val="en-US"/>
        </w:rPr>
        <w:t>总体目标</w:t>
      </w:r>
    </w:p>
    <w:p>
      <w:pPr>
        <w:spacing w:before="156" w:after="156" w:line="360" w:lineRule="auto"/>
        <w:ind w:firstLine="548" w:firstLineChars="196"/>
        <w:outlineLvl w:val="1"/>
        <w:rPr>
          <w:rFonts w:ascii="仿宋_GB2312" w:eastAsia="仿宋_GB2312"/>
          <w:szCs w:val="28"/>
        </w:rPr>
      </w:pPr>
      <w:bookmarkStart w:id="207" w:name="_Toc3269"/>
      <w:bookmarkStart w:id="208" w:name="_Toc32567"/>
      <w:bookmarkStart w:id="209" w:name="_Toc4584"/>
      <w:bookmarkStart w:id="210" w:name="_Toc6108"/>
      <w:r>
        <w:rPr>
          <w:rFonts w:hint="default" w:eastAsia="仿宋_GB2312"/>
          <w:szCs w:val="28"/>
          <w:lang w:val="en-US"/>
        </w:rPr>
        <w:t>到2025年，坚持全产业链发展路径，按照</w:t>
      </w:r>
      <w:r>
        <w:rPr>
          <w:rFonts w:eastAsia="仿宋_GB2312"/>
          <w:szCs w:val="28"/>
          <w:lang w:val="en-US"/>
        </w:rPr>
        <w:t>“</w:t>
      </w:r>
      <w:r>
        <w:rPr>
          <w:rFonts w:hint="default" w:eastAsia="仿宋_GB2312"/>
          <w:szCs w:val="28"/>
          <w:lang w:val="en-US"/>
        </w:rPr>
        <w:t>数字化发展、生态发展、三产融合</w:t>
      </w:r>
      <w:r>
        <w:rPr>
          <w:rFonts w:eastAsia="仿宋_GB2312"/>
          <w:szCs w:val="28"/>
          <w:lang w:val="en-US"/>
        </w:rPr>
        <w:t>”</w:t>
      </w:r>
      <w:r>
        <w:rPr>
          <w:rFonts w:hint="default" w:eastAsia="仿宋_GB2312"/>
          <w:szCs w:val="28"/>
          <w:lang w:val="en-US"/>
        </w:rPr>
        <w:t>的</w:t>
      </w:r>
      <w:r>
        <w:rPr>
          <w:rFonts w:hint="default" w:ascii="仿宋_GB2312" w:eastAsia="仿宋_GB2312"/>
          <w:szCs w:val="28"/>
          <w:lang w:val="en-US"/>
        </w:rPr>
        <w:t>发展思路，重点实施</w:t>
      </w:r>
      <w:r>
        <w:rPr>
          <w:rFonts w:ascii="仿宋_GB2312" w:eastAsia="仿宋_GB2312"/>
          <w:szCs w:val="28"/>
          <w:lang w:val="en-US"/>
        </w:rPr>
        <w:t>奶业整县推进、创建国家数字畜牧业创新应用基地、创建国家级动物疫病净化场等，开展一产现代智慧牛场扩建及配套</w:t>
      </w:r>
      <w:r>
        <w:rPr>
          <w:rFonts w:hint="default" w:ascii="仿宋_GB2312" w:eastAsia="仿宋_GB2312"/>
          <w:szCs w:val="28"/>
          <w:lang w:val="en-US"/>
        </w:rPr>
        <w:t>工程、</w:t>
      </w:r>
      <w:r>
        <w:rPr>
          <w:rFonts w:ascii="仿宋_GB2312" w:eastAsia="仿宋_GB2312"/>
          <w:szCs w:val="28"/>
          <w:lang w:val="en-US"/>
        </w:rPr>
        <w:t>二产畜产品</w:t>
      </w:r>
      <w:r>
        <w:rPr>
          <w:rFonts w:hint="default" w:ascii="仿宋_GB2312" w:eastAsia="仿宋_GB2312"/>
          <w:szCs w:val="28"/>
          <w:lang w:val="en-US"/>
        </w:rPr>
        <w:t>加工工程、三产融合提升工程等，突出</w:t>
      </w:r>
      <w:r>
        <w:rPr>
          <w:rFonts w:ascii="仿宋_GB2312" w:eastAsia="仿宋_GB2312"/>
          <w:szCs w:val="28"/>
          <w:lang w:val="en-US"/>
        </w:rPr>
        <w:t>龙头引领辐射示范、</w:t>
      </w:r>
      <w:r>
        <w:rPr>
          <w:rFonts w:hint="default" w:ascii="仿宋_GB2312" w:eastAsia="仿宋_GB2312"/>
          <w:szCs w:val="28"/>
          <w:lang w:val="en-US"/>
        </w:rPr>
        <w:t>品牌打造，</w:t>
      </w:r>
      <w:r>
        <w:rPr>
          <w:rFonts w:ascii="仿宋_GB2312" w:eastAsia="仿宋_GB2312"/>
          <w:szCs w:val="28"/>
          <w:lang w:val="en-US"/>
        </w:rPr>
        <w:t>努力构建生态高效畜牧业发展新格局，培育发展一批市场认可的畜产品品牌。满足人民对畜产品的多元化需求，实现畜牧业高质量发展。</w:t>
      </w:r>
      <w:bookmarkEnd w:id="207"/>
      <w:bookmarkEnd w:id="208"/>
      <w:bookmarkEnd w:id="209"/>
      <w:bookmarkEnd w:id="210"/>
      <w:r>
        <w:rPr>
          <w:rFonts w:ascii="仿宋_GB2312" w:eastAsia="仿宋_GB2312"/>
          <w:szCs w:val="28"/>
          <w:lang w:val="en-US"/>
        </w:rPr>
        <w:t xml:space="preserve"> </w:t>
      </w:r>
    </w:p>
    <w:p>
      <w:pPr>
        <w:widowControl/>
        <w:ind w:firstLine="602"/>
        <w:rPr>
          <w:rFonts w:ascii="仿宋_GB2312" w:eastAsia="仿宋_GB2312"/>
          <w:b/>
          <w:sz w:val="30"/>
          <w:szCs w:val="30"/>
        </w:rPr>
      </w:pPr>
      <w:r>
        <w:rPr>
          <w:rFonts w:ascii="仿宋_GB2312" w:eastAsia="仿宋_GB2312"/>
          <w:b/>
          <w:sz w:val="30"/>
          <w:szCs w:val="30"/>
        </w:rPr>
        <w:t>（</w:t>
      </w:r>
      <w:r>
        <w:rPr>
          <w:rFonts w:ascii="仿宋_GB2312" w:eastAsia="仿宋_GB2312"/>
          <w:b/>
          <w:sz w:val="30"/>
          <w:szCs w:val="30"/>
          <w:lang w:val="en-US"/>
        </w:rPr>
        <w:t>二</w:t>
      </w:r>
      <w:r>
        <w:rPr>
          <w:rFonts w:ascii="仿宋_GB2312" w:eastAsia="仿宋_GB2312"/>
          <w:b/>
          <w:sz w:val="30"/>
          <w:szCs w:val="30"/>
        </w:rPr>
        <w:t>）</w:t>
      </w:r>
      <w:r>
        <w:rPr>
          <w:rFonts w:ascii="仿宋_GB2312" w:eastAsia="仿宋_GB2312"/>
          <w:b/>
          <w:sz w:val="30"/>
          <w:szCs w:val="30"/>
          <w:lang w:val="en-US"/>
        </w:rPr>
        <w:t>具体目标</w:t>
      </w:r>
    </w:p>
    <w:p>
      <w:pPr>
        <w:pStyle w:val="8"/>
        <w:keepLines w:val="0"/>
        <w:widowControl/>
        <w:numPr>
          <w:ilvl w:val="0"/>
          <w:numId w:val="0"/>
        </w:numPr>
        <w:tabs>
          <w:tab w:val="clear" w:pos="0"/>
        </w:tabs>
        <w:spacing w:line="560" w:lineRule="exact"/>
        <w:ind w:firstLine="600" w:firstLineChars="200"/>
        <w:jc w:val="both"/>
        <w:rPr>
          <w:rFonts w:ascii="Times New Roman" w:hAnsi="Times New Roman" w:eastAsia="仿宋"/>
          <w:b/>
          <w:sz w:val="30"/>
          <w:szCs w:val="30"/>
        </w:rPr>
      </w:pPr>
      <w:r>
        <w:rPr>
          <w:rFonts w:ascii="Times New Roman" w:hAnsi="Times New Roman" w:eastAsia="仿宋"/>
          <w:b/>
          <w:sz w:val="30"/>
          <w:szCs w:val="30"/>
        </w:rPr>
        <w:t>1.养殖量发展目标</w:t>
      </w:r>
    </w:p>
    <w:p>
      <w:pPr>
        <w:spacing w:before="156" w:after="156" w:line="360" w:lineRule="auto"/>
        <w:ind w:firstLine="548" w:firstLineChars="196"/>
        <w:outlineLvl w:val="1"/>
        <w:rPr>
          <w:rFonts w:hint="default" w:eastAsia="仿宋_GB2312"/>
          <w:szCs w:val="28"/>
          <w:lang w:val="en-US"/>
        </w:rPr>
      </w:pPr>
      <w:bookmarkStart w:id="211" w:name="_Toc7659"/>
      <w:bookmarkStart w:id="212" w:name="_Toc14016"/>
      <w:bookmarkStart w:id="213" w:name="_Toc26307"/>
      <w:r>
        <w:rPr>
          <w:rFonts w:hint="default" w:ascii="仿宋_GB2312" w:eastAsia="仿宋_GB2312"/>
          <w:szCs w:val="28"/>
          <w:lang w:val="en-US"/>
        </w:rPr>
        <w:t>依据生态环境承载量，维持生猪养殖量的基本稳定，支持</w:t>
      </w:r>
      <w:r>
        <w:rPr>
          <w:rFonts w:ascii="仿宋_GB2312" w:eastAsia="仿宋_GB2312"/>
          <w:szCs w:val="28"/>
          <w:lang w:val="en-US"/>
        </w:rPr>
        <w:t>规模化奶牛产业发展，其他肉鸭、</w:t>
      </w:r>
      <w:r>
        <w:rPr>
          <w:rFonts w:hint="default" w:ascii="仿宋_GB2312" w:eastAsia="仿宋_GB2312"/>
          <w:szCs w:val="28"/>
          <w:lang w:val="en-US"/>
        </w:rPr>
        <w:t>蛋禽（主要是配套系商品高产蛋鸡父母代和商品代）、草畜（</w:t>
      </w:r>
      <w:r>
        <w:rPr>
          <w:rFonts w:ascii="仿宋_GB2312" w:eastAsia="仿宋_GB2312"/>
          <w:szCs w:val="28"/>
          <w:lang w:val="en-US"/>
        </w:rPr>
        <w:t>肉牛、</w:t>
      </w:r>
      <w:r>
        <w:rPr>
          <w:rFonts w:hint="default" w:ascii="仿宋_GB2312" w:eastAsia="仿宋_GB2312"/>
          <w:szCs w:val="28"/>
          <w:lang w:val="en-US"/>
        </w:rPr>
        <w:t>肉羊、兔等）养殖业</w:t>
      </w:r>
      <w:r>
        <w:rPr>
          <w:rFonts w:ascii="仿宋_GB2312" w:eastAsia="仿宋_GB2312"/>
          <w:szCs w:val="28"/>
          <w:lang w:val="en-US"/>
        </w:rPr>
        <w:t>适度发展</w:t>
      </w:r>
      <w:r>
        <w:rPr>
          <w:rFonts w:hint="default" w:ascii="仿宋_GB2312" w:eastAsia="仿宋_GB2312"/>
          <w:szCs w:val="28"/>
          <w:lang w:val="en-US"/>
        </w:rPr>
        <w:t>。到</w:t>
      </w:r>
      <w:r>
        <w:rPr>
          <w:rFonts w:hint="default" w:eastAsia="仿宋_GB2312"/>
          <w:szCs w:val="28"/>
          <w:lang w:val="en-US"/>
        </w:rPr>
        <w:t>2025年，养殖规模控制在：生猪年出栏1</w:t>
      </w:r>
      <w:r>
        <w:rPr>
          <w:rFonts w:hint="eastAsia" w:eastAsia="仿宋_GB2312"/>
          <w:szCs w:val="28"/>
          <w:lang w:val="en-US" w:eastAsia="zh-CN"/>
        </w:rPr>
        <w:t>2.5</w:t>
      </w:r>
      <w:r>
        <w:rPr>
          <w:rFonts w:hint="default" w:eastAsia="仿宋_GB2312"/>
          <w:szCs w:val="28"/>
          <w:lang w:val="en-US"/>
        </w:rPr>
        <w:t>万头左右、奶牛养殖规模 2</w:t>
      </w:r>
      <w:r>
        <w:rPr>
          <w:rFonts w:hint="eastAsia" w:eastAsia="仿宋_GB2312"/>
          <w:szCs w:val="28"/>
          <w:lang w:val="en-US" w:eastAsia="zh-CN"/>
        </w:rPr>
        <w:t>0</w:t>
      </w:r>
      <w:r>
        <w:rPr>
          <w:rFonts w:hint="default" w:eastAsia="仿宋_GB2312"/>
          <w:szCs w:val="28"/>
          <w:lang w:val="en-US"/>
        </w:rPr>
        <w:t>000头、羊年出栏2万头、家禽年出栏150万羽，保持畜牧业可持续健康发展。</w:t>
      </w:r>
      <w:bookmarkEnd w:id="211"/>
      <w:bookmarkEnd w:id="212"/>
      <w:bookmarkEnd w:id="213"/>
    </w:p>
    <w:p>
      <w:pPr>
        <w:pStyle w:val="8"/>
        <w:keepLines w:val="0"/>
        <w:widowControl/>
        <w:numPr>
          <w:ilvl w:val="0"/>
          <w:numId w:val="0"/>
        </w:numPr>
        <w:tabs>
          <w:tab w:val="clear" w:pos="0"/>
        </w:tabs>
        <w:spacing w:line="560" w:lineRule="exact"/>
        <w:ind w:firstLine="600" w:firstLineChars="200"/>
        <w:jc w:val="both"/>
        <w:rPr>
          <w:rFonts w:ascii="Times New Roman" w:hAnsi="Times New Roman" w:eastAsia="仿宋"/>
          <w:b/>
          <w:sz w:val="30"/>
          <w:szCs w:val="30"/>
        </w:rPr>
      </w:pPr>
      <w:r>
        <w:rPr>
          <w:rFonts w:ascii="Times New Roman" w:hAnsi="Times New Roman" w:eastAsia="仿宋"/>
          <w:b/>
          <w:sz w:val="30"/>
          <w:szCs w:val="30"/>
        </w:rPr>
        <w:t>2.养殖场控制目标</w:t>
      </w:r>
    </w:p>
    <w:p>
      <w:pPr>
        <w:spacing w:before="156" w:after="156" w:line="360" w:lineRule="auto"/>
        <w:ind w:firstLine="548" w:firstLineChars="196"/>
        <w:outlineLvl w:val="1"/>
        <w:rPr>
          <w:rFonts w:hint="default" w:ascii="仿宋_GB2312" w:eastAsia="仿宋_GB2312"/>
          <w:szCs w:val="28"/>
          <w:lang w:val="en-US"/>
        </w:rPr>
      </w:pPr>
      <w:bookmarkStart w:id="214" w:name="_Toc22204"/>
      <w:bookmarkStart w:id="215" w:name="_Toc16722"/>
      <w:bookmarkStart w:id="216" w:name="_Toc10612"/>
      <w:r>
        <w:rPr>
          <w:rFonts w:hint="default" w:ascii="仿宋_GB2312" w:eastAsia="仿宋_GB2312"/>
          <w:szCs w:val="28"/>
          <w:lang w:val="en-US"/>
        </w:rPr>
        <w:t>依据新划定禁养区和可</w:t>
      </w:r>
      <w:r>
        <w:rPr>
          <w:rFonts w:hint="default" w:eastAsia="仿宋_GB2312"/>
          <w:szCs w:val="28"/>
          <w:lang w:val="en-US"/>
        </w:rPr>
        <w:t>养区，到2025年，全县培育 2 家年出栏1万头及以上规模化标准化生猪养殖企业，</w:t>
      </w:r>
      <w:bookmarkStart w:id="217" w:name="_Toc29915"/>
      <w:bookmarkStart w:id="218" w:name="_Toc15482"/>
      <w:r>
        <w:rPr>
          <w:rFonts w:hint="default" w:eastAsia="仿宋_GB2312"/>
          <w:szCs w:val="28"/>
          <w:lang w:val="en-US"/>
        </w:rPr>
        <w:t>规模养猪场保留10家，规模化养殖比例达到90%以上，规模猪场出栏生猪占总出栏量的95%以上。对不符合规划要求和法定条件的畜禽养殖场采取异地搬迁或改造升级等办法进行整改。</w:t>
      </w:r>
      <w:bookmarkEnd w:id="217"/>
      <w:bookmarkEnd w:id="218"/>
      <w:r>
        <w:rPr>
          <w:rFonts w:hint="default" w:eastAsia="仿宋_GB2312"/>
          <w:szCs w:val="28"/>
          <w:lang w:val="en-US"/>
        </w:rPr>
        <w:t>适当发展奶牛规模场</w:t>
      </w:r>
      <w:bookmarkEnd w:id="214"/>
      <w:r>
        <w:rPr>
          <w:rFonts w:hint="eastAsia" w:eastAsia="仿宋_GB2312"/>
          <w:szCs w:val="28"/>
          <w:lang w:val="en-US" w:eastAsia="zh-CN"/>
        </w:rPr>
        <w:t>4家</w:t>
      </w:r>
      <w:r>
        <w:rPr>
          <w:rFonts w:ascii="仿宋_GB2312" w:eastAsia="仿宋_GB2312"/>
          <w:szCs w:val="28"/>
          <w:lang w:val="en-US"/>
        </w:rPr>
        <w:t>，十四五期间</w:t>
      </w:r>
      <w:r>
        <w:rPr>
          <w:rFonts w:hint="default" w:ascii="仿宋_GB2312" w:eastAsia="仿宋_GB2312"/>
          <w:szCs w:val="28"/>
          <w:lang w:val="en-US"/>
        </w:rPr>
        <w:t>重点</w:t>
      </w:r>
      <w:r>
        <w:rPr>
          <w:rFonts w:ascii="仿宋_GB2312" w:eastAsia="仿宋_GB2312"/>
          <w:szCs w:val="28"/>
          <w:lang w:val="en-US"/>
        </w:rPr>
        <w:t>推动奶业整县推进项目。</w:t>
      </w:r>
      <w:bookmarkEnd w:id="215"/>
      <w:bookmarkEnd w:id="216"/>
    </w:p>
    <w:p>
      <w:pPr>
        <w:pStyle w:val="17"/>
        <w:numPr>
          <w:ilvl w:val="0"/>
          <w:numId w:val="4"/>
        </w:numPr>
        <w:ind w:leftChars="0" w:firstLine="602"/>
        <w:rPr>
          <w:rFonts w:hint="default" w:eastAsia="仿宋"/>
          <w:b/>
          <w:bCs/>
          <w:color w:val="auto"/>
        </w:rPr>
      </w:pPr>
      <w:r>
        <w:rPr>
          <w:rFonts w:hint="default" w:eastAsia="仿宋"/>
          <w:b/>
          <w:bCs/>
          <w:color w:val="auto"/>
          <w:sz w:val="30"/>
          <w:szCs w:val="30"/>
        </w:rPr>
        <w:t>动物疫病防控目标</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left"/>
        <w:rPr>
          <w:rFonts w:hint="default" w:eastAsia="仿宋_GB2312"/>
          <w:szCs w:val="28"/>
          <w:lang w:val="en-US"/>
        </w:rPr>
      </w:pPr>
      <w:bookmarkStart w:id="219" w:name="_Toc12472"/>
      <w:bookmarkStart w:id="220" w:name="_Toc28828"/>
      <w:r>
        <w:rPr>
          <w:rFonts w:hint="default" w:ascii="仿宋_GB2312" w:eastAsia="仿宋_GB2312"/>
          <w:szCs w:val="28"/>
          <w:lang w:val="en-US"/>
        </w:rPr>
        <w:t>准确把握防控工作形势，切实增强责任感和紧迫感，强化责任落实，主动担当作为，抓紧抓实高致病性禽流感、非洲猪瘟、牲畜口蹄疫等重大动物疫病防控工作，</w:t>
      </w:r>
      <w:r>
        <w:rPr>
          <w:rFonts w:ascii="仿宋_GB2312" w:eastAsia="仿宋_GB2312"/>
          <w:szCs w:val="28"/>
          <w:lang w:val="en-US"/>
        </w:rPr>
        <w:t>全面健全和完善全县动物疫病监测、预警和防控体系。继续推进种畜禽场开展重点疫病净化及非洲猪瘟无疫小区建设。鼓励生猪养殖企业建设规范的车辆洗消中心及符合生物安全的自检实验室，确保不发生区域性重大动物疫情、不发生重大畜产品质量安全事件、不发生重大行业</w:t>
      </w:r>
      <w:r>
        <w:rPr>
          <w:rFonts w:hint="default" w:ascii="仿宋_GB2312" w:eastAsia="仿宋_GB2312"/>
          <w:szCs w:val="28"/>
          <w:lang w:val="en-US"/>
        </w:rPr>
        <w:t>安全</w:t>
      </w:r>
      <w:r>
        <w:rPr>
          <w:rFonts w:hint="default" w:ascii="Times New Roman" w:hAnsi="Times New Roman" w:eastAsia="仿宋_GB2312" w:cs="Times New Roman"/>
          <w:szCs w:val="28"/>
          <w:lang w:val="en-US"/>
        </w:rPr>
        <w:t>生产事故。</w:t>
      </w:r>
      <w:r>
        <w:rPr>
          <w:rFonts w:hint="default" w:ascii="Times New Roman" w:hAnsi="Times New Roman" w:eastAsia="仿宋_GB2312" w:cs="Times New Roman"/>
          <w:szCs w:val="28"/>
          <w:lang w:val="en-US" w:eastAsia="zh-CN"/>
        </w:rPr>
        <w:t>参照</w:t>
      </w:r>
      <w:r>
        <w:rPr>
          <w:rFonts w:hint="default" w:ascii="Times New Roman" w:hAnsi="Times New Roman" w:eastAsia="仿宋_GB2312" w:cs="Times New Roman"/>
          <w:szCs w:val="28"/>
          <w:lang w:val="en-US"/>
        </w:rPr>
        <w:t>农业农村部：畜牧业</w:t>
      </w:r>
      <w:r>
        <w:rPr>
          <w:rFonts w:hint="eastAsia" w:ascii="Times New Roman" w:hAnsi="Times New Roman" w:eastAsia="仿宋_GB2312" w:cs="Times New Roman"/>
          <w:szCs w:val="28"/>
          <w:lang w:val="en-US" w:eastAsia="zh-CN"/>
        </w:rPr>
        <w:t>“</w:t>
      </w:r>
      <w:r>
        <w:rPr>
          <w:rFonts w:hint="default" w:ascii="Times New Roman" w:hAnsi="Times New Roman" w:eastAsia="仿宋_GB2312" w:cs="Times New Roman"/>
          <w:szCs w:val="28"/>
          <w:lang w:val="en-US"/>
        </w:rPr>
        <w:t>三品一标</w:t>
      </w:r>
      <w:r>
        <w:rPr>
          <w:rFonts w:hint="eastAsia" w:ascii="Times New Roman" w:hAnsi="Times New Roman" w:eastAsia="仿宋_GB2312" w:cs="Times New Roman"/>
          <w:szCs w:val="28"/>
          <w:lang w:val="en-US" w:eastAsia="zh-CN"/>
        </w:rPr>
        <w:t>”</w:t>
      </w:r>
      <w:r>
        <w:rPr>
          <w:rFonts w:hint="default" w:ascii="Times New Roman" w:hAnsi="Times New Roman" w:eastAsia="仿宋_GB2312" w:cs="Times New Roman"/>
          <w:szCs w:val="28"/>
          <w:lang w:val="en-US"/>
        </w:rPr>
        <w:t>提升行动实施方案（2022—2025年）</w:t>
      </w:r>
      <w:r>
        <w:rPr>
          <w:rFonts w:hint="eastAsia" w:ascii="仿宋_GB2312" w:eastAsia="仿宋_GB2312"/>
          <w:szCs w:val="28"/>
          <w:lang w:val="en-US" w:eastAsia="zh-CN"/>
        </w:rPr>
        <w:t>指标，</w:t>
      </w:r>
      <w:bookmarkEnd w:id="219"/>
      <w:bookmarkEnd w:id="220"/>
      <w:bookmarkStart w:id="221" w:name="_Toc1507"/>
      <w:bookmarkStart w:id="222" w:name="_Toc10701"/>
      <w:r>
        <w:rPr>
          <w:rFonts w:hint="default" w:ascii="仿宋_GB2312" w:eastAsia="仿宋_GB2312"/>
          <w:szCs w:val="28"/>
          <w:lang w:val="en-US"/>
        </w:rPr>
        <w:t>到</w:t>
      </w:r>
      <w:r>
        <w:rPr>
          <w:rFonts w:hint="default" w:ascii="Times New Roman" w:hAnsi="Times New Roman" w:eastAsia="仿宋_GB2312" w:cs="Times New Roman"/>
          <w:szCs w:val="28"/>
          <w:lang w:val="en-US"/>
        </w:rPr>
        <w:t xml:space="preserve">2025年，全县重大动物疫病强制免疫率达100%，肉蛋奶等畜禽产品的兽药残留监督抽检合格率保持在98% </w:t>
      </w:r>
      <w:r>
        <w:rPr>
          <w:rFonts w:hint="default" w:ascii="仿宋_GB2312" w:eastAsia="仿宋_GB2312"/>
          <w:szCs w:val="28"/>
          <w:lang w:val="en-US"/>
        </w:rPr>
        <w:t>以上</w:t>
      </w:r>
      <w:r>
        <w:rPr>
          <w:rFonts w:hint="default" w:eastAsia="仿宋_GB2312"/>
          <w:szCs w:val="28"/>
          <w:lang w:val="en-US"/>
        </w:rPr>
        <w:t>。</w:t>
      </w:r>
      <w:bookmarkEnd w:id="221"/>
      <w:bookmarkEnd w:id="222"/>
    </w:p>
    <w:p>
      <w:pPr>
        <w:widowControl/>
        <w:shd w:val="clear" w:color="auto" w:fill="FFFFFF"/>
        <w:spacing w:line="360" w:lineRule="auto"/>
        <w:ind w:firstLine="602"/>
        <w:rPr>
          <w:rFonts w:hint="default" w:eastAsia="仿宋"/>
          <w:b/>
          <w:bCs/>
          <w:color w:val="auto"/>
          <w:sz w:val="30"/>
          <w:szCs w:val="30"/>
        </w:rPr>
      </w:pPr>
      <w:r>
        <w:rPr>
          <w:rFonts w:eastAsia="仿宋"/>
          <w:b/>
          <w:bCs/>
          <w:color w:val="auto"/>
          <w:sz w:val="30"/>
          <w:szCs w:val="30"/>
          <w:lang w:val="en-US"/>
        </w:rPr>
        <w:t>4</w:t>
      </w:r>
      <w:r>
        <w:rPr>
          <w:rFonts w:hint="default" w:eastAsia="仿宋"/>
          <w:b/>
          <w:bCs/>
          <w:color w:val="auto"/>
          <w:sz w:val="30"/>
          <w:szCs w:val="30"/>
        </w:rPr>
        <w:t>.畜禽粪污资源化利用目标</w:t>
      </w:r>
    </w:p>
    <w:p>
      <w:pPr>
        <w:widowControl/>
        <w:shd w:val="clear" w:color="auto" w:fill="FFFFFF"/>
        <w:spacing w:line="360" w:lineRule="auto"/>
        <w:ind w:firstLine="560"/>
        <w:rPr>
          <w:rFonts w:hint="default" w:ascii="Times New Roman" w:hAnsi="Times New Roman" w:eastAsia="仿宋_GB2312" w:cs="Times New Roman"/>
          <w:szCs w:val="28"/>
          <w:lang w:val="en-US"/>
        </w:rPr>
      </w:pPr>
      <w:bookmarkStart w:id="223" w:name="_Toc32503"/>
      <w:r>
        <w:rPr>
          <w:rFonts w:hint="eastAsia" w:ascii="仿宋_GB2312" w:eastAsia="仿宋_GB2312"/>
          <w:szCs w:val="28"/>
          <w:lang w:val="en-US"/>
        </w:rPr>
        <w:t>鼓励引导规模养殖场建设必要的粪污处理利用配套设施，对现有基础设施和装备进行改造升级。支持第三方处理机构和社会化服务组织发挥专业、技术优势，建立有效的市场运行机制，引导企业提供可持续的商业模式和盈利模式，构建种养循环发展机制。以发展生态循环农业、促进果菜茶质量效益提升为目标，以果菜茶优势产区、核心产区、知名品牌生产基地为重点，支持引导农民和新型经营主体积造和施用有机肥，实现节本增效、提质增效。健全畜禽粪污还田利用和检测方法标准体系。加大有机肥、沼肥施用装备研发推广力度。引导</w:t>
      </w:r>
      <w:r>
        <w:rPr>
          <w:rFonts w:hint="eastAsia" w:ascii="仿宋_GB2312" w:eastAsia="仿宋_GB2312"/>
          <w:szCs w:val="28"/>
          <w:lang w:val="en-US" w:eastAsia="zh-CN"/>
        </w:rPr>
        <w:t>建宁</w:t>
      </w:r>
      <w:r>
        <w:rPr>
          <w:rFonts w:hint="eastAsia" w:ascii="仿宋_GB2312" w:eastAsia="仿宋_GB2312"/>
          <w:szCs w:val="28"/>
          <w:lang w:val="en-US"/>
        </w:rPr>
        <w:t>现代农业产业园率先实现农牧循环发展，带动形成一批种养结合的典型模式。</w:t>
      </w:r>
      <w:r>
        <w:rPr>
          <w:rFonts w:ascii="仿宋_GB2312" w:eastAsia="仿宋_GB2312"/>
          <w:szCs w:val="28"/>
          <w:lang w:val="en-US"/>
        </w:rPr>
        <w:t>大力推广干清粪工艺、干湿分离技术、高效节水技术、生态养殖技术和养殖废弃物综合利用，统筹推进病死猪牛羊禽等无害化处理，完善市场化运作模式，合理制定补助标准，完善保险联动机制。</w:t>
      </w:r>
      <w:r>
        <w:rPr>
          <w:rFonts w:hint="default" w:ascii="仿宋_GB2312" w:eastAsia="仿宋_GB2312"/>
          <w:szCs w:val="28"/>
          <w:lang w:val="en-US"/>
        </w:rPr>
        <w:t>鼓励规模养殖企业粪污资源化利用，以畜禽粪便、发酵床垫料为主要原料生产有机肥料</w:t>
      </w:r>
      <w:r>
        <w:rPr>
          <w:rFonts w:ascii="仿宋_GB2312" w:eastAsia="仿宋_GB2312"/>
          <w:szCs w:val="28"/>
          <w:lang w:val="en-US"/>
        </w:rPr>
        <w:t>，鼓励农业有机肥替代</w:t>
      </w:r>
      <w:r>
        <w:rPr>
          <w:rFonts w:hint="default" w:ascii="仿宋_GB2312" w:eastAsia="仿宋_GB2312"/>
          <w:szCs w:val="28"/>
          <w:lang w:val="en-US"/>
        </w:rPr>
        <w:t>，强化畜禽粪便无害化处理、资源化利用，减少环境污染，促进生态友好型农业发展。重点提升生猪养殖场粪污资源化利用水平，每个场需配备适量的种植基地，规模养殖场以租赁或契约的形式与种植户达成粪污资源化使用协议，全面配套落实种养对接的消纳地</w:t>
      </w:r>
      <w:r>
        <w:rPr>
          <w:rFonts w:hint="eastAsia" w:eastAsia="仿宋_GB2312" w:cs="Times New Roman"/>
          <w:szCs w:val="28"/>
          <w:lang w:val="en-US" w:eastAsia="zh-CN"/>
        </w:rPr>
        <w:t>。</w:t>
      </w:r>
      <w:r>
        <w:rPr>
          <w:rFonts w:hint="default" w:ascii="Times New Roman" w:hAnsi="Times New Roman" w:eastAsia="仿宋_GB2312" w:cs="Times New Roman"/>
          <w:szCs w:val="28"/>
          <w:lang w:val="en-US"/>
        </w:rPr>
        <w:t>到 2025年，畜禽粪污资源化利用全县推进工作全面完成，全县粪污资综合利用率达到 97%，规模养殖场粪污处理设施装备配套率达到 100%。</w:t>
      </w:r>
      <w:bookmarkEnd w:id="223"/>
      <w:r>
        <w:rPr>
          <w:rFonts w:hint="default" w:ascii="Times New Roman" w:hAnsi="Times New Roman" w:eastAsia="仿宋_GB2312" w:cs="Times New Roman"/>
          <w:szCs w:val="28"/>
          <w:lang w:val="en-US"/>
        </w:rPr>
        <w:t>加快畜禽粪污资源化利用先进技术和装备研发，积极推广全量收集利用畜禽粪污、全量机械化施用等经济高效的粪污资源化利用技术模式。</w:t>
      </w:r>
    </w:p>
    <w:p>
      <w:pPr>
        <w:pStyle w:val="8"/>
        <w:keepLines w:val="0"/>
        <w:widowControl/>
        <w:numPr>
          <w:ilvl w:val="0"/>
          <w:numId w:val="0"/>
        </w:numPr>
        <w:tabs>
          <w:tab w:val="clear" w:pos="0"/>
        </w:tabs>
        <w:spacing w:line="560" w:lineRule="exact"/>
        <w:ind w:firstLine="600" w:firstLineChars="200"/>
        <w:jc w:val="both"/>
        <w:rPr>
          <w:rFonts w:ascii="Times New Roman" w:hAnsi="Times New Roman" w:eastAsia="仿宋"/>
          <w:b/>
          <w:sz w:val="30"/>
          <w:szCs w:val="30"/>
        </w:rPr>
      </w:pPr>
      <w:r>
        <w:rPr>
          <w:rFonts w:hint="eastAsia" w:ascii="Times New Roman" w:hAnsi="Times New Roman" w:eastAsia="仿宋"/>
          <w:b/>
          <w:sz w:val="30"/>
          <w:szCs w:val="30"/>
          <w:lang w:val="en-US" w:eastAsia="zh-CN"/>
        </w:rPr>
        <w:t>5</w:t>
      </w:r>
      <w:r>
        <w:rPr>
          <w:rFonts w:ascii="Times New Roman" w:hAnsi="Times New Roman" w:eastAsia="仿宋"/>
          <w:b/>
          <w:sz w:val="30"/>
          <w:szCs w:val="30"/>
        </w:rPr>
        <w:t>.产业化发展目标</w:t>
      </w:r>
    </w:p>
    <w:p>
      <w:pPr>
        <w:spacing w:before="156" w:after="156" w:line="360" w:lineRule="auto"/>
        <w:ind w:firstLine="548" w:firstLineChars="196"/>
        <w:outlineLvl w:val="1"/>
        <w:rPr>
          <w:rFonts w:ascii="仿宋_GB2312" w:eastAsia="仿宋_GB2312"/>
          <w:szCs w:val="28"/>
          <w:lang w:val="en-US"/>
        </w:rPr>
      </w:pPr>
      <w:bookmarkStart w:id="224" w:name="_Toc28349"/>
      <w:bookmarkStart w:id="225" w:name="_Toc13122"/>
      <w:bookmarkStart w:id="226" w:name="_Toc11886"/>
      <w:bookmarkStart w:id="227" w:name="_Toc27202"/>
      <w:r>
        <w:rPr>
          <w:rFonts w:hint="default" w:ascii="仿宋_GB2312" w:eastAsia="仿宋_GB2312"/>
          <w:szCs w:val="28"/>
          <w:lang w:val="en-US"/>
        </w:rPr>
        <w:t>建立以龙头企业为核心、家庭农场为基础、专业合作社为纽带的紧密型产业联合体，提升产业发展水平，提高畜产品加工比重。</w:t>
      </w:r>
      <w:bookmarkEnd w:id="224"/>
      <w:bookmarkStart w:id="228" w:name="_Toc10808"/>
      <w:bookmarkStart w:id="229" w:name="_Toc58780953"/>
      <w:bookmarkStart w:id="230" w:name="_Toc55807954"/>
      <w:r>
        <w:rPr>
          <w:rFonts w:ascii="仿宋_GB2312" w:eastAsia="仿宋_GB2312"/>
          <w:szCs w:val="28"/>
          <w:lang w:val="en-US"/>
        </w:rPr>
        <w:t>围绕奶牛、生猪二大畜种，重点建设高标准养殖圈舍，配备粪污清理利用等智能环控设施和自动挤奶等数字化设备，重点支持养殖精准饲喂和智能信息化控制等建设。</w:t>
      </w:r>
      <w:r>
        <w:rPr>
          <w:rFonts w:eastAsia="仿宋"/>
          <w:szCs w:val="28"/>
          <w:shd w:val="clear" w:color="auto" w:fill="FFFFFF"/>
        </w:rPr>
        <w:t>坚持全产业链发展路径，通过政策引导、机制创新、主体培育等措施，加强优质饲草料供给，支持发展标准化、数字化规模养殖，推进产业链前伸后延，提高奶业综合生产能力。</w:t>
      </w:r>
      <w:r>
        <w:rPr>
          <w:rFonts w:ascii="仿宋_GB2312" w:eastAsia="仿宋_GB2312"/>
          <w:szCs w:val="28"/>
          <w:lang w:val="en-US"/>
        </w:rPr>
        <w:t>推广应用奶牛场物联网和智能化设施设备，提升奶牛养殖机械化、信息化、智能化水平。建设数字</w:t>
      </w:r>
      <w:r>
        <w:rPr>
          <w:rFonts w:hint="eastAsia" w:ascii="仿宋_GB2312" w:eastAsia="仿宋_GB2312"/>
          <w:szCs w:val="28"/>
          <w:lang w:val="en-US" w:eastAsia="zh-CN"/>
        </w:rPr>
        <w:t>养殖</w:t>
      </w:r>
      <w:r>
        <w:rPr>
          <w:rFonts w:ascii="仿宋_GB2312" w:eastAsia="仿宋_GB2312"/>
          <w:szCs w:val="28"/>
          <w:lang w:val="en-US"/>
        </w:rPr>
        <w:t>场，推进畜禽圈舍通风温控、空气过滤、环境感知等设备智能化改造。加强大数据、人工智能、云计算、物联网、移动互联网等技术在畜牧行业的应用。提高圈舍环境、精准饲喂、动物疾病检测、畜禽产品追溯等智能化水平。</w:t>
      </w:r>
      <w:bookmarkEnd w:id="225"/>
      <w:bookmarkEnd w:id="226"/>
      <w:bookmarkEnd w:id="227"/>
      <w:bookmarkEnd w:id="228"/>
    </w:p>
    <w:p>
      <w:pPr>
        <w:widowControl/>
        <w:numPr>
          <w:ilvl w:val="0"/>
          <w:numId w:val="5"/>
        </w:numPr>
        <w:shd w:val="clear" w:color="auto" w:fill="FFFFFF"/>
        <w:spacing w:line="360" w:lineRule="auto"/>
        <w:ind w:firstLine="602"/>
        <w:rPr>
          <w:rFonts w:eastAsia="仿宋"/>
          <w:b/>
          <w:bCs/>
          <w:color w:val="auto"/>
          <w:sz w:val="30"/>
          <w:szCs w:val="30"/>
        </w:rPr>
      </w:pPr>
      <w:r>
        <w:rPr>
          <w:rFonts w:eastAsia="仿宋"/>
          <w:b/>
          <w:bCs/>
          <w:color w:val="auto"/>
          <w:sz w:val="30"/>
          <w:szCs w:val="30"/>
        </w:rPr>
        <w:t>建立绿色循环发展机制</w:t>
      </w:r>
    </w:p>
    <w:p>
      <w:pPr>
        <w:spacing w:before="156" w:after="156" w:line="360" w:lineRule="auto"/>
        <w:ind w:firstLine="548" w:firstLineChars="196"/>
        <w:outlineLvl w:val="1"/>
        <w:rPr>
          <w:rFonts w:eastAsia="仿宋"/>
          <w:b/>
          <w:bCs/>
          <w:szCs w:val="28"/>
        </w:rPr>
      </w:pPr>
      <w:bookmarkStart w:id="231" w:name="_Toc3867"/>
      <w:bookmarkStart w:id="232" w:name="_Toc26550"/>
      <w:bookmarkStart w:id="233" w:name="_Toc15198"/>
      <w:r>
        <w:rPr>
          <w:rFonts w:ascii="仿宋_GB2312" w:eastAsia="仿宋_GB2312"/>
          <w:szCs w:val="28"/>
          <w:lang w:val="en-US"/>
        </w:rPr>
        <w:t>大力发展生态、清洁、节水、循环畜牧业，构建以废弃物综合利用为核心的畜牧业循环经济产业链。全面建成与资源环境承载力相匹配、生产生活生态相协调、农牧结合、种养加一体的畜牧业绿色发展体系。到</w:t>
      </w:r>
      <w:r>
        <w:rPr>
          <w:rFonts w:hint="default" w:eastAsia="仿宋_GB2312"/>
          <w:szCs w:val="28"/>
          <w:lang w:val="en-US"/>
        </w:rPr>
        <w:t>2025年，畜禽生态健康养殖比重提高到60%以上，畜禽粪污综合利用率达到9</w:t>
      </w:r>
      <w:r>
        <w:rPr>
          <w:rFonts w:hint="eastAsia" w:eastAsia="仿宋_GB2312"/>
          <w:szCs w:val="28"/>
          <w:lang w:val="en-US" w:eastAsia="zh-CN"/>
        </w:rPr>
        <w:t>7</w:t>
      </w:r>
      <w:r>
        <w:rPr>
          <w:rFonts w:hint="default" w:eastAsia="仿宋_GB2312"/>
          <w:szCs w:val="28"/>
          <w:lang w:val="en-US"/>
        </w:rPr>
        <w:t>%以上，有机肥替代化肥量较2020年增加3%左右。到2025年，畜牧业区域布局与资源环境承载力相匹配</w:t>
      </w:r>
      <w:r>
        <w:rPr>
          <w:rFonts w:ascii="仿宋_GB2312" w:eastAsia="仿宋_GB2312"/>
          <w:szCs w:val="28"/>
          <w:lang w:val="en-US"/>
        </w:rPr>
        <w:t>，形成农牧结合、种养加一体的绿色畜牧业发展模式；建立畜禽规模养殖污染防治模式和运行机制，构建与“清新福建”相匹配的生态高效畜牧业新格局。</w:t>
      </w:r>
      <w:bookmarkEnd w:id="231"/>
      <w:bookmarkEnd w:id="232"/>
      <w:bookmarkEnd w:id="233"/>
      <w:bookmarkStart w:id="234" w:name="_Toc59656466"/>
    </w:p>
    <w:p>
      <w:pPr>
        <w:pStyle w:val="22"/>
        <w:spacing w:line="240" w:lineRule="auto"/>
        <w:ind w:firstLine="0" w:firstLineChars="0"/>
        <w:jc w:val="center"/>
        <w:rPr>
          <w:rFonts w:eastAsia="仿宋"/>
          <w:b/>
          <w:bCs/>
          <w:szCs w:val="28"/>
        </w:rPr>
      </w:pPr>
      <w:r>
        <w:rPr>
          <w:rFonts w:eastAsia="仿宋"/>
          <w:b/>
          <w:bCs/>
          <w:szCs w:val="28"/>
        </w:rPr>
        <w:t>表</w:t>
      </w:r>
      <w:r>
        <w:rPr>
          <w:rFonts w:hint="eastAsia" w:eastAsia="仿宋"/>
          <w:b/>
          <w:bCs/>
          <w:szCs w:val="28"/>
          <w:lang w:val="en-US" w:eastAsia="zh-CN"/>
        </w:rPr>
        <w:t>2</w:t>
      </w:r>
      <w:r>
        <w:rPr>
          <w:rFonts w:eastAsia="仿宋"/>
          <w:b/>
          <w:bCs/>
          <w:szCs w:val="28"/>
        </w:rPr>
        <w:t>“十四五”期间建宁县畜牧业主要规划指标</w:t>
      </w:r>
      <w:bookmarkEnd w:id="234"/>
    </w:p>
    <w:tbl>
      <w:tblPr>
        <w:tblStyle w:val="18"/>
        <w:tblpPr w:leftFromText="180" w:rightFromText="180" w:vertAnchor="text" w:horzAnchor="page" w:tblpX="1737" w:tblpY="568"/>
        <w:tblOverlap w:val="never"/>
        <w:tblW w:w="83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
        <w:gridCol w:w="1775"/>
        <w:gridCol w:w="924"/>
        <w:gridCol w:w="1379"/>
        <w:gridCol w:w="1399"/>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34" w:type="dxa"/>
            <w:gridSpan w:val="2"/>
            <w:noWrap w:val="0"/>
            <w:tcMar>
              <w:top w:w="0" w:type="dxa"/>
              <w:left w:w="28" w:type="dxa"/>
              <w:bottom w:w="0" w:type="dxa"/>
              <w:right w:w="28" w:type="dxa"/>
            </w:tcMar>
            <w:vAlign w:val="center"/>
          </w:tcPr>
          <w:p>
            <w:pPr>
              <w:snapToGrid w:val="0"/>
              <w:spacing w:line="520" w:lineRule="exact"/>
              <w:ind w:firstLine="482"/>
              <w:jc w:val="center"/>
              <w:rPr>
                <w:rFonts w:ascii="宋体" w:hAnsi="宋体" w:cs="宋体"/>
                <w:b/>
                <w:snapToGrid w:val="0"/>
                <w:sz w:val="24"/>
              </w:rPr>
            </w:pPr>
            <w:r>
              <w:rPr>
                <w:rFonts w:ascii="宋体" w:hAnsi="宋体" w:cs="宋体"/>
                <w:b/>
                <w:snapToGrid w:val="0"/>
                <w:sz w:val="24"/>
              </w:rPr>
              <w:t>指 标</w:t>
            </w:r>
          </w:p>
        </w:tc>
        <w:tc>
          <w:tcPr>
            <w:tcW w:w="924" w:type="dxa"/>
            <w:noWrap w:val="0"/>
            <w:vAlign w:val="center"/>
          </w:tcPr>
          <w:p>
            <w:pPr>
              <w:snapToGrid w:val="0"/>
              <w:spacing w:line="520" w:lineRule="exact"/>
              <w:ind w:firstLine="0" w:firstLineChars="0"/>
              <w:jc w:val="both"/>
              <w:rPr>
                <w:rFonts w:hint="default"/>
                <w:b/>
                <w:snapToGrid w:val="0"/>
                <w:sz w:val="24"/>
              </w:rPr>
            </w:pPr>
            <w:r>
              <w:rPr>
                <w:rFonts w:hint="default"/>
                <w:b/>
                <w:snapToGrid w:val="0"/>
                <w:sz w:val="24"/>
              </w:rPr>
              <w:t>单位</w:t>
            </w:r>
          </w:p>
        </w:tc>
        <w:tc>
          <w:tcPr>
            <w:tcW w:w="1379" w:type="dxa"/>
            <w:noWrap w:val="0"/>
            <w:vAlign w:val="center"/>
          </w:tcPr>
          <w:p>
            <w:pPr>
              <w:snapToGrid w:val="0"/>
              <w:spacing w:line="520" w:lineRule="exact"/>
              <w:ind w:firstLine="0" w:firstLineChars="0"/>
              <w:jc w:val="center"/>
              <w:rPr>
                <w:rFonts w:hint="default"/>
                <w:b/>
                <w:snapToGrid w:val="0"/>
                <w:sz w:val="24"/>
              </w:rPr>
            </w:pPr>
            <w:r>
              <w:rPr>
                <w:rFonts w:hint="default"/>
                <w:b/>
                <w:snapToGrid w:val="0"/>
                <w:sz w:val="24"/>
              </w:rPr>
              <w:t>202</w:t>
            </w:r>
            <w:r>
              <w:rPr>
                <w:rFonts w:hint="default"/>
                <w:b/>
                <w:snapToGrid w:val="0"/>
                <w:sz w:val="24"/>
                <w:lang w:val="en-US"/>
              </w:rPr>
              <w:t>0</w:t>
            </w:r>
            <w:r>
              <w:rPr>
                <w:rFonts w:hint="default"/>
                <w:b/>
                <w:snapToGrid w:val="0"/>
                <w:sz w:val="24"/>
              </w:rPr>
              <w:t>年</w:t>
            </w:r>
          </w:p>
        </w:tc>
        <w:tc>
          <w:tcPr>
            <w:tcW w:w="1399" w:type="dxa"/>
            <w:noWrap w:val="0"/>
            <w:vAlign w:val="center"/>
          </w:tcPr>
          <w:p>
            <w:pPr>
              <w:snapToGrid w:val="0"/>
              <w:spacing w:line="520" w:lineRule="exact"/>
              <w:ind w:firstLine="0" w:firstLineChars="0"/>
              <w:jc w:val="center"/>
              <w:rPr>
                <w:rFonts w:hint="default"/>
                <w:b/>
                <w:snapToGrid w:val="0"/>
                <w:sz w:val="24"/>
              </w:rPr>
            </w:pPr>
            <w:r>
              <w:rPr>
                <w:rFonts w:hint="default"/>
                <w:b/>
                <w:snapToGrid w:val="0"/>
                <w:sz w:val="24"/>
              </w:rPr>
              <w:t>2025年</w:t>
            </w:r>
          </w:p>
        </w:tc>
        <w:tc>
          <w:tcPr>
            <w:tcW w:w="2056" w:type="dxa"/>
            <w:noWrap w:val="0"/>
            <w:vAlign w:val="center"/>
          </w:tcPr>
          <w:p>
            <w:pPr>
              <w:snapToGrid w:val="0"/>
              <w:spacing w:line="520" w:lineRule="exact"/>
              <w:ind w:firstLine="0" w:firstLineChars="0"/>
              <w:jc w:val="center"/>
              <w:rPr>
                <w:rFonts w:hint="default" w:ascii="宋体" w:hAnsi="宋体" w:cs="宋体"/>
                <w:b/>
                <w:snapToGrid w:val="0"/>
                <w:sz w:val="24"/>
                <w:lang w:val="en-US"/>
              </w:rPr>
            </w:pPr>
            <w:r>
              <w:rPr>
                <w:rFonts w:ascii="宋体" w:hAnsi="宋体" w:cs="宋体"/>
                <w:b/>
                <w:snapToGrid w:val="0"/>
                <w:sz w:val="24"/>
                <w:lang w:val="en-US"/>
              </w:rPr>
              <w:t>指标属性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59" w:type="dxa"/>
            <w:vMerge w:val="restart"/>
            <w:noWrap w:val="0"/>
            <w:tcMar>
              <w:top w:w="0" w:type="dxa"/>
              <w:left w:w="28" w:type="dxa"/>
              <w:bottom w:w="0" w:type="dxa"/>
              <w:right w:w="28" w:type="dxa"/>
            </w:tcMar>
            <w:vAlign w:val="center"/>
          </w:tcPr>
          <w:p>
            <w:pPr>
              <w:snapToGrid w:val="0"/>
              <w:spacing w:line="520" w:lineRule="exact"/>
              <w:ind w:firstLine="0" w:firstLineChars="0"/>
              <w:jc w:val="both"/>
              <w:rPr>
                <w:rFonts w:ascii="仿宋_GB2312" w:hAnsi="仿宋_GB2312" w:eastAsia="仿宋_GB2312" w:cs="仿宋_GB2312"/>
                <w:sz w:val="24"/>
              </w:rPr>
            </w:pPr>
            <w:r>
              <w:rPr>
                <w:rFonts w:ascii="仿宋_GB2312" w:hAnsi="仿宋_GB2312" w:eastAsia="仿宋_GB2312" w:cs="仿宋_GB2312"/>
                <w:sz w:val="24"/>
              </w:rPr>
              <w:t>生猪</w:t>
            </w: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年末存栏</w:t>
            </w:r>
          </w:p>
        </w:tc>
        <w:tc>
          <w:tcPr>
            <w:tcW w:w="924" w:type="dxa"/>
            <w:noWrap w:val="0"/>
            <w:vAlign w:val="center"/>
          </w:tcPr>
          <w:p>
            <w:pPr>
              <w:snapToGrid w:val="0"/>
              <w:spacing w:line="520" w:lineRule="exact"/>
              <w:ind w:firstLine="0" w:firstLineChars="0"/>
              <w:jc w:val="both"/>
              <w:rPr>
                <w:rFonts w:hint="default" w:eastAsia="仿宋_GB2312"/>
                <w:sz w:val="24"/>
              </w:rPr>
            </w:pPr>
            <w:r>
              <w:rPr>
                <w:rFonts w:hint="default" w:eastAsia="仿宋_GB2312"/>
                <w:sz w:val="24"/>
              </w:rPr>
              <w:t>万头</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7.0</w:t>
            </w:r>
          </w:p>
        </w:tc>
        <w:tc>
          <w:tcPr>
            <w:tcW w:w="1399" w:type="dxa"/>
            <w:noWrap w:val="0"/>
            <w:vAlign w:val="center"/>
          </w:tcPr>
          <w:p>
            <w:pPr>
              <w:snapToGrid w:val="0"/>
              <w:spacing w:line="520" w:lineRule="exact"/>
              <w:ind w:firstLine="480"/>
              <w:jc w:val="center"/>
              <w:rPr>
                <w:rFonts w:hint="eastAsia" w:eastAsia="仿宋_GB2312"/>
                <w:sz w:val="24"/>
                <w:lang w:val="en-US" w:eastAsia="zh-CN"/>
              </w:rPr>
            </w:pPr>
            <w:r>
              <w:rPr>
                <w:rFonts w:hint="eastAsia" w:eastAsia="仿宋_GB2312"/>
                <w:sz w:val="24"/>
                <w:lang w:val="en-US" w:eastAsia="zh-CN"/>
              </w:rPr>
              <w:t>7</w:t>
            </w:r>
            <w:r>
              <w:rPr>
                <w:rFonts w:hint="default" w:eastAsia="仿宋_GB2312"/>
                <w:sz w:val="24"/>
                <w:lang w:val="en-US"/>
              </w:rPr>
              <w:t>.</w:t>
            </w:r>
            <w:r>
              <w:rPr>
                <w:rFonts w:hint="eastAsia" w:eastAsia="仿宋_GB2312"/>
                <w:sz w:val="24"/>
                <w:lang w:val="en-US" w:eastAsia="zh-CN"/>
              </w:rPr>
              <w:t>0</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9" w:type="dxa"/>
            <w:vMerge w:val="continue"/>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当年出栏</w:t>
            </w:r>
          </w:p>
        </w:tc>
        <w:tc>
          <w:tcPr>
            <w:tcW w:w="924" w:type="dxa"/>
            <w:noWrap w:val="0"/>
            <w:vAlign w:val="center"/>
          </w:tcPr>
          <w:p>
            <w:pPr>
              <w:snapToGrid w:val="0"/>
              <w:spacing w:line="520" w:lineRule="exact"/>
              <w:ind w:firstLine="0" w:firstLineChars="0"/>
              <w:jc w:val="both"/>
              <w:rPr>
                <w:rFonts w:hint="default" w:eastAsia="仿宋_GB2312"/>
                <w:sz w:val="24"/>
              </w:rPr>
            </w:pPr>
            <w:r>
              <w:rPr>
                <w:rFonts w:hint="default" w:eastAsia="仿宋_GB2312"/>
                <w:sz w:val="24"/>
              </w:rPr>
              <w:t>万头</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11.5</w:t>
            </w:r>
          </w:p>
        </w:tc>
        <w:tc>
          <w:tcPr>
            <w:tcW w:w="1399" w:type="dxa"/>
            <w:noWrap w:val="0"/>
            <w:vAlign w:val="center"/>
          </w:tcPr>
          <w:p>
            <w:pPr>
              <w:snapToGrid w:val="0"/>
              <w:spacing w:line="520" w:lineRule="exact"/>
              <w:ind w:firstLine="480"/>
              <w:jc w:val="center"/>
              <w:rPr>
                <w:rFonts w:hint="default" w:eastAsia="仿宋_GB2312"/>
                <w:sz w:val="24"/>
                <w:lang w:val="en-US" w:eastAsia="zh-CN"/>
              </w:rPr>
            </w:pPr>
            <w:r>
              <w:rPr>
                <w:rFonts w:hint="default" w:eastAsia="仿宋_GB2312"/>
                <w:sz w:val="24"/>
                <w:lang w:val="en-US"/>
              </w:rPr>
              <w:t>1</w:t>
            </w:r>
            <w:r>
              <w:rPr>
                <w:rFonts w:hint="eastAsia" w:eastAsia="仿宋_GB2312"/>
                <w:sz w:val="24"/>
                <w:lang w:val="en-US" w:eastAsia="zh-CN"/>
              </w:rPr>
              <w:t>2.5</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59" w:type="dxa"/>
            <w:vMerge w:val="restart"/>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牛</w:t>
            </w: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年末存栏</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头</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5619</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2</w:t>
            </w:r>
            <w:r>
              <w:rPr>
                <w:rFonts w:hint="eastAsia" w:eastAsia="仿宋_GB2312"/>
                <w:sz w:val="24"/>
                <w:lang w:val="en-US" w:eastAsia="zh-CN"/>
              </w:rPr>
              <w:t>3</w:t>
            </w:r>
            <w:r>
              <w:rPr>
                <w:rFonts w:hint="default" w:eastAsia="仿宋_GB2312"/>
                <w:sz w:val="24"/>
                <w:lang w:val="en-US"/>
              </w:rPr>
              <w:t>000</w:t>
            </w:r>
          </w:p>
        </w:tc>
        <w:tc>
          <w:tcPr>
            <w:tcW w:w="2056" w:type="dxa"/>
            <w:noWrap w:val="0"/>
            <w:vAlign w:val="center"/>
          </w:tcPr>
          <w:p>
            <w:pPr>
              <w:widowControl/>
              <w:ind w:firstLine="480"/>
              <w:jc w:val="center"/>
              <w:rPr>
                <w:rFonts w:ascii="仿宋_GB2312" w:hAnsi="仿宋_GB2312" w:eastAsia="仿宋_GB2312" w:cs="仿宋_GB2312"/>
                <w:color w:val="FF0000"/>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trPr>
        <w:tc>
          <w:tcPr>
            <w:tcW w:w="859" w:type="dxa"/>
            <w:vMerge w:val="continue"/>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其中奶牛</w:t>
            </w:r>
          </w:p>
        </w:tc>
        <w:tc>
          <w:tcPr>
            <w:tcW w:w="924" w:type="dxa"/>
            <w:noWrap w:val="0"/>
            <w:vAlign w:val="center"/>
          </w:tcPr>
          <w:p>
            <w:pPr>
              <w:snapToGrid w:val="0"/>
              <w:spacing w:line="520" w:lineRule="exact"/>
              <w:ind w:firstLine="480"/>
              <w:jc w:val="center"/>
              <w:rPr>
                <w:rFonts w:eastAsia="仿宋_GB2312"/>
                <w:sz w:val="24"/>
                <w:lang w:val="en-US"/>
              </w:rPr>
            </w:pPr>
            <w:r>
              <w:rPr>
                <w:rFonts w:eastAsia="仿宋_GB2312"/>
                <w:sz w:val="24"/>
                <w:lang w:val="en-US"/>
              </w:rPr>
              <w:t>头</w:t>
            </w:r>
          </w:p>
        </w:tc>
        <w:tc>
          <w:tcPr>
            <w:tcW w:w="1379" w:type="dxa"/>
            <w:noWrap w:val="0"/>
            <w:vAlign w:val="center"/>
          </w:tcPr>
          <w:p>
            <w:pPr>
              <w:snapToGrid w:val="0"/>
              <w:spacing w:line="520" w:lineRule="exact"/>
              <w:ind w:firstLine="480"/>
              <w:jc w:val="center"/>
              <w:rPr>
                <w:rFonts w:hint="default" w:eastAsia="仿宋_GB2312"/>
                <w:sz w:val="24"/>
                <w:lang w:val="en-US"/>
              </w:rPr>
            </w:pPr>
            <w:r>
              <w:rPr>
                <w:rFonts w:eastAsia="仿宋_GB2312"/>
                <w:sz w:val="24"/>
                <w:lang w:val="en-US"/>
              </w:rPr>
              <w:t>2800</w:t>
            </w:r>
          </w:p>
        </w:tc>
        <w:tc>
          <w:tcPr>
            <w:tcW w:w="1399" w:type="dxa"/>
            <w:noWrap w:val="0"/>
            <w:vAlign w:val="center"/>
          </w:tcPr>
          <w:p>
            <w:pPr>
              <w:snapToGrid w:val="0"/>
              <w:spacing w:line="520" w:lineRule="exact"/>
              <w:ind w:firstLine="480"/>
              <w:jc w:val="center"/>
              <w:rPr>
                <w:rFonts w:hint="default" w:eastAsia="仿宋_GB2312"/>
                <w:sz w:val="24"/>
                <w:lang w:val="en-US"/>
              </w:rPr>
            </w:pPr>
            <w:r>
              <w:rPr>
                <w:rFonts w:eastAsia="仿宋_GB2312"/>
                <w:sz w:val="24"/>
                <w:lang w:val="en-US"/>
              </w:rPr>
              <w:t>2</w:t>
            </w:r>
            <w:r>
              <w:rPr>
                <w:rFonts w:hint="eastAsia" w:eastAsia="仿宋_GB2312"/>
                <w:sz w:val="24"/>
                <w:lang w:val="en-US" w:eastAsia="zh-CN"/>
              </w:rPr>
              <w:t>0</w:t>
            </w:r>
            <w:r>
              <w:rPr>
                <w:rFonts w:eastAsia="仿宋_GB2312"/>
                <w:sz w:val="24"/>
                <w:lang w:val="en-US"/>
              </w:rPr>
              <w:t>000</w:t>
            </w:r>
          </w:p>
        </w:tc>
        <w:tc>
          <w:tcPr>
            <w:tcW w:w="2056" w:type="dxa"/>
            <w:noWrap w:val="0"/>
            <w:vAlign w:val="center"/>
          </w:tcPr>
          <w:p>
            <w:pPr>
              <w:widowControl/>
              <w:ind w:firstLine="480"/>
              <w:jc w:val="center"/>
              <w:rPr>
                <w:rFonts w:ascii="宋体" w:hAnsi="宋体" w:cs="宋体"/>
                <w:sz w:val="24"/>
                <w:lang w:val="en-US" w:bidi="ar"/>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9" w:type="dxa"/>
            <w:vMerge w:val="continue"/>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当年出栏</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头</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2063</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eastAsia" w:eastAsia="仿宋_GB2312"/>
                <w:sz w:val="24"/>
                <w:lang w:val="en-US" w:eastAsia="zh-CN"/>
              </w:rPr>
              <w:t>3</w:t>
            </w:r>
            <w:r>
              <w:rPr>
                <w:rFonts w:hint="default" w:eastAsia="仿宋_GB2312"/>
                <w:sz w:val="24"/>
                <w:lang w:val="en-US"/>
              </w:rPr>
              <w:t>000</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9" w:type="dxa"/>
            <w:vMerge w:val="restart"/>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羊</w:t>
            </w: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年末存栏</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头</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12113</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15000</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9" w:type="dxa"/>
            <w:vMerge w:val="continue"/>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当年出栏</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头</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10450</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20000</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9" w:type="dxa"/>
            <w:vMerge w:val="restart"/>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兔</w:t>
            </w: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存栏</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只</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2645</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4000</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9" w:type="dxa"/>
            <w:vMerge w:val="continue"/>
            <w:noWrap w:val="0"/>
            <w:tcMar>
              <w:top w:w="0" w:type="dxa"/>
              <w:left w:w="28" w:type="dxa"/>
              <w:bottom w:w="0" w:type="dxa"/>
              <w:right w:w="28" w:type="dxa"/>
            </w:tcMar>
            <w:vAlign w:val="top"/>
          </w:tcPr>
          <w:p>
            <w:pPr>
              <w:snapToGrid w:val="0"/>
              <w:spacing w:line="520" w:lineRule="exact"/>
              <w:ind w:firstLine="480"/>
              <w:jc w:val="center"/>
              <w:rPr>
                <w:rFonts w:ascii="仿宋_GB2312" w:hAnsi="仿宋_GB2312" w:eastAsia="仿宋_GB2312" w:cs="仿宋_GB2312"/>
                <w:sz w:val="24"/>
              </w:rPr>
            </w:pP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出栏</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只</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5866</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8000</w:t>
            </w:r>
          </w:p>
        </w:tc>
        <w:tc>
          <w:tcPr>
            <w:tcW w:w="2056" w:type="dxa"/>
            <w:noWrap w:val="0"/>
            <w:vAlign w:val="center"/>
          </w:tcPr>
          <w:p>
            <w:pPr>
              <w:widowControl/>
              <w:ind w:firstLine="480"/>
              <w:jc w:val="center"/>
              <w:rPr>
                <w:rFonts w:ascii="仿宋_GB2312" w:hAnsi="仿宋_GB2312" w:eastAsia="仿宋_GB2312" w:cs="仿宋_GB2312"/>
                <w:color w:val="FF0000"/>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59" w:type="dxa"/>
            <w:vMerge w:val="restart"/>
            <w:noWrap w:val="0"/>
            <w:tcMar>
              <w:top w:w="0" w:type="dxa"/>
              <w:left w:w="28" w:type="dxa"/>
              <w:bottom w:w="0" w:type="dxa"/>
              <w:right w:w="28" w:type="dxa"/>
            </w:tcMar>
            <w:vAlign w:val="center"/>
          </w:tcPr>
          <w:p>
            <w:pPr>
              <w:snapToGrid w:val="0"/>
              <w:spacing w:line="520" w:lineRule="exact"/>
              <w:ind w:firstLine="0" w:firstLineChars="0"/>
              <w:jc w:val="both"/>
              <w:rPr>
                <w:rFonts w:ascii="仿宋_GB2312" w:hAnsi="仿宋_GB2312" w:eastAsia="仿宋_GB2312" w:cs="仿宋_GB2312"/>
                <w:sz w:val="24"/>
              </w:rPr>
            </w:pPr>
            <w:r>
              <w:rPr>
                <w:rFonts w:ascii="仿宋_GB2312" w:hAnsi="仿宋_GB2312" w:eastAsia="仿宋_GB2312" w:cs="仿宋_GB2312"/>
                <w:sz w:val="24"/>
                <w:lang w:val="en-US"/>
              </w:rPr>
              <w:t>家</w:t>
            </w:r>
            <w:r>
              <w:rPr>
                <w:rFonts w:ascii="仿宋_GB2312" w:hAnsi="仿宋_GB2312" w:eastAsia="仿宋_GB2312" w:cs="仿宋_GB2312"/>
                <w:sz w:val="24"/>
              </w:rPr>
              <w:t>禽</w:t>
            </w: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存栏</w:t>
            </w:r>
          </w:p>
        </w:tc>
        <w:tc>
          <w:tcPr>
            <w:tcW w:w="924" w:type="dxa"/>
            <w:noWrap w:val="0"/>
            <w:vAlign w:val="center"/>
          </w:tcPr>
          <w:p>
            <w:pPr>
              <w:snapToGrid w:val="0"/>
              <w:spacing w:line="520" w:lineRule="exact"/>
              <w:ind w:firstLine="0" w:firstLineChars="0"/>
              <w:jc w:val="both"/>
              <w:rPr>
                <w:rFonts w:hint="default" w:eastAsia="仿宋_GB2312"/>
                <w:sz w:val="24"/>
              </w:rPr>
            </w:pPr>
            <w:r>
              <w:rPr>
                <w:rFonts w:hint="default" w:eastAsia="仿宋_GB2312"/>
                <w:sz w:val="24"/>
              </w:rPr>
              <w:t>万羽</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70</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70</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9" w:type="dxa"/>
            <w:vMerge w:val="continue"/>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p>
        </w:tc>
        <w:tc>
          <w:tcPr>
            <w:tcW w:w="1775" w:type="dxa"/>
            <w:noWrap w:val="0"/>
            <w:tcMar>
              <w:top w:w="0" w:type="dxa"/>
              <w:left w:w="28" w:type="dxa"/>
              <w:bottom w:w="0" w:type="dxa"/>
              <w:right w:w="28" w:type="dxa"/>
            </w:tcMar>
            <w:vAlign w:val="center"/>
          </w:tcPr>
          <w:p>
            <w:pPr>
              <w:snapToGrid w:val="0"/>
              <w:spacing w:line="520" w:lineRule="exact"/>
              <w:ind w:firstLine="480"/>
              <w:jc w:val="center"/>
              <w:rPr>
                <w:rFonts w:ascii="仿宋_GB2312" w:hAnsi="仿宋_GB2312" w:eastAsia="仿宋_GB2312" w:cs="仿宋_GB2312"/>
                <w:sz w:val="24"/>
              </w:rPr>
            </w:pPr>
            <w:r>
              <w:rPr>
                <w:rFonts w:ascii="仿宋_GB2312" w:hAnsi="仿宋_GB2312" w:eastAsia="仿宋_GB2312" w:cs="仿宋_GB2312"/>
                <w:sz w:val="24"/>
              </w:rPr>
              <w:t>出栏</w:t>
            </w:r>
          </w:p>
        </w:tc>
        <w:tc>
          <w:tcPr>
            <w:tcW w:w="924" w:type="dxa"/>
            <w:noWrap w:val="0"/>
            <w:vAlign w:val="center"/>
          </w:tcPr>
          <w:p>
            <w:pPr>
              <w:snapToGrid w:val="0"/>
              <w:spacing w:line="520" w:lineRule="exact"/>
              <w:ind w:firstLine="0" w:firstLineChars="0"/>
              <w:jc w:val="both"/>
              <w:rPr>
                <w:rFonts w:hint="default" w:eastAsia="仿宋_GB2312"/>
                <w:sz w:val="24"/>
              </w:rPr>
            </w:pPr>
            <w:r>
              <w:rPr>
                <w:rFonts w:hint="default" w:eastAsia="仿宋_GB2312"/>
                <w:sz w:val="24"/>
              </w:rPr>
              <w:t>万羽</w:t>
            </w:r>
          </w:p>
        </w:tc>
        <w:tc>
          <w:tcPr>
            <w:tcW w:w="137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150</w:t>
            </w:r>
          </w:p>
        </w:tc>
        <w:tc>
          <w:tcPr>
            <w:tcW w:w="1399" w:type="dxa"/>
            <w:noWrap w:val="0"/>
            <w:vAlign w:val="center"/>
          </w:tcPr>
          <w:p>
            <w:pPr>
              <w:snapToGrid w:val="0"/>
              <w:spacing w:line="520" w:lineRule="exact"/>
              <w:ind w:firstLine="480"/>
              <w:jc w:val="center"/>
              <w:rPr>
                <w:rFonts w:hint="default" w:eastAsia="仿宋_GB2312"/>
                <w:sz w:val="24"/>
                <w:lang w:val="en-US"/>
              </w:rPr>
            </w:pPr>
            <w:r>
              <w:rPr>
                <w:rFonts w:hint="default" w:eastAsia="仿宋_GB2312"/>
                <w:sz w:val="24"/>
                <w:lang w:val="en-US"/>
              </w:rPr>
              <w:t>150</w:t>
            </w:r>
          </w:p>
        </w:tc>
        <w:tc>
          <w:tcPr>
            <w:tcW w:w="2056" w:type="dxa"/>
            <w:noWrap w:val="0"/>
            <w:vAlign w:val="center"/>
          </w:tcPr>
          <w:p>
            <w:pPr>
              <w:widowControl/>
              <w:ind w:firstLine="480"/>
              <w:jc w:val="center"/>
              <w:rPr>
                <w:rFonts w:ascii="仿宋_GB2312" w:hAnsi="仿宋_GB2312" w:eastAsia="仿宋_GB2312" w:cs="仿宋_GB2312"/>
                <w:sz w:val="24"/>
                <w:lang w:val="en-US"/>
              </w:rPr>
            </w:pPr>
            <w:r>
              <w:rPr>
                <w:rFonts w:ascii="宋体" w:hAnsi="宋体" w:cs="宋体"/>
                <w:sz w:val="24"/>
                <w:lang w:val="en-US" w:bidi="ar"/>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34" w:type="dxa"/>
            <w:gridSpan w:val="2"/>
            <w:noWrap w:val="0"/>
            <w:tcMar>
              <w:top w:w="0" w:type="dxa"/>
              <w:left w:w="28" w:type="dxa"/>
              <w:bottom w:w="0" w:type="dxa"/>
              <w:right w:w="28" w:type="dxa"/>
            </w:tcMar>
            <w:vAlign w:val="center"/>
          </w:tcPr>
          <w:p>
            <w:pPr>
              <w:snapToGrid w:val="0"/>
              <w:spacing w:line="520" w:lineRule="exact"/>
              <w:ind w:firstLine="0" w:firstLineChars="0"/>
              <w:rPr>
                <w:rFonts w:ascii="仿宋_GB2312" w:hAnsi="仿宋_GB2312" w:eastAsia="仿宋_GB2312" w:cs="仿宋_GB2312"/>
                <w:sz w:val="24"/>
              </w:rPr>
            </w:pPr>
            <w:r>
              <w:rPr>
                <w:rFonts w:ascii="仿宋_GB2312" w:hAnsi="仿宋_GB2312" w:eastAsia="仿宋_GB2312" w:cs="仿宋_GB2312"/>
                <w:sz w:val="24"/>
              </w:rPr>
              <w:t>畜禽规模养殖场</w:t>
            </w:r>
            <w:r>
              <w:rPr>
                <w:rFonts w:ascii="仿宋_GB2312" w:hAnsi="仿宋_GB2312" w:eastAsia="仿宋_GB2312" w:cs="仿宋_GB2312"/>
                <w:bCs/>
                <w:sz w:val="24"/>
              </w:rPr>
              <w:t>废弃物</w:t>
            </w:r>
            <w:r>
              <w:rPr>
                <w:rFonts w:ascii="仿宋_GB2312" w:hAnsi="仿宋_GB2312" w:eastAsia="仿宋_GB2312" w:cs="仿宋_GB2312"/>
                <w:sz w:val="24"/>
              </w:rPr>
              <w:t>综合利用率</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w:t>
            </w:r>
          </w:p>
        </w:tc>
        <w:tc>
          <w:tcPr>
            <w:tcW w:w="1379" w:type="dxa"/>
            <w:noWrap w:val="0"/>
            <w:vAlign w:val="center"/>
          </w:tcPr>
          <w:p>
            <w:pPr>
              <w:snapToGrid w:val="0"/>
              <w:spacing w:line="520" w:lineRule="exact"/>
              <w:ind w:firstLine="480"/>
              <w:jc w:val="center"/>
              <w:rPr>
                <w:rFonts w:eastAsia="仿宋_GB2312"/>
                <w:sz w:val="24"/>
              </w:rPr>
            </w:pPr>
            <w:r>
              <w:rPr>
                <w:rFonts w:hint="default" w:eastAsia="仿宋_GB2312"/>
                <w:sz w:val="24"/>
              </w:rPr>
              <w:t>9</w:t>
            </w:r>
            <w:r>
              <w:rPr>
                <w:rFonts w:eastAsia="仿宋_GB2312"/>
                <w:sz w:val="24"/>
                <w:lang w:val="en-US"/>
              </w:rPr>
              <w:t>5</w:t>
            </w:r>
          </w:p>
        </w:tc>
        <w:tc>
          <w:tcPr>
            <w:tcW w:w="1399" w:type="dxa"/>
            <w:noWrap w:val="0"/>
            <w:vAlign w:val="center"/>
          </w:tcPr>
          <w:p>
            <w:pPr>
              <w:snapToGrid w:val="0"/>
              <w:spacing w:line="520" w:lineRule="exact"/>
              <w:ind w:firstLine="480"/>
              <w:jc w:val="center"/>
              <w:rPr>
                <w:rFonts w:eastAsia="仿宋_GB2312"/>
                <w:sz w:val="24"/>
              </w:rPr>
            </w:pPr>
            <w:r>
              <w:rPr>
                <w:rFonts w:hint="default" w:eastAsia="仿宋_GB2312"/>
                <w:sz w:val="24"/>
              </w:rPr>
              <w:t>9</w:t>
            </w:r>
            <w:r>
              <w:rPr>
                <w:rFonts w:eastAsia="仿宋_GB2312"/>
                <w:sz w:val="24"/>
                <w:lang w:val="en-US"/>
              </w:rPr>
              <w:t>7</w:t>
            </w:r>
          </w:p>
        </w:tc>
        <w:tc>
          <w:tcPr>
            <w:tcW w:w="2056" w:type="dxa"/>
            <w:noWrap w:val="0"/>
            <w:vAlign w:val="center"/>
          </w:tcPr>
          <w:p>
            <w:pPr>
              <w:snapToGrid w:val="0"/>
              <w:spacing w:line="520" w:lineRule="exact"/>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634" w:type="dxa"/>
            <w:gridSpan w:val="2"/>
            <w:noWrap w:val="0"/>
            <w:tcMar>
              <w:top w:w="0" w:type="dxa"/>
              <w:left w:w="28" w:type="dxa"/>
              <w:bottom w:w="0" w:type="dxa"/>
              <w:right w:w="28" w:type="dxa"/>
            </w:tcMar>
            <w:vAlign w:val="center"/>
          </w:tcPr>
          <w:p>
            <w:pPr>
              <w:snapToGrid w:val="0"/>
              <w:spacing w:line="520" w:lineRule="exact"/>
              <w:ind w:firstLine="0" w:firstLineChars="0"/>
              <w:rPr>
                <w:rFonts w:ascii="仿宋_GB2312" w:hAnsi="仿宋_GB2312" w:eastAsia="仿宋_GB2312" w:cs="仿宋_GB2312"/>
                <w:sz w:val="24"/>
              </w:rPr>
            </w:pPr>
            <w:r>
              <w:rPr>
                <w:rFonts w:ascii="仿宋_GB2312" w:hAnsi="仿宋_GB2312" w:eastAsia="仿宋_GB2312" w:cs="仿宋_GB2312"/>
                <w:sz w:val="24"/>
              </w:rPr>
              <w:t>畜禽规模养殖场废弃物处理设施装备配套率</w:t>
            </w:r>
          </w:p>
        </w:tc>
        <w:tc>
          <w:tcPr>
            <w:tcW w:w="924"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w:t>
            </w:r>
          </w:p>
        </w:tc>
        <w:tc>
          <w:tcPr>
            <w:tcW w:w="1379"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100</w:t>
            </w:r>
          </w:p>
        </w:tc>
        <w:tc>
          <w:tcPr>
            <w:tcW w:w="1399" w:type="dxa"/>
            <w:noWrap w:val="0"/>
            <w:vAlign w:val="center"/>
          </w:tcPr>
          <w:p>
            <w:pPr>
              <w:snapToGrid w:val="0"/>
              <w:spacing w:line="520" w:lineRule="exact"/>
              <w:ind w:firstLine="480"/>
              <w:jc w:val="center"/>
              <w:rPr>
                <w:rFonts w:hint="default" w:eastAsia="仿宋_GB2312"/>
                <w:sz w:val="24"/>
              </w:rPr>
            </w:pPr>
            <w:r>
              <w:rPr>
                <w:rFonts w:hint="default" w:eastAsia="仿宋_GB2312"/>
                <w:sz w:val="24"/>
              </w:rPr>
              <w:t>100</w:t>
            </w:r>
          </w:p>
        </w:tc>
        <w:tc>
          <w:tcPr>
            <w:tcW w:w="2056" w:type="dxa"/>
            <w:noWrap w:val="0"/>
            <w:vAlign w:val="center"/>
          </w:tcPr>
          <w:p>
            <w:pPr>
              <w:snapToGrid w:val="0"/>
              <w:spacing w:line="520" w:lineRule="exact"/>
              <w:ind w:firstLine="480"/>
              <w:jc w:val="center"/>
              <w:rPr>
                <w:rFonts w:ascii="仿宋_GB2312" w:hAnsi="仿宋_GB2312" w:eastAsia="仿宋_GB2312" w:cs="仿宋_GB2312"/>
                <w:sz w:val="24"/>
              </w:rPr>
            </w:pPr>
          </w:p>
        </w:tc>
      </w:tr>
      <w:bookmarkEnd w:id="229"/>
      <w:bookmarkEnd w:id="230"/>
    </w:tbl>
    <w:p>
      <w:pPr>
        <w:pStyle w:val="14"/>
        <w:tabs>
          <w:tab w:val="right" w:leader="dot" w:pos="8296"/>
        </w:tabs>
        <w:spacing w:before="312" w:beforeLines="100" w:after="312" w:afterLines="100" w:line="240" w:lineRule="auto"/>
        <w:ind w:firstLine="0" w:firstLineChars="0"/>
        <w:jc w:val="center"/>
        <w:outlineLvl w:val="0"/>
        <w:rPr>
          <w:rFonts w:hint="default" w:ascii="黑体" w:hAnsi="黑体" w:eastAsia="黑体"/>
          <w:kern w:val="2"/>
          <w:sz w:val="32"/>
          <w:szCs w:val="32"/>
          <w:lang w:val="en-US"/>
        </w:rPr>
      </w:pPr>
      <w:bookmarkStart w:id="235" w:name="_Toc452"/>
      <w:bookmarkStart w:id="236" w:name="_Toc3535"/>
      <w:bookmarkStart w:id="237" w:name="_Toc13358"/>
      <w:bookmarkStart w:id="238" w:name="_Toc532972862"/>
      <w:r>
        <w:rPr>
          <w:rFonts w:hint="default" w:ascii="黑体" w:hAnsi="黑体" w:eastAsia="黑体"/>
          <w:kern w:val="2"/>
          <w:sz w:val="32"/>
          <w:szCs w:val="32"/>
          <w:lang w:val="en-US"/>
        </w:rPr>
        <w:t>第</w:t>
      </w:r>
      <w:r>
        <w:rPr>
          <w:rFonts w:hint="eastAsia" w:ascii="黑体" w:hAnsi="黑体" w:eastAsia="黑体"/>
          <w:kern w:val="2"/>
          <w:sz w:val="32"/>
          <w:szCs w:val="32"/>
          <w:lang w:val="en-US" w:eastAsia="zh-CN"/>
        </w:rPr>
        <w:t>三</w:t>
      </w:r>
      <w:r>
        <w:rPr>
          <w:rFonts w:hint="default" w:ascii="黑体" w:hAnsi="黑体" w:eastAsia="黑体"/>
          <w:kern w:val="2"/>
          <w:sz w:val="32"/>
          <w:szCs w:val="32"/>
          <w:lang w:val="en-US"/>
        </w:rPr>
        <w:t>章 规划依据</w:t>
      </w:r>
      <w:bookmarkEnd w:id="235"/>
      <w:bookmarkEnd w:id="236"/>
      <w:bookmarkEnd w:id="237"/>
    </w:p>
    <w:p>
      <w:pPr>
        <w:pStyle w:val="6"/>
        <w:numPr>
          <w:ilvl w:val="0"/>
          <w:numId w:val="0"/>
        </w:numPr>
        <w:spacing w:before="156" w:beforeLines="50" w:after="156" w:afterLines="50"/>
        <w:ind w:left="560" w:leftChars="200"/>
        <w:rPr>
          <w:rFonts w:ascii="黑体" w:hAnsi="黑体"/>
          <w:b w:val="0"/>
          <w:bCs w:val="0"/>
          <w:sz w:val="30"/>
          <w:szCs w:val="30"/>
        </w:rPr>
      </w:pPr>
      <w:bookmarkStart w:id="239" w:name="_Toc23729"/>
      <w:bookmarkStart w:id="240" w:name="_Toc13680"/>
      <w:bookmarkStart w:id="241" w:name="_Toc28129"/>
      <w:bookmarkStart w:id="242" w:name="_Toc10797"/>
      <w:r>
        <w:rPr>
          <w:rFonts w:hint="eastAsia" w:ascii="黑体" w:hAnsi="黑体" w:eastAsia="黑体"/>
          <w:b w:val="0"/>
          <w:bCs w:val="0"/>
          <w:sz w:val="30"/>
          <w:szCs w:val="30"/>
        </w:rPr>
        <w:t>一、规划范围</w:t>
      </w:r>
      <w:bookmarkEnd w:id="238"/>
      <w:bookmarkEnd w:id="239"/>
      <w:bookmarkEnd w:id="240"/>
      <w:bookmarkEnd w:id="241"/>
      <w:bookmarkEnd w:id="242"/>
    </w:p>
    <w:p>
      <w:pPr>
        <w:pStyle w:val="6"/>
        <w:numPr>
          <w:ilvl w:val="0"/>
          <w:numId w:val="0"/>
        </w:numPr>
        <w:ind w:left="560" w:leftChars="200"/>
        <w:rPr>
          <w:rFonts w:ascii="仿宋_GB2312" w:eastAsia="仿宋_GB2312"/>
          <w:sz w:val="30"/>
          <w:szCs w:val="30"/>
        </w:rPr>
      </w:pPr>
      <w:bookmarkStart w:id="243" w:name="_Toc14406"/>
      <w:bookmarkStart w:id="244" w:name="_Toc26662"/>
      <w:bookmarkStart w:id="245" w:name="_Toc5831"/>
      <w:bookmarkStart w:id="246" w:name="_Toc6897"/>
      <w:r>
        <w:rPr>
          <w:rFonts w:hint="eastAsia" w:ascii="仿宋_GB2312" w:eastAsia="仿宋_GB2312"/>
          <w:sz w:val="30"/>
          <w:szCs w:val="30"/>
        </w:rPr>
        <w:t>（一）规划范围</w:t>
      </w:r>
      <w:bookmarkEnd w:id="243"/>
      <w:bookmarkEnd w:id="244"/>
      <w:bookmarkEnd w:id="245"/>
      <w:bookmarkEnd w:id="246"/>
    </w:p>
    <w:p>
      <w:pPr>
        <w:pStyle w:val="6"/>
        <w:numPr>
          <w:ilvl w:val="0"/>
          <w:numId w:val="0"/>
        </w:numPr>
        <w:ind w:left="560" w:leftChars="200"/>
        <w:rPr>
          <w:rFonts w:eastAsia="仿宋_GB2312"/>
          <w:b w:val="0"/>
          <w:lang w:eastAsia="zh-CN"/>
        </w:rPr>
      </w:pPr>
      <w:bookmarkStart w:id="247" w:name="_Toc29137"/>
      <w:bookmarkStart w:id="248" w:name="_Toc7216"/>
      <w:bookmarkStart w:id="249" w:name="_Toc30071"/>
      <w:bookmarkStart w:id="250" w:name="_Toc12971"/>
      <w:bookmarkStart w:id="251" w:name="_Toc4816"/>
      <w:bookmarkStart w:id="252" w:name="_Toc14363"/>
      <w:bookmarkStart w:id="253" w:name="_Toc14511"/>
      <w:r>
        <w:rPr>
          <w:rFonts w:hint="eastAsia" w:ascii="仿宋_GB2312" w:eastAsia="仿宋_GB2312"/>
          <w:b w:val="0"/>
        </w:rPr>
        <w:t>本规划范围为</w:t>
      </w:r>
      <w:r>
        <w:rPr>
          <w:rFonts w:hint="eastAsia" w:ascii="仿宋_GB2312" w:eastAsia="仿宋_GB2312"/>
          <w:b w:val="0"/>
          <w:lang w:eastAsia="zh-CN"/>
        </w:rPr>
        <w:t>建宁县</w:t>
      </w:r>
      <w:r>
        <w:rPr>
          <w:rFonts w:hint="eastAsia" w:ascii="仿宋_GB2312" w:eastAsia="仿宋_GB2312"/>
          <w:b w:val="0"/>
        </w:rPr>
        <w:t>全境，</w:t>
      </w:r>
      <w:r>
        <w:rPr>
          <w:rFonts w:hint="eastAsia" w:eastAsia="仿宋_GB2312"/>
          <w:b w:val="0"/>
        </w:rPr>
        <w:t>面</w:t>
      </w:r>
      <w:r>
        <w:rPr>
          <w:rFonts w:eastAsia="仿宋_GB2312"/>
          <w:b w:val="0"/>
          <w:lang w:eastAsia="zh-CN"/>
        </w:rPr>
        <w:t>积</w:t>
      </w:r>
      <w:bookmarkEnd w:id="247"/>
      <w:r>
        <w:rPr>
          <w:rFonts w:eastAsia="仿宋_GB2312"/>
          <w:b w:val="0"/>
        </w:rPr>
        <w:t>171</w:t>
      </w:r>
      <w:r>
        <w:rPr>
          <w:rFonts w:eastAsia="仿宋_GB2312"/>
          <w:b w:val="0"/>
          <w:lang w:eastAsia="zh-CN"/>
        </w:rPr>
        <w:t xml:space="preserve">6.34平方公里, </w:t>
      </w:r>
      <w:bookmarkEnd w:id="248"/>
      <w:bookmarkEnd w:id="249"/>
      <w:r>
        <w:rPr>
          <w:rFonts w:eastAsia="仿宋_GB2312"/>
          <w:b w:val="0"/>
          <w:lang w:eastAsia="zh-CN"/>
        </w:rPr>
        <w:t>辖4个镇、5个乡。</w:t>
      </w:r>
      <w:bookmarkEnd w:id="250"/>
      <w:bookmarkEnd w:id="251"/>
      <w:bookmarkEnd w:id="252"/>
      <w:bookmarkEnd w:id="253"/>
    </w:p>
    <w:p>
      <w:pPr>
        <w:pStyle w:val="6"/>
        <w:numPr>
          <w:ilvl w:val="0"/>
          <w:numId w:val="0"/>
        </w:numPr>
        <w:ind w:left="560" w:leftChars="200"/>
        <w:rPr>
          <w:rFonts w:ascii="仿宋_GB2312" w:eastAsia="仿宋_GB2312"/>
          <w:sz w:val="30"/>
          <w:szCs w:val="30"/>
        </w:rPr>
      </w:pPr>
      <w:bookmarkStart w:id="254" w:name="_Toc28255"/>
      <w:bookmarkStart w:id="255" w:name="_Toc16997"/>
      <w:bookmarkStart w:id="256" w:name="_Toc992"/>
      <w:bookmarkStart w:id="257" w:name="_Toc16186"/>
      <w:r>
        <w:rPr>
          <w:rFonts w:hint="eastAsia" w:ascii="仿宋_GB2312" w:eastAsia="仿宋_GB2312"/>
          <w:sz w:val="30"/>
          <w:szCs w:val="30"/>
        </w:rPr>
        <w:t>（二）规划期限</w:t>
      </w:r>
      <w:bookmarkEnd w:id="254"/>
      <w:bookmarkEnd w:id="255"/>
      <w:bookmarkEnd w:id="256"/>
      <w:bookmarkEnd w:id="257"/>
    </w:p>
    <w:p>
      <w:pPr>
        <w:pStyle w:val="6"/>
        <w:numPr>
          <w:ilvl w:val="0"/>
          <w:numId w:val="0"/>
        </w:numPr>
        <w:ind w:left="560" w:leftChars="200"/>
        <w:rPr>
          <w:rFonts w:ascii="仿宋_GB2312" w:eastAsia="仿宋_GB2312"/>
          <w:b w:val="0"/>
        </w:rPr>
      </w:pPr>
      <w:bookmarkStart w:id="258" w:name="_Toc2656"/>
      <w:bookmarkStart w:id="259" w:name="_Toc9859"/>
      <w:bookmarkStart w:id="260" w:name="_Toc12587"/>
      <w:bookmarkStart w:id="261" w:name="_Toc18072"/>
      <w:bookmarkStart w:id="262" w:name="_Toc27070"/>
      <w:bookmarkStart w:id="263" w:name="_Toc29821"/>
      <w:bookmarkStart w:id="264" w:name="_Toc4877"/>
      <w:r>
        <w:rPr>
          <w:rFonts w:hint="eastAsia" w:ascii="仿宋_GB2312" w:eastAsia="仿宋_GB2312"/>
          <w:b w:val="0"/>
        </w:rPr>
        <w:t>基准年20</w:t>
      </w:r>
      <w:r>
        <w:rPr>
          <w:rFonts w:ascii="仿宋_GB2312" w:eastAsia="仿宋_GB2312"/>
          <w:b w:val="0"/>
        </w:rPr>
        <w:t>20</w:t>
      </w:r>
      <w:r>
        <w:rPr>
          <w:rFonts w:hint="eastAsia" w:ascii="仿宋_GB2312" w:eastAsia="仿宋_GB2312"/>
          <w:b w:val="0"/>
        </w:rPr>
        <w:t>年，规划期</w:t>
      </w:r>
      <w:r>
        <w:rPr>
          <w:rFonts w:ascii="仿宋_GB2312" w:eastAsia="仿宋_GB2312"/>
          <w:b w:val="0"/>
        </w:rPr>
        <w:t>2021</w:t>
      </w:r>
      <w:r>
        <w:rPr>
          <w:rFonts w:eastAsia="仿宋_GB2312"/>
          <w:b w:val="0"/>
        </w:rPr>
        <w:t>~</w:t>
      </w:r>
      <w:r>
        <w:rPr>
          <w:rFonts w:ascii="仿宋_GB2312" w:eastAsia="仿宋_GB2312"/>
          <w:b w:val="0"/>
        </w:rPr>
        <w:t>2025</w:t>
      </w:r>
      <w:r>
        <w:rPr>
          <w:rFonts w:hint="eastAsia" w:ascii="仿宋_GB2312" w:eastAsia="仿宋_GB2312"/>
          <w:b w:val="0"/>
        </w:rPr>
        <w:t>年，共5年。</w:t>
      </w:r>
      <w:bookmarkEnd w:id="258"/>
      <w:bookmarkEnd w:id="259"/>
      <w:bookmarkEnd w:id="260"/>
      <w:bookmarkEnd w:id="261"/>
      <w:bookmarkEnd w:id="262"/>
      <w:bookmarkEnd w:id="263"/>
      <w:bookmarkEnd w:id="264"/>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265" w:name="_Toc59656427"/>
      <w:bookmarkStart w:id="266" w:name="_Toc12502"/>
      <w:bookmarkStart w:id="267" w:name="_Toc25072"/>
      <w:bookmarkStart w:id="268" w:name="_Toc1939"/>
      <w:bookmarkStart w:id="269" w:name="_Toc20773"/>
      <w:r>
        <w:rPr>
          <w:rFonts w:hint="eastAsia" w:ascii="黑体" w:hAnsi="黑体" w:eastAsia="黑体"/>
          <w:b w:val="0"/>
          <w:bCs w:val="0"/>
          <w:sz w:val="30"/>
          <w:szCs w:val="30"/>
        </w:rPr>
        <w:t>二、主要依据</w:t>
      </w:r>
      <w:bookmarkEnd w:id="265"/>
      <w:bookmarkEnd w:id="266"/>
      <w:bookmarkEnd w:id="267"/>
      <w:bookmarkEnd w:id="268"/>
      <w:bookmarkEnd w:id="269"/>
    </w:p>
    <w:p>
      <w:pPr>
        <w:spacing w:line="360" w:lineRule="auto"/>
        <w:ind w:firstLine="602"/>
        <w:outlineLvl w:val="1"/>
        <w:rPr>
          <w:rFonts w:ascii="仿宋_GB2312" w:eastAsia="仿宋_GB2312"/>
          <w:b/>
          <w:sz w:val="32"/>
          <w:szCs w:val="32"/>
        </w:rPr>
      </w:pPr>
      <w:bookmarkStart w:id="270" w:name="_Toc24819"/>
      <w:bookmarkStart w:id="271" w:name="_Toc29152"/>
      <w:bookmarkStart w:id="272" w:name="_Toc29098"/>
      <w:bookmarkStart w:id="273" w:name="_Toc416"/>
      <w:bookmarkStart w:id="274" w:name="_Toc59656428"/>
      <w:r>
        <w:rPr>
          <w:rFonts w:ascii="仿宋_GB2312" w:eastAsia="仿宋_GB2312"/>
          <w:b/>
          <w:sz w:val="30"/>
          <w:szCs w:val="30"/>
        </w:rPr>
        <w:t>（一）法律法规</w:t>
      </w:r>
      <w:bookmarkEnd w:id="270"/>
      <w:bookmarkEnd w:id="271"/>
      <w:bookmarkEnd w:id="272"/>
      <w:bookmarkEnd w:id="273"/>
    </w:p>
    <w:p>
      <w:pPr>
        <w:spacing w:line="360" w:lineRule="auto"/>
        <w:ind w:firstLine="560"/>
        <w:outlineLvl w:val="1"/>
        <w:rPr>
          <w:rFonts w:ascii="仿宋_GB2312" w:eastAsia="仿宋_GB2312"/>
          <w:szCs w:val="28"/>
        </w:rPr>
      </w:pPr>
      <w:bookmarkStart w:id="275" w:name="_Toc31467"/>
      <w:bookmarkStart w:id="276" w:name="_Toc25437"/>
      <w:bookmarkStart w:id="277" w:name="_Toc27771"/>
      <w:bookmarkStart w:id="278" w:name="_Toc19673"/>
      <w:bookmarkStart w:id="279" w:name="_Toc26612"/>
      <w:bookmarkStart w:id="280" w:name="_Toc18545"/>
      <w:bookmarkStart w:id="281" w:name="_Toc10591"/>
      <w:r>
        <w:rPr>
          <w:rFonts w:ascii="仿宋_GB2312" w:eastAsia="仿宋_GB2312"/>
          <w:szCs w:val="28"/>
        </w:rPr>
        <w:t>1.《中华人民共和国畜牧法》（2015年修订）</w:t>
      </w:r>
      <w:bookmarkEnd w:id="275"/>
      <w:bookmarkEnd w:id="276"/>
      <w:bookmarkEnd w:id="277"/>
      <w:bookmarkEnd w:id="278"/>
      <w:bookmarkEnd w:id="279"/>
      <w:bookmarkEnd w:id="280"/>
      <w:bookmarkEnd w:id="281"/>
    </w:p>
    <w:p>
      <w:pPr>
        <w:spacing w:line="360" w:lineRule="auto"/>
        <w:ind w:firstLine="560"/>
        <w:outlineLvl w:val="1"/>
        <w:rPr>
          <w:rFonts w:ascii="仿宋_GB2312" w:eastAsia="仿宋_GB2312"/>
          <w:szCs w:val="28"/>
        </w:rPr>
      </w:pPr>
      <w:bookmarkStart w:id="282" w:name="_Toc3451"/>
      <w:bookmarkStart w:id="283" w:name="_Toc31806"/>
      <w:bookmarkStart w:id="284" w:name="_Toc717"/>
      <w:bookmarkStart w:id="285" w:name="_Toc8975"/>
      <w:bookmarkStart w:id="286" w:name="_Toc28628"/>
      <w:bookmarkStart w:id="287" w:name="_Toc8926"/>
      <w:bookmarkStart w:id="288" w:name="_Toc11347"/>
      <w:r>
        <w:rPr>
          <w:rFonts w:ascii="仿宋_GB2312" w:eastAsia="仿宋_GB2312"/>
          <w:szCs w:val="28"/>
        </w:rPr>
        <w:t>2.《中华人民共和国动物防疫法》（2021年修订）</w:t>
      </w:r>
      <w:bookmarkEnd w:id="282"/>
      <w:bookmarkEnd w:id="283"/>
      <w:bookmarkEnd w:id="284"/>
      <w:bookmarkEnd w:id="285"/>
      <w:bookmarkEnd w:id="286"/>
      <w:bookmarkEnd w:id="287"/>
      <w:bookmarkEnd w:id="288"/>
    </w:p>
    <w:p>
      <w:pPr>
        <w:spacing w:line="360" w:lineRule="auto"/>
        <w:ind w:firstLine="560"/>
        <w:outlineLvl w:val="1"/>
        <w:rPr>
          <w:rFonts w:ascii="仿宋_GB2312" w:eastAsia="仿宋_GB2312"/>
          <w:szCs w:val="28"/>
        </w:rPr>
      </w:pPr>
      <w:bookmarkStart w:id="289" w:name="_Toc10484"/>
      <w:bookmarkStart w:id="290" w:name="_Toc25869"/>
      <w:bookmarkStart w:id="291" w:name="_Toc22888"/>
      <w:bookmarkStart w:id="292" w:name="_Toc16993"/>
      <w:bookmarkStart w:id="293" w:name="_Toc3296"/>
      <w:bookmarkStart w:id="294" w:name="_Toc17465"/>
      <w:r>
        <w:rPr>
          <w:rFonts w:ascii="仿宋_GB2312" w:eastAsia="仿宋_GB2312"/>
          <w:szCs w:val="28"/>
        </w:rPr>
        <w:t>3.</w:t>
      </w:r>
      <w:r>
        <w:rPr>
          <w:rFonts w:ascii="仿宋_GB2312" w:eastAsia="仿宋_GB2312"/>
          <w:spacing w:val="-4"/>
          <w:szCs w:val="28"/>
        </w:rPr>
        <w:t>《中华人民共和国固体废物污染环境防治法》（2020年修订）</w:t>
      </w:r>
      <w:bookmarkEnd w:id="289"/>
      <w:bookmarkEnd w:id="290"/>
      <w:bookmarkEnd w:id="291"/>
      <w:bookmarkEnd w:id="292"/>
      <w:bookmarkEnd w:id="293"/>
      <w:bookmarkEnd w:id="294"/>
    </w:p>
    <w:p>
      <w:pPr>
        <w:spacing w:line="360" w:lineRule="auto"/>
        <w:ind w:firstLine="560"/>
        <w:outlineLvl w:val="1"/>
        <w:rPr>
          <w:rFonts w:ascii="仿宋_GB2312" w:eastAsia="仿宋_GB2312"/>
          <w:szCs w:val="28"/>
        </w:rPr>
      </w:pPr>
      <w:bookmarkStart w:id="295" w:name="_Toc16193"/>
      <w:bookmarkStart w:id="296" w:name="_Toc10088"/>
      <w:bookmarkStart w:id="297" w:name="_Toc7988"/>
      <w:bookmarkStart w:id="298" w:name="_Toc23033"/>
      <w:bookmarkStart w:id="299" w:name="_Toc26634"/>
      <w:bookmarkStart w:id="300" w:name="_Toc17271"/>
      <w:bookmarkStart w:id="301" w:name="_Toc29680"/>
      <w:r>
        <w:rPr>
          <w:rFonts w:ascii="仿宋_GB2312" w:eastAsia="仿宋_GB2312"/>
          <w:szCs w:val="28"/>
        </w:rPr>
        <w:t>4.《中华人民共和国水污染防治法》（2018年修订）</w:t>
      </w:r>
      <w:bookmarkEnd w:id="295"/>
      <w:bookmarkEnd w:id="296"/>
      <w:bookmarkEnd w:id="297"/>
      <w:bookmarkEnd w:id="298"/>
      <w:bookmarkEnd w:id="299"/>
      <w:bookmarkEnd w:id="300"/>
      <w:bookmarkEnd w:id="301"/>
    </w:p>
    <w:p>
      <w:pPr>
        <w:spacing w:line="360" w:lineRule="auto"/>
        <w:ind w:firstLine="560"/>
        <w:outlineLvl w:val="1"/>
        <w:rPr>
          <w:rFonts w:ascii="仿宋_GB2312" w:eastAsia="仿宋_GB2312"/>
          <w:szCs w:val="28"/>
        </w:rPr>
      </w:pPr>
      <w:bookmarkStart w:id="302" w:name="_Toc26289"/>
      <w:bookmarkStart w:id="303" w:name="_Toc1062"/>
      <w:bookmarkStart w:id="304" w:name="_Toc29928"/>
      <w:bookmarkStart w:id="305" w:name="_Toc17565"/>
      <w:bookmarkStart w:id="306" w:name="_Toc2331"/>
      <w:bookmarkStart w:id="307" w:name="_Toc16161"/>
      <w:bookmarkStart w:id="308" w:name="_Toc29547"/>
      <w:r>
        <w:rPr>
          <w:rFonts w:ascii="仿宋_GB2312" w:eastAsia="仿宋_GB2312"/>
          <w:szCs w:val="28"/>
        </w:rPr>
        <w:t>5.《中华人民共和国环境保护法》（2014年修订版)</w:t>
      </w:r>
      <w:bookmarkEnd w:id="302"/>
      <w:bookmarkEnd w:id="303"/>
      <w:bookmarkEnd w:id="304"/>
      <w:bookmarkEnd w:id="305"/>
      <w:bookmarkEnd w:id="306"/>
      <w:bookmarkEnd w:id="307"/>
      <w:bookmarkEnd w:id="308"/>
    </w:p>
    <w:p>
      <w:pPr>
        <w:spacing w:line="360" w:lineRule="auto"/>
        <w:ind w:firstLine="560"/>
        <w:outlineLvl w:val="1"/>
        <w:rPr>
          <w:rFonts w:ascii="仿宋_GB2312" w:eastAsia="仿宋_GB2312"/>
          <w:szCs w:val="28"/>
        </w:rPr>
      </w:pPr>
      <w:bookmarkStart w:id="309" w:name="_Toc30060"/>
      <w:bookmarkStart w:id="310" w:name="_Toc20369"/>
      <w:bookmarkStart w:id="311" w:name="_Toc663"/>
      <w:bookmarkStart w:id="312" w:name="_Toc32189"/>
      <w:bookmarkStart w:id="313" w:name="_Toc16103"/>
      <w:bookmarkStart w:id="314" w:name="_Toc31493"/>
      <w:bookmarkStart w:id="315" w:name="_Toc30758"/>
      <w:r>
        <w:rPr>
          <w:rFonts w:ascii="仿宋_GB2312" w:eastAsia="仿宋_GB2312"/>
          <w:szCs w:val="28"/>
        </w:rPr>
        <w:t>6.</w:t>
      </w:r>
      <w:bookmarkEnd w:id="274"/>
      <w:bookmarkEnd w:id="309"/>
      <w:bookmarkEnd w:id="310"/>
      <w:bookmarkEnd w:id="311"/>
      <w:bookmarkStart w:id="316" w:name="_Toc14322"/>
      <w:bookmarkStart w:id="317" w:name="_Toc27277"/>
      <w:bookmarkStart w:id="318" w:name="_Toc2872"/>
      <w:r>
        <w:rPr>
          <w:rFonts w:ascii="仿宋_GB2312" w:eastAsia="仿宋_GB2312"/>
          <w:szCs w:val="28"/>
        </w:rPr>
        <w:t>《畜禽规模养殖污染防治条例》（国务院令〔2013〕第643号）</w:t>
      </w:r>
      <w:bookmarkEnd w:id="312"/>
      <w:bookmarkEnd w:id="313"/>
      <w:bookmarkEnd w:id="314"/>
      <w:bookmarkEnd w:id="315"/>
      <w:bookmarkEnd w:id="316"/>
      <w:bookmarkEnd w:id="317"/>
      <w:bookmarkEnd w:id="318"/>
    </w:p>
    <w:p>
      <w:pPr>
        <w:spacing w:line="360" w:lineRule="auto"/>
        <w:ind w:firstLine="560"/>
        <w:outlineLvl w:val="1"/>
        <w:rPr>
          <w:rFonts w:ascii="仿宋_GB2312" w:eastAsia="仿宋_GB2312"/>
          <w:szCs w:val="28"/>
        </w:rPr>
      </w:pPr>
      <w:bookmarkStart w:id="319" w:name="_Toc25835"/>
      <w:bookmarkStart w:id="320" w:name="_Toc8837"/>
      <w:bookmarkStart w:id="321" w:name="_Toc2697"/>
      <w:bookmarkStart w:id="322" w:name="_Toc14300"/>
      <w:bookmarkStart w:id="323" w:name="_Toc17807"/>
      <w:bookmarkStart w:id="324" w:name="_Toc11441"/>
      <w:bookmarkStart w:id="325" w:name="_Toc2141"/>
      <w:r>
        <w:rPr>
          <w:rFonts w:ascii="仿宋_GB2312" w:eastAsia="仿宋_GB2312"/>
          <w:szCs w:val="28"/>
          <w:lang w:val="en-US"/>
        </w:rPr>
        <w:t>7</w:t>
      </w:r>
      <w:r>
        <w:rPr>
          <w:rFonts w:ascii="仿宋_GB2312" w:eastAsia="仿宋_GB2312"/>
          <w:szCs w:val="28"/>
        </w:rPr>
        <w:t>.《生猪屠宰管理条例》（2021年修订）</w:t>
      </w:r>
      <w:bookmarkEnd w:id="319"/>
      <w:bookmarkEnd w:id="320"/>
      <w:bookmarkEnd w:id="321"/>
      <w:bookmarkEnd w:id="322"/>
      <w:bookmarkEnd w:id="323"/>
      <w:bookmarkEnd w:id="324"/>
      <w:bookmarkEnd w:id="325"/>
    </w:p>
    <w:p>
      <w:pPr>
        <w:spacing w:line="360" w:lineRule="auto"/>
        <w:ind w:firstLine="560"/>
        <w:outlineLvl w:val="1"/>
        <w:rPr>
          <w:rFonts w:hint="default" w:ascii="仿宋_GB2312" w:eastAsia="仿宋_GB2312"/>
          <w:szCs w:val="28"/>
          <w:lang w:val="en-US"/>
        </w:rPr>
      </w:pPr>
      <w:bookmarkStart w:id="326" w:name="_Toc31925"/>
      <w:bookmarkStart w:id="327" w:name="_Toc12859"/>
      <w:bookmarkStart w:id="328" w:name="_Toc2734"/>
      <w:bookmarkStart w:id="329" w:name="_Toc95"/>
      <w:r>
        <w:rPr>
          <w:rFonts w:ascii="仿宋_GB2312" w:eastAsia="仿宋_GB2312"/>
          <w:szCs w:val="28"/>
          <w:lang w:val="en-US"/>
        </w:rPr>
        <w:t>8</w:t>
      </w:r>
      <w:r>
        <w:rPr>
          <w:rFonts w:hint="default" w:ascii="仿宋_GB2312" w:eastAsia="仿宋_GB2312"/>
          <w:szCs w:val="28"/>
          <w:lang w:val="en-US"/>
        </w:rPr>
        <w:t>.《兽药管理条例》（2020年修订）；</w:t>
      </w:r>
      <w:bookmarkEnd w:id="326"/>
      <w:bookmarkEnd w:id="327"/>
      <w:bookmarkEnd w:id="328"/>
      <w:bookmarkEnd w:id="329"/>
    </w:p>
    <w:p>
      <w:pPr>
        <w:spacing w:line="360" w:lineRule="auto"/>
        <w:ind w:firstLine="560"/>
        <w:outlineLvl w:val="1"/>
        <w:rPr>
          <w:rFonts w:hint="default" w:ascii="仿宋_GB2312" w:eastAsia="仿宋_GB2312"/>
          <w:szCs w:val="28"/>
          <w:lang w:val="en-US"/>
        </w:rPr>
      </w:pPr>
      <w:bookmarkStart w:id="330" w:name="_Toc31721"/>
      <w:bookmarkStart w:id="331" w:name="_Toc32653"/>
      <w:bookmarkStart w:id="332" w:name="_Toc17705"/>
      <w:bookmarkStart w:id="333" w:name="_Toc30349"/>
      <w:r>
        <w:rPr>
          <w:rFonts w:ascii="仿宋_GB2312" w:eastAsia="仿宋_GB2312"/>
          <w:szCs w:val="28"/>
          <w:lang w:val="en-US"/>
        </w:rPr>
        <w:t>9</w:t>
      </w:r>
      <w:r>
        <w:rPr>
          <w:rFonts w:hint="default" w:ascii="仿宋_GB2312" w:eastAsia="仿宋_GB2312"/>
          <w:szCs w:val="28"/>
          <w:lang w:val="en-US"/>
        </w:rPr>
        <w:t>.《重大动物疫情应急条例》（2017修订）；</w:t>
      </w:r>
      <w:bookmarkEnd w:id="330"/>
      <w:bookmarkEnd w:id="331"/>
      <w:bookmarkEnd w:id="332"/>
      <w:bookmarkEnd w:id="333"/>
    </w:p>
    <w:p>
      <w:pPr>
        <w:spacing w:line="360" w:lineRule="auto"/>
        <w:ind w:firstLine="560"/>
        <w:outlineLvl w:val="1"/>
        <w:rPr>
          <w:rFonts w:hint="default" w:ascii="仿宋_GB2312" w:eastAsia="仿宋_GB2312"/>
          <w:szCs w:val="28"/>
          <w:lang w:val="en-US"/>
        </w:rPr>
      </w:pPr>
      <w:bookmarkStart w:id="334" w:name="_Toc6363"/>
      <w:bookmarkStart w:id="335" w:name="_Toc7412"/>
      <w:bookmarkStart w:id="336" w:name="_Toc26490"/>
      <w:bookmarkStart w:id="337" w:name="_Toc29774"/>
      <w:r>
        <w:rPr>
          <w:rFonts w:ascii="仿宋_GB2312" w:eastAsia="仿宋_GB2312"/>
          <w:szCs w:val="28"/>
          <w:lang w:val="en-US"/>
        </w:rPr>
        <w:t>10</w:t>
      </w:r>
      <w:r>
        <w:rPr>
          <w:rFonts w:hint="default" w:ascii="仿宋_GB2312" w:eastAsia="仿宋_GB2312"/>
          <w:szCs w:val="28"/>
          <w:lang w:val="en-US"/>
        </w:rPr>
        <w:t>.《福建省环境保护条例》（2012年修订）；</w:t>
      </w:r>
      <w:bookmarkEnd w:id="334"/>
      <w:bookmarkEnd w:id="335"/>
      <w:bookmarkEnd w:id="336"/>
      <w:bookmarkEnd w:id="337"/>
    </w:p>
    <w:p>
      <w:pPr>
        <w:spacing w:line="360" w:lineRule="auto"/>
        <w:ind w:firstLine="560"/>
        <w:outlineLvl w:val="1"/>
        <w:rPr>
          <w:rFonts w:hint="default" w:ascii="仿宋_GB2312" w:eastAsia="仿宋_GB2312"/>
          <w:szCs w:val="28"/>
          <w:lang w:val="en-US"/>
        </w:rPr>
      </w:pPr>
      <w:bookmarkStart w:id="338" w:name="_Toc17143"/>
      <w:bookmarkStart w:id="339" w:name="_Toc17932"/>
      <w:bookmarkStart w:id="340" w:name="_Toc23824"/>
      <w:bookmarkStart w:id="341" w:name="_Toc16673"/>
      <w:r>
        <w:rPr>
          <w:rFonts w:hint="default" w:ascii="仿宋_GB2312" w:eastAsia="仿宋_GB2312"/>
          <w:szCs w:val="28"/>
          <w:lang w:val="en-US"/>
        </w:rPr>
        <w:t>1</w:t>
      </w:r>
      <w:r>
        <w:rPr>
          <w:rFonts w:ascii="仿宋_GB2312" w:eastAsia="仿宋_GB2312"/>
          <w:szCs w:val="28"/>
          <w:lang w:val="en-US"/>
        </w:rPr>
        <w:t>1</w:t>
      </w:r>
      <w:r>
        <w:rPr>
          <w:rFonts w:hint="default" w:ascii="仿宋_GB2312" w:eastAsia="仿宋_GB2312"/>
          <w:szCs w:val="28"/>
          <w:lang w:val="en-US"/>
        </w:rPr>
        <w:t>.《福建省农业生态环境保护条例》（2002年）；</w:t>
      </w:r>
      <w:bookmarkEnd w:id="338"/>
      <w:bookmarkEnd w:id="339"/>
      <w:bookmarkEnd w:id="340"/>
      <w:bookmarkEnd w:id="341"/>
    </w:p>
    <w:p>
      <w:pPr>
        <w:spacing w:line="360" w:lineRule="auto"/>
        <w:ind w:firstLine="560"/>
        <w:outlineLvl w:val="1"/>
        <w:rPr>
          <w:rFonts w:hint="default" w:ascii="仿宋_GB2312" w:eastAsia="仿宋_GB2312"/>
          <w:szCs w:val="28"/>
          <w:lang w:val="en-US"/>
        </w:rPr>
      </w:pPr>
      <w:bookmarkStart w:id="342" w:name="_Toc11748"/>
      <w:bookmarkStart w:id="343" w:name="_Toc30827"/>
      <w:bookmarkStart w:id="344" w:name="_Toc4236"/>
      <w:bookmarkStart w:id="345" w:name="_Toc20779"/>
      <w:r>
        <w:rPr>
          <w:rFonts w:hint="default" w:ascii="仿宋_GB2312" w:eastAsia="仿宋_GB2312"/>
          <w:szCs w:val="28"/>
          <w:lang w:val="en-US"/>
        </w:rPr>
        <w:t>1</w:t>
      </w:r>
      <w:r>
        <w:rPr>
          <w:rFonts w:ascii="仿宋_GB2312" w:eastAsia="仿宋_GB2312"/>
          <w:szCs w:val="28"/>
          <w:lang w:val="en-US"/>
        </w:rPr>
        <w:t>2</w:t>
      </w:r>
      <w:r>
        <w:rPr>
          <w:rFonts w:hint="default" w:ascii="仿宋_GB2312" w:eastAsia="仿宋_GB2312"/>
          <w:szCs w:val="28"/>
          <w:lang w:val="en-US"/>
        </w:rPr>
        <w:t>.《福建省畜禽养殖污染防治管理办法实施细则》（2002年）；</w:t>
      </w:r>
      <w:bookmarkEnd w:id="342"/>
      <w:bookmarkEnd w:id="343"/>
      <w:bookmarkEnd w:id="344"/>
      <w:bookmarkEnd w:id="345"/>
    </w:p>
    <w:p>
      <w:pPr>
        <w:spacing w:line="360" w:lineRule="auto"/>
        <w:ind w:firstLine="560"/>
        <w:outlineLvl w:val="1"/>
        <w:rPr>
          <w:rFonts w:hint="default" w:ascii="仿宋_GB2312" w:eastAsia="仿宋_GB2312"/>
          <w:szCs w:val="28"/>
          <w:lang w:val="en-US"/>
        </w:rPr>
      </w:pPr>
      <w:bookmarkStart w:id="346" w:name="_Toc30437"/>
      <w:bookmarkStart w:id="347" w:name="_Toc3937"/>
      <w:bookmarkStart w:id="348" w:name="_Toc24675"/>
      <w:bookmarkStart w:id="349" w:name="_Toc11500"/>
      <w:r>
        <w:rPr>
          <w:rFonts w:hint="default" w:ascii="仿宋_GB2312" w:eastAsia="仿宋_GB2312"/>
          <w:szCs w:val="28"/>
          <w:lang w:val="en-US"/>
        </w:rPr>
        <w:t>1</w:t>
      </w:r>
      <w:r>
        <w:rPr>
          <w:rFonts w:ascii="仿宋_GB2312" w:eastAsia="仿宋_GB2312"/>
          <w:szCs w:val="28"/>
          <w:lang w:val="en-US"/>
        </w:rPr>
        <w:t>3</w:t>
      </w:r>
      <w:r>
        <w:rPr>
          <w:rFonts w:hint="default" w:ascii="仿宋_GB2312" w:eastAsia="仿宋_GB2312"/>
          <w:szCs w:val="28"/>
          <w:lang w:val="en-US"/>
        </w:rPr>
        <w:t>.《福建省大气污染防治条例》（2019年）；</w:t>
      </w:r>
      <w:bookmarkEnd w:id="346"/>
      <w:bookmarkEnd w:id="347"/>
      <w:bookmarkEnd w:id="348"/>
      <w:bookmarkEnd w:id="349"/>
    </w:p>
    <w:p>
      <w:pPr>
        <w:spacing w:line="360" w:lineRule="auto"/>
        <w:ind w:firstLine="560"/>
        <w:outlineLvl w:val="1"/>
        <w:rPr>
          <w:rFonts w:hint="default" w:ascii="仿宋_GB2312" w:eastAsia="仿宋_GB2312"/>
          <w:szCs w:val="28"/>
          <w:lang w:val="en-US"/>
        </w:rPr>
      </w:pPr>
      <w:bookmarkStart w:id="350" w:name="_Toc29900"/>
      <w:bookmarkStart w:id="351" w:name="_Toc60"/>
      <w:bookmarkStart w:id="352" w:name="_Toc8395"/>
      <w:bookmarkStart w:id="353" w:name="_Toc6148"/>
      <w:r>
        <w:rPr>
          <w:rFonts w:hint="default" w:ascii="仿宋_GB2312" w:eastAsia="仿宋_GB2312"/>
          <w:szCs w:val="28"/>
          <w:lang w:val="en-US"/>
        </w:rPr>
        <w:t>1</w:t>
      </w:r>
      <w:r>
        <w:rPr>
          <w:rFonts w:ascii="仿宋_GB2312" w:eastAsia="仿宋_GB2312"/>
          <w:szCs w:val="28"/>
          <w:lang w:val="en-US"/>
        </w:rPr>
        <w:t>4</w:t>
      </w:r>
      <w:r>
        <w:rPr>
          <w:rFonts w:hint="default" w:ascii="仿宋_GB2312" w:eastAsia="仿宋_GB2312"/>
          <w:szCs w:val="28"/>
          <w:lang w:val="en-US"/>
        </w:rPr>
        <w:t>.《福建省流域水环境保护条例》（省人大2011年）；</w:t>
      </w:r>
      <w:bookmarkEnd w:id="350"/>
      <w:bookmarkEnd w:id="351"/>
      <w:bookmarkEnd w:id="352"/>
      <w:bookmarkEnd w:id="353"/>
    </w:p>
    <w:p>
      <w:pPr>
        <w:spacing w:line="360" w:lineRule="auto"/>
        <w:ind w:firstLine="560"/>
        <w:outlineLvl w:val="1"/>
        <w:rPr>
          <w:rFonts w:hint="default" w:ascii="仿宋_GB2312" w:eastAsia="仿宋_GB2312"/>
          <w:szCs w:val="28"/>
          <w:lang w:val="en-US"/>
        </w:rPr>
      </w:pPr>
      <w:bookmarkStart w:id="354" w:name="_Toc29807"/>
      <w:bookmarkStart w:id="355" w:name="_Toc29700"/>
      <w:bookmarkStart w:id="356" w:name="_Toc22015"/>
      <w:bookmarkStart w:id="357" w:name="_Toc5331"/>
      <w:r>
        <w:rPr>
          <w:rFonts w:hint="default" w:ascii="仿宋_GB2312" w:eastAsia="仿宋_GB2312"/>
          <w:szCs w:val="28"/>
          <w:lang w:val="en-US"/>
        </w:rPr>
        <w:t>1</w:t>
      </w:r>
      <w:r>
        <w:rPr>
          <w:rFonts w:ascii="仿宋_GB2312" w:eastAsia="仿宋_GB2312"/>
          <w:szCs w:val="28"/>
          <w:lang w:val="en-US"/>
        </w:rPr>
        <w:t>5</w:t>
      </w:r>
      <w:r>
        <w:rPr>
          <w:rFonts w:hint="default" w:ascii="仿宋_GB2312" w:eastAsia="仿宋_GB2312"/>
          <w:szCs w:val="28"/>
          <w:lang w:val="en-US"/>
        </w:rPr>
        <w:t>.《福建省森林公园管理办法》（省政府令〔2015〕第159号）。</w:t>
      </w:r>
      <w:bookmarkEnd w:id="354"/>
      <w:bookmarkEnd w:id="355"/>
      <w:bookmarkEnd w:id="356"/>
      <w:bookmarkEnd w:id="357"/>
    </w:p>
    <w:p>
      <w:pPr>
        <w:spacing w:line="360" w:lineRule="auto"/>
        <w:ind w:firstLine="602"/>
        <w:outlineLvl w:val="1"/>
        <w:rPr>
          <w:rFonts w:hint="default" w:ascii="仿宋_GB2312" w:eastAsia="仿宋_GB2312"/>
          <w:b/>
          <w:sz w:val="30"/>
          <w:szCs w:val="30"/>
        </w:rPr>
      </w:pPr>
      <w:bookmarkStart w:id="358" w:name="_Toc140"/>
      <w:r>
        <w:rPr>
          <w:rFonts w:hint="default" w:ascii="仿宋_GB2312" w:eastAsia="仿宋_GB2312"/>
          <w:b/>
          <w:sz w:val="30"/>
          <w:szCs w:val="30"/>
        </w:rPr>
        <w:t>（二）政策依据</w:t>
      </w:r>
      <w:bookmarkEnd w:id="358"/>
    </w:p>
    <w:p>
      <w:pPr>
        <w:spacing w:line="360" w:lineRule="auto"/>
        <w:ind w:firstLine="560"/>
        <w:outlineLvl w:val="1"/>
        <w:rPr>
          <w:rFonts w:hint="default" w:ascii="仿宋_GB2312" w:eastAsia="仿宋_GB2312"/>
          <w:szCs w:val="28"/>
          <w:lang w:val="en-US"/>
        </w:rPr>
      </w:pPr>
      <w:bookmarkStart w:id="359" w:name="_Toc15375"/>
      <w:bookmarkStart w:id="360" w:name="_Toc23062"/>
      <w:bookmarkStart w:id="361" w:name="_Toc6065"/>
      <w:bookmarkStart w:id="362" w:name="_Toc23818"/>
      <w:r>
        <w:rPr>
          <w:rFonts w:hint="default" w:ascii="仿宋_GB2312" w:eastAsia="仿宋_GB2312"/>
          <w:szCs w:val="28"/>
          <w:lang w:val="en-US"/>
        </w:rPr>
        <w:t>1.《中共中央国务院关于全面推进乡村振兴加快农业农村现代化的意见》（国办发〔2021〕1号）；</w:t>
      </w:r>
      <w:bookmarkEnd w:id="359"/>
      <w:bookmarkEnd w:id="360"/>
      <w:bookmarkEnd w:id="361"/>
      <w:bookmarkEnd w:id="362"/>
    </w:p>
    <w:p>
      <w:pPr>
        <w:spacing w:line="360" w:lineRule="auto"/>
        <w:ind w:firstLine="560"/>
        <w:outlineLvl w:val="1"/>
        <w:rPr>
          <w:rFonts w:hint="default" w:ascii="仿宋_GB2312" w:eastAsia="仿宋_GB2312"/>
          <w:szCs w:val="28"/>
          <w:lang w:val="en-US"/>
        </w:rPr>
      </w:pPr>
      <w:bookmarkStart w:id="363" w:name="_Toc23253"/>
      <w:bookmarkStart w:id="364" w:name="_Toc13227"/>
      <w:bookmarkStart w:id="365" w:name="_Toc20748"/>
      <w:bookmarkStart w:id="366" w:name="_Toc15968"/>
      <w:r>
        <w:rPr>
          <w:rFonts w:hint="default" w:ascii="仿宋_GB2312" w:eastAsia="仿宋_GB2312"/>
          <w:szCs w:val="28"/>
          <w:lang w:val="en-US"/>
        </w:rPr>
        <w:t>2.《关于促进畜牧业高质量发展的意见》（国办发〔2020〕31号）；</w:t>
      </w:r>
      <w:bookmarkEnd w:id="363"/>
      <w:bookmarkEnd w:id="364"/>
      <w:bookmarkEnd w:id="365"/>
      <w:bookmarkEnd w:id="366"/>
    </w:p>
    <w:p>
      <w:pPr>
        <w:spacing w:line="360" w:lineRule="auto"/>
        <w:ind w:firstLine="560"/>
        <w:outlineLvl w:val="1"/>
        <w:rPr>
          <w:rFonts w:hint="default" w:ascii="仿宋_GB2312" w:eastAsia="仿宋_GB2312"/>
          <w:szCs w:val="28"/>
          <w:lang w:val="en-US"/>
        </w:rPr>
      </w:pPr>
      <w:bookmarkStart w:id="367" w:name="_Toc26968"/>
      <w:bookmarkStart w:id="368" w:name="_Toc12623"/>
      <w:bookmarkStart w:id="369" w:name="_Toc9654"/>
      <w:bookmarkStart w:id="370" w:name="_Toc21708"/>
      <w:r>
        <w:rPr>
          <w:rFonts w:hint="default" w:ascii="仿宋_GB2312" w:eastAsia="仿宋_GB2312"/>
          <w:szCs w:val="28"/>
          <w:lang w:val="en-US"/>
        </w:rPr>
        <w:t>3.《国务院办公厅关于稳定生猪生产促进转型升级的意见》（国办发〔2019〕44号）；</w:t>
      </w:r>
      <w:bookmarkEnd w:id="367"/>
      <w:bookmarkEnd w:id="368"/>
      <w:bookmarkEnd w:id="369"/>
      <w:bookmarkEnd w:id="370"/>
    </w:p>
    <w:p>
      <w:pPr>
        <w:spacing w:line="360" w:lineRule="auto"/>
        <w:ind w:firstLine="560"/>
        <w:outlineLvl w:val="1"/>
        <w:rPr>
          <w:rFonts w:hint="default" w:ascii="仿宋_GB2312" w:eastAsia="仿宋_GB2312"/>
          <w:szCs w:val="28"/>
          <w:lang w:val="en-US"/>
        </w:rPr>
      </w:pPr>
      <w:bookmarkStart w:id="371" w:name="_Toc15913"/>
      <w:bookmarkStart w:id="372" w:name="_Toc8681"/>
      <w:bookmarkStart w:id="373" w:name="_Toc5613"/>
      <w:bookmarkStart w:id="374" w:name="_Toc22351"/>
      <w:r>
        <w:rPr>
          <w:rFonts w:hint="default" w:ascii="仿宋_GB2312" w:eastAsia="仿宋_GB2312"/>
          <w:szCs w:val="28"/>
          <w:lang w:val="en-US"/>
        </w:rPr>
        <w:t>4.《农业农村部办公厅、生态环境部办公厅关于促进畜禽粪污还田利用依法加强养殖污染治理的指导意见》（农办牧〔2019〕84号）；</w:t>
      </w:r>
      <w:bookmarkEnd w:id="371"/>
      <w:bookmarkEnd w:id="372"/>
      <w:bookmarkEnd w:id="373"/>
      <w:bookmarkEnd w:id="374"/>
    </w:p>
    <w:p>
      <w:pPr>
        <w:spacing w:line="360" w:lineRule="auto"/>
        <w:ind w:firstLine="560"/>
        <w:outlineLvl w:val="1"/>
        <w:rPr>
          <w:rFonts w:hint="default" w:ascii="仿宋_GB2312" w:eastAsia="仿宋_GB2312"/>
          <w:szCs w:val="28"/>
          <w:lang w:val="en-US"/>
        </w:rPr>
      </w:pPr>
      <w:bookmarkStart w:id="375" w:name="_Toc3772"/>
      <w:bookmarkStart w:id="376" w:name="_Toc3802"/>
      <w:bookmarkStart w:id="377" w:name="_Toc10297"/>
      <w:bookmarkStart w:id="378" w:name="_Toc30830"/>
      <w:r>
        <w:rPr>
          <w:rFonts w:hint="default" w:ascii="仿宋_GB2312" w:eastAsia="仿宋_GB2312"/>
          <w:szCs w:val="28"/>
          <w:lang w:val="en-US"/>
        </w:rPr>
        <w:t>5.《关于进一步规范畜禽养殖禁养区划定和管理促进生猪生产发展的通知》（环办土壤﹝2019﹞55号）；</w:t>
      </w:r>
      <w:bookmarkEnd w:id="375"/>
      <w:bookmarkEnd w:id="376"/>
      <w:bookmarkEnd w:id="377"/>
      <w:bookmarkEnd w:id="378"/>
    </w:p>
    <w:p>
      <w:pPr>
        <w:spacing w:line="360" w:lineRule="auto"/>
        <w:ind w:firstLine="560"/>
        <w:outlineLvl w:val="1"/>
        <w:rPr>
          <w:rFonts w:hint="default" w:ascii="仿宋_GB2312" w:eastAsia="仿宋_GB2312"/>
          <w:szCs w:val="28"/>
          <w:lang w:val="en-US"/>
        </w:rPr>
      </w:pPr>
      <w:bookmarkStart w:id="379" w:name="_Toc14766"/>
      <w:bookmarkStart w:id="380" w:name="_Toc23249"/>
      <w:bookmarkStart w:id="381" w:name="_Toc13249"/>
      <w:bookmarkStart w:id="382" w:name="_Toc32281"/>
      <w:r>
        <w:rPr>
          <w:rFonts w:hint="default" w:ascii="仿宋_GB2312" w:eastAsia="仿宋_GB2312"/>
          <w:szCs w:val="28"/>
          <w:lang w:val="en-US"/>
        </w:rPr>
        <w:t>6.《农业部关于认真贯彻落实习近平总书记重要讲话精神加快推进畜禽粪污处理和资源化工作的通知》（农牧发〔2017〕1号）；</w:t>
      </w:r>
      <w:bookmarkEnd w:id="379"/>
      <w:bookmarkEnd w:id="380"/>
      <w:bookmarkEnd w:id="381"/>
      <w:bookmarkEnd w:id="382"/>
    </w:p>
    <w:p>
      <w:pPr>
        <w:spacing w:line="360" w:lineRule="auto"/>
        <w:ind w:firstLine="560"/>
        <w:outlineLvl w:val="1"/>
        <w:rPr>
          <w:rFonts w:hint="default" w:ascii="仿宋_GB2312" w:eastAsia="仿宋_GB2312"/>
          <w:szCs w:val="28"/>
          <w:lang w:val="en-US"/>
        </w:rPr>
      </w:pPr>
      <w:bookmarkStart w:id="383" w:name="_Toc22727"/>
      <w:bookmarkStart w:id="384" w:name="_Toc29631"/>
      <w:bookmarkStart w:id="385" w:name="_Toc5016"/>
      <w:bookmarkStart w:id="386" w:name="_Toc18481"/>
      <w:r>
        <w:rPr>
          <w:rFonts w:hint="default" w:ascii="仿宋_GB2312" w:eastAsia="仿宋_GB2312"/>
          <w:szCs w:val="28"/>
          <w:lang w:val="en-US"/>
        </w:rPr>
        <w:t>7.《国务院办公厅关于加快推进畜禽养殖废弃物资源化利用的意见》（国办发〔2017〕48号）；</w:t>
      </w:r>
      <w:bookmarkEnd w:id="383"/>
      <w:bookmarkEnd w:id="384"/>
      <w:bookmarkEnd w:id="385"/>
      <w:bookmarkEnd w:id="386"/>
    </w:p>
    <w:p>
      <w:pPr>
        <w:spacing w:line="360" w:lineRule="auto"/>
        <w:ind w:firstLine="560"/>
        <w:outlineLvl w:val="1"/>
        <w:rPr>
          <w:rFonts w:hint="default" w:ascii="仿宋_GB2312" w:eastAsia="仿宋_GB2312"/>
          <w:szCs w:val="28"/>
          <w:lang w:val="en-US"/>
        </w:rPr>
      </w:pPr>
      <w:bookmarkStart w:id="387" w:name="_Toc8433"/>
      <w:bookmarkStart w:id="388" w:name="_Toc26931"/>
      <w:bookmarkStart w:id="389" w:name="_Toc5193"/>
      <w:bookmarkStart w:id="390" w:name="_Toc21533"/>
      <w:r>
        <w:rPr>
          <w:rFonts w:hint="default" w:ascii="仿宋_GB2312" w:eastAsia="仿宋_GB2312"/>
          <w:szCs w:val="28"/>
          <w:lang w:val="en-US"/>
        </w:rPr>
        <w:t>8.《中共中央国务院关于深入推进农业供给侧结构性改革加快培育农业农村发展新动能的若干意见》（2016年）；</w:t>
      </w:r>
      <w:bookmarkEnd w:id="387"/>
      <w:bookmarkEnd w:id="388"/>
      <w:bookmarkEnd w:id="389"/>
      <w:bookmarkEnd w:id="390"/>
    </w:p>
    <w:p>
      <w:pPr>
        <w:spacing w:line="360" w:lineRule="auto"/>
        <w:ind w:firstLine="560"/>
        <w:outlineLvl w:val="1"/>
        <w:rPr>
          <w:rFonts w:hint="default" w:ascii="仿宋_GB2312" w:eastAsia="仿宋_GB2312"/>
          <w:szCs w:val="28"/>
          <w:lang w:val="en-US"/>
        </w:rPr>
      </w:pPr>
      <w:bookmarkStart w:id="391" w:name="_Toc2944"/>
      <w:bookmarkStart w:id="392" w:name="_Toc19506"/>
      <w:bookmarkStart w:id="393" w:name="_Toc8426"/>
      <w:bookmarkStart w:id="394" w:name="_Toc11750"/>
      <w:r>
        <w:rPr>
          <w:rFonts w:hint="default" w:ascii="仿宋_GB2312" w:eastAsia="仿宋_GB2312"/>
          <w:szCs w:val="28"/>
          <w:lang w:val="en-US"/>
        </w:rPr>
        <w:t>9.《农业部办公厅关于统筹做好畜牧业发展和畜禽粪污治理工作的通知》(农办牧[2017]65号)；</w:t>
      </w:r>
      <w:bookmarkEnd w:id="391"/>
      <w:bookmarkEnd w:id="392"/>
      <w:bookmarkEnd w:id="393"/>
      <w:bookmarkEnd w:id="394"/>
    </w:p>
    <w:p>
      <w:pPr>
        <w:spacing w:line="360" w:lineRule="auto"/>
        <w:ind w:firstLine="560"/>
        <w:outlineLvl w:val="1"/>
        <w:rPr>
          <w:rFonts w:hint="default"/>
          <w:szCs w:val="28"/>
          <w:lang w:val="en-US"/>
        </w:rPr>
      </w:pPr>
      <w:bookmarkStart w:id="395" w:name="_Toc2163"/>
      <w:bookmarkStart w:id="396" w:name="_Toc10330"/>
      <w:bookmarkStart w:id="397" w:name="_Toc18562"/>
      <w:bookmarkStart w:id="398" w:name="_Toc12366"/>
      <w:r>
        <w:rPr>
          <w:rFonts w:hint="default" w:ascii="仿宋_GB2312" w:eastAsia="仿宋_GB2312"/>
          <w:szCs w:val="28"/>
          <w:lang w:val="en-US"/>
        </w:rPr>
        <w:t>10.《关于促进规模化畜禽养殖有关用地政策的通知》（国土资发〔2007〕220号）；</w:t>
      </w:r>
      <w:bookmarkEnd w:id="395"/>
      <w:bookmarkEnd w:id="396"/>
      <w:bookmarkEnd w:id="397"/>
      <w:bookmarkEnd w:id="398"/>
    </w:p>
    <w:p>
      <w:pPr>
        <w:spacing w:line="360" w:lineRule="auto"/>
        <w:ind w:firstLine="560"/>
        <w:outlineLvl w:val="1"/>
        <w:rPr>
          <w:rFonts w:hint="default" w:ascii="仿宋_GB2312" w:eastAsia="仿宋_GB2312"/>
          <w:szCs w:val="28"/>
          <w:lang w:val="en-US"/>
        </w:rPr>
      </w:pPr>
      <w:bookmarkStart w:id="399" w:name="_Toc12771"/>
      <w:bookmarkStart w:id="400" w:name="_Toc18605"/>
      <w:bookmarkStart w:id="401" w:name="_Toc14479"/>
      <w:bookmarkStart w:id="402" w:name="_Toc2856"/>
      <w:r>
        <w:rPr>
          <w:rFonts w:hint="default" w:ascii="仿宋_GB2312" w:eastAsia="仿宋_GB2312"/>
          <w:szCs w:val="28"/>
          <w:lang w:val="en-US"/>
        </w:rPr>
        <w:t>1</w:t>
      </w:r>
      <w:r>
        <w:rPr>
          <w:rFonts w:ascii="仿宋_GB2312" w:eastAsia="仿宋_GB2312"/>
          <w:szCs w:val="28"/>
          <w:lang w:val="en-US"/>
        </w:rPr>
        <w:t>1</w:t>
      </w:r>
      <w:r>
        <w:rPr>
          <w:rFonts w:hint="default" w:ascii="仿宋_GB2312" w:eastAsia="仿宋_GB2312"/>
          <w:szCs w:val="28"/>
          <w:lang w:val="en-US"/>
        </w:rPr>
        <w:t>.中共中央办公厅、国务院办公厅印发《关于划定并严守生态保护红线的若干意见》的通知（厅字〔2017〕2号）；</w:t>
      </w:r>
      <w:bookmarkEnd w:id="399"/>
      <w:bookmarkEnd w:id="400"/>
      <w:bookmarkEnd w:id="401"/>
      <w:bookmarkEnd w:id="402"/>
    </w:p>
    <w:p>
      <w:pPr>
        <w:spacing w:line="360" w:lineRule="auto"/>
        <w:ind w:firstLine="560"/>
        <w:outlineLvl w:val="1"/>
        <w:rPr>
          <w:rFonts w:hint="default" w:ascii="仿宋_GB2312" w:eastAsia="仿宋_GB2312"/>
          <w:szCs w:val="28"/>
          <w:lang w:val="en-US"/>
        </w:rPr>
      </w:pPr>
      <w:bookmarkStart w:id="403" w:name="_Toc31172"/>
      <w:bookmarkStart w:id="404" w:name="_Toc14805"/>
      <w:bookmarkStart w:id="405" w:name="_Toc30698"/>
      <w:bookmarkStart w:id="406" w:name="_Toc2525"/>
      <w:r>
        <w:rPr>
          <w:rFonts w:hint="default" w:ascii="仿宋_GB2312" w:eastAsia="仿宋_GB2312"/>
          <w:szCs w:val="28"/>
          <w:lang w:val="en-US"/>
        </w:rPr>
        <w:t>1</w:t>
      </w:r>
      <w:r>
        <w:rPr>
          <w:rFonts w:ascii="仿宋_GB2312" w:eastAsia="仿宋_GB2312"/>
          <w:szCs w:val="28"/>
          <w:lang w:val="en-US"/>
        </w:rPr>
        <w:t>2</w:t>
      </w:r>
      <w:r>
        <w:rPr>
          <w:rFonts w:hint="default" w:ascii="仿宋_GB2312" w:eastAsia="仿宋_GB2312"/>
          <w:szCs w:val="28"/>
          <w:lang w:val="en-US"/>
        </w:rPr>
        <w:t>.环境保护部办公厅、农业部办公厅《关于印发畜禽养殖禁养区划定技术指南的通知》（环办水体〔2016〕99号）；</w:t>
      </w:r>
      <w:bookmarkEnd w:id="403"/>
      <w:bookmarkEnd w:id="404"/>
      <w:bookmarkEnd w:id="405"/>
      <w:bookmarkEnd w:id="406"/>
    </w:p>
    <w:p>
      <w:pPr>
        <w:spacing w:line="360" w:lineRule="auto"/>
        <w:ind w:firstLine="560"/>
        <w:outlineLvl w:val="1"/>
        <w:rPr>
          <w:rFonts w:hint="default" w:ascii="仿宋_GB2312" w:eastAsia="仿宋_GB2312"/>
          <w:szCs w:val="28"/>
          <w:lang w:val="en-US"/>
        </w:rPr>
      </w:pPr>
      <w:bookmarkStart w:id="407" w:name="_Toc20073"/>
      <w:bookmarkStart w:id="408" w:name="_Toc20117"/>
      <w:bookmarkStart w:id="409" w:name="_Toc2045"/>
      <w:bookmarkStart w:id="410" w:name="_Toc24275"/>
      <w:r>
        <w:rPr>
          <w:rFonts w:hint="default" w:ascii="仿宋_GB2312" w:eastAsia="仿宋_GB2312"/>
          <w:szCs w:val="28"/>
          <w:lang w:val="en-US"/>
        </w:rPr>
        <w:t>1</w:t>
      </w:r>
      <w:r>
        <w:rPr>
          <w:rFonts w:ascii="仿宋_GB2312" w:eastAsia="仿宋_GB2312"/>
          <w:szCs w:val="28"/>
          <w:lang w:val="en-US"/>
        </w:rPr>
        <w:t>3</w:t>
      </w:r>
      <w:r>
        <w:rPr>
          <w:rFonts w:hint="default" w:ascii="仿宋_GB2312" w:eastAsia="仿宋_GB2312"/>
          <w:szCs w:val="28"/>
          <w:lang w:val="en-US"/>
        </w:rPr>
        <w:t>.《药物饲料添加剂退出计划》（农业农村部194号）；</w:t>
      </w:r>
      <w:bookmarkEnd w:id="407"/>
      <w:bookmarkEnd w:id="408"/>
      <w:bookmarkEnd w:id="409"/>
      <w:bookmarkEnd w:id="410"/>
    </w:p>
    <w:p>
      <w:pPr>
        <w:spacing w:line="360" w:lineRule="auto"/>
        <w:ind w:firstLine="560"/>
        <w:outlineLvl w:val="1"/>
        <w:rPr>
          <w:rFonts w:hint="default" w:ascii="仿宋_GB2312" w:eastAsia="仿宋_GB2312"/>
          <w:szCs w:val="28"/>
          <w:lang w:val="en-US"/>
        </w:rPr>
      </w:pPr>
      <w:bookmarkStart w:id="411" w:name="_Toc30143"/>
      <w:bookmarkStart w:id="412" w:name="_Toc22886"/>
      <w:bookmarkStart w:id="413" w:name="_Toc21135"/>
      <w:bookmarkStart w:id="414" w:name="_Toc25262"/>
      <w:r>
        <w:rPr>
          <w:rFonts w:hint="default" w:ascii="仿宋_GB2312" w:eastAsia="仿宋_GB2312"/>
          <w:szCs w:val="28"/>
          <w:lang w:val="en-US"/>
        </w:rPr>
        <w:t>1</w:t>
      </w:r>
      <w:r>
        <w:rPr>
          <w:rFonts w:ascii="仿宋_GB2312" w:eastAsia="仿宋_GB2312"/>
          <w:szCs w:val="28"/>
          <w:lang w:val="en-US"/>
        </w:rPr>
        <w:t>4</w:t>
      </w:r>
      <w:r>
        <w:rPr>
          <w:rFonts w:hint="default" w:ascii="仿宋_GB2312" w:eastAsia="仿宋_GB2312"/>
          <w:szCs w:val="28"/>
          <w:lang w:val="en-US"/>
        </w:rPr>
        <w:t>.福建省人民政府办公厅《关于促进畜牧业高质量发展实施方案》（闽政办〔2021〕3号）；</w:t>
      </w:r>
      <w:bookmarkEnd w:id="411"/>
      <w:bookmarkEnd w:id="412"/>
      <w:bookmarkEnd w:id="413"/>
      <w:bookmarkEnd w:id="414"/>
    </w:p>
    <w:p>
      <w:pPr>
        <w:spacing w:line="360" w:lineRule="auto"/>
        <w:ind w:firstLine="560"/>
        <w:outlineLvl w:val="1"/>
        <w:rPr>
          <w:rFonts w:hint="default" w:ascii="仿宋_GB2312" w:eastAsia="仿宋_GB2312"/>
          <w:szCs w:val="28"/>
          <w:lang w:val="en-US"/>
        </w:rPr>
      </w:pPr>
      <w:bookmarkStart w:id="415" w:name="_Toc7205"/>
      <w:bookmarkStart w:id="416" w:name="_Toc30522"/>
      <w:bookmarkStart w:id="417" w:name="_Toc20853"/>
      <w:bookmarkStart w:id="418" w:name="_Toc17715"/>
      <w:r>
        <w:rPr>
          <w:rFonts w:hint="default" w:ascii="仿宋_GB2312" w:eastAsia="仿宋_GB2312"/>
          <w:szCs w:val="28"/>
          <w:lang w:val="en-US"/>
        </w:rPr>
        <w:t>1</w:t>
      </w:r>
      <w:r>
        <w:rPr>
          <w:rFonts w:ascii="仿宋_GB2312" w:eastAsia="仿宋_GB2312"/>
          <w:szCs w:val="28"/>
          <w:lang w:val="en-US"/>
        </w:rPr>
        <w:t>5</w:t>
      </w:r>
      <w:r>
        <w:rPr>
          <w:rFonts w:hint="default" w:ascii="仿宋_GB2312" w:eastAsia="仿宋_GB2312"/>
          <w:szCs w:val="28"/>
          <w:lang w:val="en-US"/>
        </w:rPr>
        <w:t>.《福建省人民政府办公厅关于加快推进畜禽养殖废弃物资源化利用实施方案的通知》（闽政办〔2017〕108号）；</w:t>
      </w:r>
      <w:bookmarkEnd w:id="415"/>
      <w:bookmarkEnd w:id="416"/>
      <w:bookmarkEnd w:id="417"/>
      <w:bookmarkEnd w:id="418"/>
    </w:p>
    <w:p>
      <w:pPr>
        <w:spacing w:line="360" w:lineRule="auto"/>
        <w:ind w:firstLine="488"/>
        <w:outlineLvl w:val="1"/>
        <w:rPr>
          <w:rFonts w:hint="eastAsia" w:ascii="仿宋_GB2312" w:eastAsia="仿宋_GB2312"/>
          <w:spacing w:val="-18"/>
          <w:szCs w:val="28"/>
          <w:lang w:eastAsia="zh-CN"/>
        </w:rPr>
      </w:pPr>
      <w:bookmarkStart w:id="419" w:name="_Toc29853"/>
      <w:bookmarkStart w:id="420" w:name="_Toc6799"/>
      <w:bookmarkStart w:id="421" w:name="_Toc18242"/>
      <w:bookmarkStart w:id="422" w:name="_Toc25913"/>
      <w:bookmarkStart w:id="423" w:name="_Toc7112"/>
      <w:bookmarkStart w:id="424" w:name="_Toc10822"/>
      <w:r>
        <w:rPr>
          <w:rFonts w:ascii="仿宋_GB2312" w:eastAsia="仿宋_GB2312"/>
          <w:spacing w:val="-18"/>
          <w:szCs w:val="28"/>
          <w:lang w:val="en-US"/>
        </w:rPr>
        <w:t>16.</w:t>
      </w:r>
      <w:r>
        <w:rPr>
          <w:rFonts w:ascii="仿宋_GB2312" w:eastAsia="仿宋_GB2312"/>
          <w:spacing w:val="-18"/>
          <w:szCs w:val="28"/>
        </w:rPr>
        <w:t>福建省委、福建省人民政府《关于全面推进乡村振兴加快农业农村现代化的实施意见》</w:t>
      </w:r>
      <w:bookmarkEnd w:id="419"/>
      <w:bookmarkEnd w:id="420"/>
      <w:bookmarkEnd w:id="421"/>
      <w:bookmarkEnd w:id="422"/>
      <w:r>
        <w:rPr>
          <w:rFonts w:hint="eastAsia" w:ascii="仿宋_GB2312" w:eastAsia="仿宋_GB2312"/>
          <w:spacing w:val="-18"/>
          <w:szCs w:val="28"/>
          <w:lang w:eastAsia="zh-CN"/>
        </w:rPr>
        <w:t>；</w:t>
      </w:r>
      <w:bookmarkEnd w:id="423"/>
      <w:bookmarkEnd w:id="424"/>
    </w:p>
    <w:p>
      <w:pPr>
        <w:spacing w:line="360" w:lineRule="auto"/>
        <w:ind w:firstLine="552"/>
        <w:outlineLvl w:val="1"/>
        <w:rPr>
          <w:rFonts w:hint="eastAsia" w:ascii="仿宋_GB2312" w:eastAsia="仿宋_GB2312"/>
          <w:spacing w:val="-2"/>
          <w:szCs w:val="28"/>
          <w:lang w:eastAsia="zh-CN"/>
        </w:rPr>
      </w:pPr>
      <w:bookmarkStart w:id="425" w:name="_Toc16901"/>
      <w:bookmarkStart w:id="426" w:name="_Toc59656433"/>
      <w:bookmarkStart w:id="427" w:name="_Toc5440"/>
      <w:bookmarkStart w:id="428" w:name="_Toc10331"/>
      <w:bookmarkStart w:id="429" w:name="_Toc9232"/>
      <w:bookmarkStart w:id="430" w:name="_Toc23084"/>
      <w:bookmarkStart w:id="431" w:name="_Toc15592"/>
      <w:bookmarkStart w:id="432" w:name="_Toc27780"/>
      <w:r>
        <w:rPr>
          <w:rFonts w:ascii="仿宋_GB2312" w:eastAsia="仿宋_GB2312"/>
          <w:spacing w:val="-2"/>
          <w:szCs w:val="28"/>
          <w:lang w:val="en-US"/>
        </w:rPr>
        <w:t>17.</w:t>
      </w:r>
      <w:r>
        <w:rPr>
          <w:rFonts w:ascii="仿宋_GB2312" w:eastAsia="仿宋_GB2312"/>
          <w:spacing w:val="-2"/>
          <w:szCs w:val="28"/>
        </w:rPr>
        <w:t>《福建省稳定生猪生产促进转型升级三年行动计划（2019-2021年）》（闽政办〔2019〕46号）</w:t>
      </w:r>
      <w:bookmarkEnd w:id="425"/>
      <w:bookmarkEnd w:id="426"/>
      <w:bookmarkEnd w:id="427"/>
      <w:bookmarkEnd w:id="428"/>
      <w:bookmarkEnd w:id="429"/>
      <w:bookmarkEnd w:id="430"/>
      <w:r>
        <w:rPr>
          <w:rFonts w:hint="eastAsia" w:ascii="仿宋_GB2312" w:eastAsia="仿宋_GB2312"/>
          <w:spacing w:val="-2"/>
          <w:szCs w:val="28"/>
          <w:lang w:eastAsia="zh-CN"/>
        </w:rPr>
        <w:t>；</w:t>
      </w:r>
      <w:bookmarkEnd w:id="431"/>
      <w:bookmarkEnd w:id="432"/>
    </w:p>
    <w:p>
      <w:pPr>
        <w:adjustRightInd w:val="0"/>
        <w:snapToGrid w:val="0"/>
        <w:spacing w:line="600" w:lineRule="exact"/>
        <w:ind w:firstLine="560"/>
        <w:rPr>
          <w:rFonts w:hint="eastAsia" w:ascii="仿宋_GB2312" w:eastAsia="仿宋_GB2312"/>
          <w:szCs w:val="28"/>
          <w:lang w:eastAsia="zh-CN"/>
        </w:rPr>
      </w:pPr>
      <w:bookmarkStart w:id="433" w:name="_Toc59656435"/>
      <w:r>
        <w:rPr>
          <w:rFonts w:ascii="仿宋_GB2312" w:hAnsi="宋体" w:eastAsia="仿宋_GB2312" w:cs="宋体"/>
          <w:szCs w:val="28"/>
          <w:lang w:val="en-US"/>
        </w:rPr>
        <w:t>18</w:t>
      </w:r>
      <w:r>
        <w:rPr>
          <w:rFonts w:ascii="仿宋_GB2312" w:hAnsi="宋体" w:eastAsia="仿宋_GB2312" w:cs="宋体"/>
          <w:szCs w:val="28"/>
        </w:rPr>
        <w:t>.</w:t>
      </w:r>
      <w:bookmarkEnd w:id="433"/>
      <w:r>
        <w:rPr>
          <w:rFonts w:ascii="仿宋_GB2312" w:eastAsia="仿宋_GB2312"/>
          <w:szCs w:val="28"/>
        </w:rPr>
        <w:t>《福建省农业生态环境保护条例》（2018年修订）</w:t>
      </w:r>
      <w:r>
        <w:rPr>
          <w:rFonts w:hint="eastAsia" w:ascii="仿宋_GB2312" w:eastAsia="仿宋_GB2312"/>
          <w:szCs w:val="28"/>
          <w:lang w:eastAsia="zh-CN"/>
        </w:rPr>
        <w:t>；</w:t>
      </w:r>
    </w:p>
    <w:p>
      <w:pPr>
        <w:adjustRightInd w:val="0"/>
        <w:snapToGrid w:val="0"/>
        <w:spacing w:line="600" w:lineRule="exact"/>
        <w:ind w:firstLine="560"/>
        <w:rPr>
          <w:rFonts w:hint="eastAsia" w:ascii="仿宋_GB2312" w:eastAsia="仿宋_GB2312"/>
          <w:szCs w:val="28"/>
          <w:lang w:eastAsia="zh-CN"/>
        </w:rPr>
      </w:pPr>
      <w:r>
        <w:rPr>
          <w:rFonts w:ascii="仿宋_GB2312" w:eastAsia="仿宋_GB2312"/>
          <w:szCs w:val="28"/>
          <w:lang w:val="en-US"/>
        </w:rPr>
        <w:t>19</w:t>
      </w:r>
      <w:r>
        <w:rPr>
          <w:rFonts w:ascii="仿宋_GB2312" w:eastAsia="仿宋_GB2312"/>
          <w:szCs w:val="28"/>
        </w:rPr>
        <w:t>.《福建省农业农村厅关于印发福建省乡村产业发展规划（2021-2025年）的通知》（闽农产函〔2021〕522号）</w:t>
      </w:r>
      <w:r>
        <w:rPr>
          <w:rFonts w:hint="eastAsia" w:ascii="仿宋_GB2312" w:eastAsia="仿宋_GB2312"/>
          <w:szCs w:val="28"/>
          <w:lang w:eastAsia="zh-CN"/>
        </w:rPr>
        <w:t>；</w:t>
      </w:r>
    </w:p>
    <w:p>
      <w:pPr>
        <w:adjustRightInd w:val="0"/>
        <w:snapToGrid w:val="0"/>
        <w:spacing w:line="600" w:lineRule="exact"/>
        <w:ind w:firstLine="560"/>
        <w:rPr>
          <w:rFonts w:hint="eastAsia" w:ascii="仿宋_GB2312" w:eastAsia="仿宋_GB2312"/>
          <w:szCs w:val="28"/>
          <w:lang w:eastAsia="zh-CN"/>
        </w:rPr>
      </w:pPr>
      <w:r>
        <w:rPr>
          <w:rFonts w:ascii="仿宋_GB2312" w:eastAsia="仿宋_GB2312"/>
          <w:szCs w:val="28"/>
          <w:lang w:val="en-US"/>
        </w:rPr>
        <w:t>20</w:t>
      </w:r>
      <w:r>
        <w:rPr>
          <w:rFonts w:ascii="仿宋_GB2312" w:eastAsia="仿宋_GB2312"/>
          <w:szCs w:val="28"/>
        </w:rPr>
        <w:t>.《福建省农业农村厅关于开展畜禽养殖标准化示范创建活动的通知》（闽农牧函〔2021〕329号）</w:t>
      </w:r>
      <w:r>
        <w:rPr>
          <w:rFonts w:hint="eastAsia" w:ascii="仿宋_GB2312" w:eastAsia="仿宋_GB2312"/>
          <w:szCs w:val="28"/>
          <w:lang w:eastAsia="zh-CN"/>
        </w:rPr>
        <w:t>；</w:t>
      </w:r>
    </w:p>
    <w:p>
      <w:pPr>
        <w:adjustRightInd w:val="0"/>
        <w:snapToGrid w:val="0"/>
        <w:spacing w:line="600" w:lineRule="exact"/>
        <w:ind w:firstLine="560"/>
        <w:rPr>
          <w:rFonts w:ascii="仿宋_GB2312" w:eastAsia="仿宋_GB2312"/>
          <w:szCs w:val="28"/>
        </w:rPr>
      </w:pPr>
      <w:r>
        <w:rPr>
          <w:rFonts w:ascii="仿宋_GB2312" w:eastAsia="仿宋_GB2312"/>
          <w:szCs w:val="28"/>
          <w:lang w:val="en-US"/>
        </w:rPr>
        <w:t>21.中共三明市委 三明市人民政府印发《关于全面推进乡村振兴加快农业农村现代化的实施方案的通知》（明委发〔</w:t>
      </w:r>
      <w:r>
        <w:rPr>
          <w:rFonts w:hint="default" w:ascii="仿宋_GB2312" w:eastAsia="仿宋_GB2312"/>
          <w:szCs w:val="28"/>
          <w:lang w:val="en-US"/>
        </w:rPr>
        <w:t>2021</w:t>
      </w:r>
      <w:r>
        <w:rPr>
          <w:rFonts w:ascii="仿宋_GB2312" w:eastAsia="仿宋_GB2312"/>
          <w:szCs w:val="28"/>
          <w:lang w:val="en-US"/>
        </w:rPr>
        <w:t>〕</w:t>
      </w:r>
      <w:r>
        <w:rPr>
          <w:rFonts w:hint="default" w:ascii="仿宋_GB2312" w:eastAsia="仿宋_GB2312"/>
          <w:szCs w:val="28"/>
          <w:lang w:val="en-US"/>
        </w:rPr>
        <w:t xml:space="preserve">1 </w:t>
      </w:r>
      <w:r>
        <w:rPr>
          <w:rFonts w:ascii="仿宋_GB2312" w:eastAsia="仿宋_GB2312"/>
          <w:szCs w:val="28"/>
          <w:lang w:val="en-US"/>
        </w:rPr>
        <w:t>号）</w:t>
      </w:r>
      <w:r>
        <w:rPr>
          <w:rFonts w:hint="eastAsia" w:ascii="仿宋_GB2312" w:eastAsia="仿宋_GB2312"/>
          <w:szCs w:val="28"/>
          <w:lang w:val="en-US" w:eastAsia="zh-CN"/>
        </w:rPr>
        <w:t>；</w:t>
      </w:r>
      <w:r>
        <w:rPr>
          <w:rFonts w:ascii="仿宋_GB2312" w:eastAsia="仿宋_GB2312"/>
          <w:szCs w:val="28"/>
          <w:lang w:val="en-US"/>
        </w:rPr>
        <w:t xml:space="preserve"> </w:t>
      </w:r>
    </w:p>
    <w:p>
      <w:pPr>
        <w:adjustRightInd w:val="0"/>
        <w:snapToGrid w:val="0"/>
        <w:spacing w:line="600" w:lineRule="exact"/>
        <w:ind w:firstLine="560"/>
        <w:rPr>
          <w:rFonts w:ascii="仿宋_GB2312" w:eastAsia="仿宋_GB2312"/>
          <w:szCs w:val="28"/>
        </w:rPr>
      </w:pPr>
      <w:r>
        <w:rPr>
          <w:rFonts w:ascii="仿宋_GB2312" w:eastAsia="仿宋_GB2312"/>
          <w:szCs w:val="28"/>
          <w:lang w:val="en-US"/>
        </w:rPr>
        <w:t>22.《中共三明市委关于制定三明市国民经济和社会发展第十四个五年规划和二〇三五年远景目标的建议》（中国共产党三明市第九届委员会第十四次全体会议）</w:t>
      </w:r>
      <w:r>
        <w:rPr>
          <w:rFonts w:hint="eastAsia" w:ascii="仿宋_GB2312" w:eastAsia="仿宋_GB2312"/>
          <w:szCs w:val="28"/>
          <w:lang w:val="en-US" w:eastAsia="zh-CN"/>
        </w:rPr>
        <w:t>；</w:t>
      </w:r>
      <w:r>
        <w:rPr>
          <w:rFonts w:ascii="仿宋_GB2312" w:eastAsia="仿宋_GB2312"/>
          <w:szCs w:val="28"/>
          <w:lang w:val="en-US"/>
        </w:rPr>
        <w:t xml:space="preserve"> </w:t>
      </w:r>
    </w:p>
    <w:p>
      <w:pPr>
        <w:adjustRightInd w:val="0"/>
        <w:snapToGrid w:val="0"/>
        <w:spacing w:line="600" w:lineRule="exact"/>
        <w:ind w:firstLine="560"/>
        <w:rPr>
          <w:rFonts w:ascii="仿宋_GB2312" w:eastAsia="仿宋_GB2312"/>
          <w:szCs w:val="28"/>
        </w:rPr>
      </w:pPr>
      <w:r>
        <w:rPr>
          <w:rFonts w:ascii="仿宋_GB2312" w:eastAsia="仿宋_GB2312"/>
          <w:szCs w:val="28"/>
          <w:lang w:val="en-US"/>
        </w:rPr>
        <w:t>23.三明市人民政府办公室《关于印发三明市促进畜牧业高质量发展实施方案的通知》（明政办〔</w:t>
      </w:r>
      <w:r>
        <w:rPr>
          <w:rFonts w:hint="default" w:ascii="仿宋_GB2312" w:eastAsia="仿宋_GB2312"/>
          <w:szCs w:val="28"/>
          <w:lang w:val="en-US"/>
        </w:rPr>
        <w:t>2021</w:t>
      </w:r>
      <w:r>
        <w:rPr>
          <w:rFonts w:ascii="仿宋_GB2312" w:eastAsia="仿宋_GB2312"/>
          <w:szCs w:val="28"/>
          <w:lang w:val="en-US"/>
        </w:rPr>
        <w:t>〕</w:t>
      </w:r>
      <w:r>
        <w:rPr>
          <w:rFonts w:hint="default" w:ascii="仿宋_GB2312" w:eastAsia="仿宋_GB2312"/>
          <w:szCs w:val="28"/>
          <w:lang w:val="en-US"/>
        </w:rPr>
        <w:t xml:space="preserve">31 </w:t>
      </w:r>
      <w:r>
        <w:rPr>
          <w:rFonts w:ascii="仿宋_GB2312" w:eastAsia="仿宋_GB2312"/>
          <w:szCs w:val="28"/>
          <w:lang w:val="en-US"/>
        </w:rPr>
        <w:t xml:space="preserve">号）； </w:t>
      </w:r>
    </w:p>
    <w:p>
      <w:pPr>
        <w:spacing w:line="360" w:lineRule="auto"/>
        <w:ind w:firstLine="560"/>
        <w:outlineLvl w:val="1"/>
        <w:rPr>
          <w:rFonts w:hint="default" w:ascii="仿宋_GB2312" w:eastAsia="仿宋_GB2312"/>
          <w:szCs w:val="28"/>
          <w:lang w:val="en-US"/>
        </w:rPr>
      </w:pPr>
      <w:bookmarkStart w:id="434" w:name="_Toc20516"/>
      <w:bookmarkStart w:id="435" w:name="_Toc5348"/>
      <w:bookmarkStart w:id="436" w:name="_Toc2727"/>
      <w:bookmarkStart w:id="437" w:name="_Toc19998"/>
      <w:r>
        <w:rPr>
          <w:rFonts w:ascii="仿宋_GB2312" w:eastAsia="仿宋_GB2312"/>
          <w:szCs w:val="28"/>
          <w:lang w:val="en-US"/>
        </w:rPr>
        <w:t>24.</w:t>
      </w:r>
      <w:r>
        <w:rPr>
          <w:rFonts w:hint="default" w:ascii="仿宋_GB2312" w:eastAsia="仿宋_GB2312"/>
          <w:szCs w:val="28"/>
          <w:lang w:val="en-US"/>
        </w:rPr>
        <w:t>《三明市农业农村局&lt;关于落实稳定生猪生产促进转型升级三年行动计划目标任务&gt;的通知》（明农〔2019〕232号）;</w:t>
      </w:r>
      <w:bookmarkEnd w:id="434"/>
      <w:bookmarkEnd w:id="435"/>
      <w:bookmarkEnd w:id="436"/>
      <w:bookmarkEnd w:id="437"/>
    </w:p>
    <w:p>
      <w:pPr>
        <w:spacing w:line="360" w:lineRule="auto"/>
        <w:ind w:firstLine="560"/>
        <w:outlineLvl w:val="1"/>
        <w:rPr>
          <w:rFonts w:hint="default" w:ascii="仿宋_GB2312" w:eastAsia="仿宋_GB2312"/>
          <w:szCs w:val="28"/>
          <w:lang w:val="en-US"/>
        </w:rPr>
      </w:pPr>
      <w:bookmarkStart w:id="438" w:name="_Toc7391"/>
      <w:bookmarkStart w:id="439" w:name="_Toc18556"/>
      <w:bookmarkStart w:id="440" w:name="_Toc29905"/>
      <w:bookmarkStart w:id="441" w:name="_Toc13563"/>
      <w:r>
        <w:rPr>
          <w:rFonts w:hint="default" w:ascii="仿宋_GB2312" w:eastAsia="仿宋_GB2312"/>
          <w:szCs w:val="28"/>
          <w:lang w:val="en-US"/>
        </w:rPr>
        <w:t>2</w:t>
      </w:r>
      <w:r>
        <w:rPr>
          <w:rFonts w:ascii="仿宋_GB2312" w:eastAsia="仿宋_GB2312"/>
          <w:szCs w:val="28"/>
          <w:lang w:val="en-US"/>
        </w:rPr>
        <w:t>5</w:t>
      </w:r>
      <w:r>
        <w:rPr>
          <w:rFonts w:hint="default" w:ascii="仿宋_GB2312" w:eastAsia="仿宋_GB2312"/>
          <w:szCs w:val="28"/>
          <w:lang w:val="en-US"/>
        </w:rPr>
        <w:t>.《三明市农业农村局三明市生态环境局&lt;关于做好2020年度畜禽粪污资源化利用自查评估工作&gt;的通知》（明农〔2020〕163号）;</w:t>
      </w:r>
      <w:bookmarkEnd w:id="438"/>
      <w:bookmarkEnd w:id="439"/>
      <w:bookmarkEnd w:id="440"/>
      <w:bookmarkEnd w:id="441"/>
    </w:p>
    <w:p>
      <w:pPr>
        <w:spacing w:line="360" w:lineRule="auto"/>
        <w:ind w:firstLine="560"/>
        <w:outlineLvl w:val="1"/>
        <w:rPr>
          <w:rFonts w:hint="default" w:ascii="仿宋_GB2312" w:eastAsia="仿宋_GB2312"/>
          <w:szCs w:val="28"/>
          <w:lang w:val="en-US"/>
        </w:rPr>
      </w:pPr>
      <w:bookmarkStart w:id="442" w:name="_Toc10104"/>
      <w:bookmarkStart w:id="443" w:name="_Toc23990"/>
      <w:bookmarkStart w:id="444" w:name="_Toc25533"/>
      <w:bookmarkStart w:id="445" w:name="_Toc31102"/>
      <w:r>
        <w:rPr>
          <w:rFonts w:hint="default" w:ascii="仿宋_GB2312" w:eastAsia="仿宋_GB2312"/>
          <w:szCs w:val="28"/>
          <w:lang w:val="en-US"/>
        </w:rPr>
        <w:t>2</w:t>
      </w:r>
      <w:r>
        <w:rPr>
          <w:rFonts w:ascii="仿宋_GB2312" w:eastAsia="仿宋_GB2312"/>
          <w:szCs w:val="28"/>
          <w:lang w:val="en-US"/>
        </w:rPr>
        <w:t>6</w:t>
      </w:r>
      <w:r>
        <w:rPr>
          <w:rFonts w:hint="default" w:ascii="仿宋_GB2312" w:eastAsia="仿宋_GB2312"/>
          <w:szCs w:val="28"/>
          <w:lang w:val="en-US"/>
        </w:rPr>
        <w:t>.《三明市人民政府关于印发&lt;三明市</w:t>
      </w:r>
      <w:r>
        <w:rPr>
          <w:rFonts w:ascii="仿宋_GB2312" w:eastAsia="仿宋_GB2312"/>
          <w:szCs w:val="28"/>
          <w:lang w:val="en-US"/>
        </w:rPr>
        <w:t>“</w:t>
      </w:r>
      <w:r>
        <w:rPr>
          <w:rFonts w:hint="default" w:ascii="仿宋_GB2312" w:eastAsia="仿宋_GB2312"/>
          <w:szCs w:val="28"/>
          <w:lang w:val="en-US"/>
        </w:rPr>
        <w:t>三线一单</w:t>
      </w:r>
      <w:r>
        <w:rPr>
          <w:rFonts w:ascii="仿宋_GB2312" w:eastAsia="仿宋_GB2312"/>
          <w:szCs w:val="28"/>
          <w:lang w:val="en-US"/>
        </w:rPr>
        <w:t>”</w:t>
      </w:r>
      <w:r>
        <w:rPr>
          <w:rFonts w:hint="default" w:ascii="仿宋_GB2312" w:eastAsia="仿宋_GB2312"/>
          <w:szCs w:val="28"/>
          <w:lang w:val="en-US"/>
        </w:rPr>
        <w:t>生态环境分区管控方案&gt;的通知》（明政〔2021〕4号）；</w:t>
      </w:r>
      <w:bookmarkEnd w:id="442"/>
      <w:bookmarkEnd w:id="443"/>
      <w:bookmarkEnd w:id="444"/>
      <w:bookmarkEnd w:id="445"/>
    </w:p>
    <w:p>
      <w:pPr>
        <w:adjustRightInd w:val="0"/>
        <w:snapToGrid w:val="0"/>
        <w:spacing w:line="600" w:lineRule="exact"/>
        <w:ind w:firstLine="560"/>
        <w:rPr>
          <w:rFonts w:hint="eastAsia" w:ascii="仿宋_GB2312" w:eastAsia="仿宋_GB2312"/>
          <w:szCs w:val="28"/>
          <w:lang w:val="en-US" w:eastAsia="zh-CN"/>
        </w:rPr>
      </w:pPr>
      <w:r>
        <w:rPr>
          <w:rFonts w:ascii="仿宋_GB2312" w:eastAsia="仿宋_GB2312"/>
          <w:szCs w:val="28"/>
          <w:lang w:val="en-US"/>
        </w:rPr>
        <w:t>27.建宁县人民政府办公室《关于印发“建宁县国土空间总体规划（2020-2035年） 编制工作方案的通知》建政办〔2020〕36号</w:t>
      </w:r>
      <w:r>
        <w:rPr>
          <w:rFonts w:hint="eastAsia" w:ascii="仿宋_GB2312" w:eastAsia="仿宋_GB2312"/>
          <w:szCs w:val="28"/>
          <w:lang w:val="en-US" w:eastAsia="zh-CN"/>
        </w:rPr>
        <w:t>；</w:t>
      </w:r>
    </w:p>
    <w:p>
      <w:pPr>
        <w:adjustRightInd w:val="0"/>
        <w:snapToGrid w:val="0"/>
        <w:spacing w:line="600" w:lineRule="exact"/>
        <w:ind w:firstLine="560"/>
        <w:rPr>
          <w:rFonts w:hint="eastAsia" w:ascii="仿宋_GB2312" w:eastAsia="仿宋_GB2312"/>
          <w:szCs w:val="28"/>
          <w:lang w:val="en-US" w:eastAsia="zh-CN"/>
        </w:rPr>
      </w:pPr>
      <w:r>
        <w:rPr>
          <w:rFonts w:ascii="仿宋_GB2312" w:eastAsia="仿宋_GB2312"/>
          <w:szCs w:val="28"/>
          <w:lang w:val="en-US"/>
        </w:rPr>
        <w:t>28.建宁县国民经济和社会发展第十四个五年规划和二〇三五年远景目标纲要</w:t>
      </w:r>
      <w:r>
        <w:rPr>
          <w:rFonts w:hint="eastAsia" w:ascii="仿宋_GB2312" w:eastAsia="仿宋_GB2312"/>
          <w:szCs w:val="28"/>
          <w:lang w:val="en-US" w:eastAsia="zh-CN"/>
        </w:rPr>
        <w:t>；</w:t>
      </w:r>
    </w:p>
    <w:p>
      <w:pPr>
        <w:adjustRightInd w:val="0"/>
        <w:snapToGrid w:val="0"/>
        <w:spacing w:line="600" w:lineRule="exact"/>
        <w:ind w:firstLine="560"/>
        <w:rPr>
          <w:rFonts w:hint="eastAsia" w:ascii="仿宋_GB2312" w:eastAsia="仿宋_GB2312"/>
          <w:szCs w:val="28"/>
          <w:lang w:val="en-US" w:eastAsia="zh-CN"/>
        </w:rPr>
      </w:pPr>
      <w:r>
        <w:rPr>
          <w:rFonts w:ascii="仿宋_GB2312" w:eastAsia="仿宋_GB2312"/>
          <w:szCs w:val="28"/>
          <w:lang w:val="en-US"/>
        </w:rPr>
        <w:t>29.《建宁县城市总体规划（</w:t>
      </w:r>
      <w:r>
        <w:rPr>
          <w:rFonts w:hint="default" w:ascii="仿宋_GB2312" w:eastAsia="仿宋_GB2312"/>
          <w:szCs w:val="28"/>
          <w:lang w:val="en-US"/>
        </w:rPr>
        <w:t>2012—2030年）》</w:t>
      </w:r>
      <w:r>
        <w:rPr>
          <w:rFonts w:hint="eastAsia" w:ascii="仿宋_GB2312" w:eastAsia="仿宋_GB2312"/>
          <w:szCs w:val="28"/>
          <w:lang w:val="en-US" w:eastAsia="zh-CN"/>
        </w:rPr>
        <w:t>；</w:t>
      </w:r>
    </w:p>
    <w:p>
      <w:pPr>
        <w:adjustRightInd w:val="0"/>
        <w:snapToGrid w:val="0"/>
        <w:spacing w:line="600" w:lineRule="exact"/>
        <w:ind w:firstLine="560"/>
        <w:rPr>
          <w:rFonts w:hint="eastAsia" w:ascii="仿宋_GB2312" w:eastAsia="仿宋_GB2312"/>
          <w:szCs w:val="28"/>
          <w:lang w:val="en-US" w:eastAsia="zh-CN"/>
        </w:rPr>
      </w:pPr>
      <w:r>
        <w:rPr>
          <w:rFonts w:ascii="仿宋_GB2312" w:eastAsia="仿宋_GB2312"/>
          <w:szCs w:val="28"/>
          <w:lang w:val="en-US"/>
        </w:rPr>
        <w:t>30.建宁县人民政府</w:t>
      </w:r>
      <w:r>
        <w:rPr>
          <w:rFonts w:hint="default" w:ascii="仿宋_GB2312" w:eastAsia="仿宋_GB2312"/>
          <w:szCs w:val="28"/>
          <w:lang w:val="en-US"/>
        </w:rPr>
        <w:t>《</w:t>
      </w:r>
      <w:r>
        <w:rPr>
          <w:rFonts w:ascii="仿宋_GB2312" w:eastAsia="仿宋_GB2312"/>
          <w:szCs w:val="28"/>
          <w:lang w:val="en-US"/>
        </w:rPr>
        <w:t>关于印发县林地保护利用规划工作方案的通知</w:t>
      </w:r>
      <w:r>
        <w:rPr>
          <w:rFonts w:hint="default" w:ascii="仿宋_GB2312" w:eastAsia="仿宋_GB2312"/>
          <w:szCs w:val="28"/>
          <w:lang w:val="en-US"/>
        </w:rPr>
        <w:t>》</w:t>
      </w:r>
      <w:r>
        <w:rPr>
          <w:rFonts w:ascii="仿宋_GB2312" w:eastAsia="仿宋_GB2312"/>
          <w:szCs w:val="28"/>
          <w:lang w:val="en-US"/>
        </w:rPr>
        <w:t>建政文〔2011〕82号</w:t>
      </w:r>
      <w:r>
        <w:rPr>
          <w:rFonts w:hint="eastAsia" w:ascii="仿宋_GB2312" w:eastAsia="仿宋_GB2312"/>
          <w:szCs w:val="28"/>
          <w:lang w:val="en-US" w:eastAsia="zh-CN"/>
        </w:rPr>
        <w:t>；</w:t>
      </w:r>
    </w:p>
    <w:p>
      <w:pPr>
        <w:adjustRightInd w:val="0"/>
        <w:snapToGrid w:val="0"/>
        <w:spacing w:line="600" w:lineRule="exact"/>
        <w:ind w:firstLine="560"/>
        <w:rPr>
          <w:rFonts w:hint="eastAsia" w:ascii="仿宋_GB2312" w:eastAsia="仿宋_GB2312"/>
          <w:szCs w:val="28"/>
          <w:lang w:val="en-US" w:eastAsia="zh-CN"/>
        </w:rPr>
      </w:pPr>
      <w:r>
        <w:rPr>
          <w:rFonts w:ascii="仿宋_GB2312" w:eastAsia="仿宋_GB2312"/>
          <w:szCs w:val="28"/>
          <w:lang w:val="en-US"/>
        </w:rPr>
        <w:t>31.建宁县人民政府办公室《关于印发 建宁县畜禽养殖禁养区重新划分方案的通知》建政办〔2019〕58号</w:t>
      </w:r>
      <w:r>
        <w:rPr>
          <w:rFonts w:hint="eastAsia" w:ascii="仿宋_GB2312" w:eastAsia="仿宋_GB2312"/>
          <w:szCs w:val="28"/>
          <w:lang w:val="en-US" w:eastAsia="zh-CN"/>
        </w:rPr>
        <w:t>。</w:t>
      </w:r>
    </w:p>
    <w:p>
      <w:pPr>
        <w:spacing w:line="360" w:lineRule="auto"/>
        <w:ind w:firstLine="602"/>
        <w:outlineLvl w:val="1"/>
        <w:rPr>
          <w:rFonts w:hint="default" w:ascii="仿宋_GB2312" w:eastAsia="仿宋_GB2312"/>
          <w:b/>
          <w:sz w:val="30"/>
          <w:szCs w:val="30"/>
        </w:rPr>
      </w:pPr>
      <w:bookmarkStart w:id="446" w:name="_Toc23122"/>
      <w:r>
        <w:rPr>
          <w:rFonts w:hint="default" w:ascii="仿宋_GB2312" w:eastAsia="仿宋_GB2312"/>
          <w:b/>
          <w:sz w:val="30"/>
          <w:szCs w:val="30"/>
        </w:rPr>
        <w:t>（三）技术规范、标准</w:t>
      </w:r>
      <w:bookmarkEnd w:id="446"/>
    </w:p>
    <w:p>
      <w:pPr>
        <w:spacing w:line="360" w:lineRule="auto"/>
        <w:ind w:firstLine="560"/>
        <w:outlineLvl w:val="1"/>
        <w:rPr>
          <w:rFonts w:hint="default" w:ascii="仿宋_GB2312" w:eastAsia="仿宋_GB2312"/>
          <w:szCs w:val="28"/>
          <w:lang w:val="en-US"/>
        </w:rPr>
      </w:pPr>
      <w:bookmarkStart w:id="447" w:name="_Toc24050"/>
      <w:bookmarkStart w:id="448" w:name="_Toc25714"/>
      <w:bookmarkStart w:id="449" w:name="_Toc32373"/>
      <w:bookmarkStart w:id="450" w:name="_Toc10970"/>
      <w:r>
        <w:rPr>
          <w:rFonts w:hint="default" w:ascii="仿宋_GB2312" w:eastAsia="仿宋_GB2312"/>
          <w:szCs w:val="28"/>
          <w:lang w:val="en-US"/>
        </w:rPr>
        <w:t>1.《畜禽养殖业污染物排放标准》（GB18596-2001）；</w:t>
      </w:r>
      <w:bookmarkEnd w:id="447"/>
      <w:bookmarkEnd w:id="448"/>
      <w:bookmarkEnd w:id="449"/>
      <w:bookmarkEnd w:id="450"/>
    </w:p>
    <w:p>
      <w:pPr>
        <w:spacing w:line="360" w:lineRule="auto"/>
        <w:ind w:firstLine="560"/>
        <w:outlineLvl w:val="1"/>
        <w:rPr>
          <w:rFonts w:hint="default" w:ascii="仿宋_GB2312" w:eastAsia="仿宋_GB2312"/>
          <w:szCs w:val="28"/>
          <w:lang w:val="en-US"/>
        </w:rPr>
      </w:pPr>
      <w:bookmarkStart w:id="451" w:name="_Toc14126"/>
      <w:bookmarkStart w:id="452" w:name="_Toc3795"/>
      <w:bookmarkStart w:id="453" w:name="_Toc3367"/>
      <w:bookmarkStart w:id="454" w:name="_Toc510"/>
      <w:r>
        <w:rPr>
          <w:rFonts w:hint="default" w:ascii="仿宋_GB2312" w:eastAsia="仿宋_GB2312"/>
          <w:szCs w:val="28"/>
          <w:lang w:val="en-US"/>
        </w:rPr>
        <w:t>2.《畜禽养殖业污染防治技术规范》（HJ/T81-2001）；</w:t>
      </w:r>
      <w:bookmarkEnd w:id="451"/>
      <w:bookmarkEnd w:id="452"/>
      <w:bookmarkEnd w:id="453"/>
      <w:bookmarkEnd w:id="454"/>
    </w:p>
    <w:p>
      <w:pPr>
        <w:spacing w:line="360" w:lineRule="auto"/>
        <w:ind w:firstLine="560"/>
        <w:outlineLvl w:val="1"/>
        <w:rPr>
          <w:rFonts w:hint="default" w:ascii="仿宋_GB2312" w:eastAsia="仿宋_GB2312"/>
          <w:szCs w:val="28"/>
          <w:lang w:val="en-US"/>
        </w:rPr>
      </w:pPr>
      <w:bookmarkStart w:id="455" w:name="_Toc16568"/>
      <w:bookmarkStart w:id="456" w:name="_Toc1158"/>
      <w:bookmarkStart w:id="457" w:name="_Toc25360"/>
      <w:bookmarkStart w:id="458" w:name="_Toc32014"/>
      <w:r>
        <w:rPr>
          <w:rFonts w:hint="default" w:ascii="仿宋_GB2312" w:eastAsia="仿宋_GB2312"/>
          <w:szCs w:val="28"/>
          <w:lang w:val="en-US"/>
        </w:rPr>
        <w:t>3.《畜禽养殖业污染治理工程技术规范》HJ497-2009）；</w:t>
      </w:r>
      <w:bookmarkEnd w:id="455"/>
      <w:bookmarkEnd w:id="456"/>
      <w:bookmarkEnd w:id="457"/>
      <w:bookmarkEnd w:id="458"/>
    </w:p>
    <w:p>
      <w:pPr>
        <w:spacing w:line="360" w:lineRule="auto"/>
        <w:ind w:firstLine="560"/>
        <w:outlineLvl w:val="1"/>
        <w:rPr>
          <w:rFonts w:hint="default" w:ascii="仿宋_GB2312" w:eastAsia="仿宋_GB2312"/>
          <w:szCs w:val="28"/>
          <w:lang w:val="en-US"/>
        </w:rPr>
      </w:pPr>
      <w:bookmarkStart w:id="459" w:name="_Toc17948"/>
      <w:bookmarkStart w:id="460" w:name="_Toc21866"/>
      <w:bookmarkStart w:id="461" w:name="_Toc21540"/>
      <w:bookmarkStart w:id="462" w:name="_Toc17001"/>
      <w:r>
        <w:rPr>
          <w:rFonts w:hint="default" w:ascii="仿宋_GB2312" w:eastAsia="仿宋_GB2312"/>
          <w:szCs w:val="28"/>
          <w:lang w:val="en-US"/>
        </w:rPr>
        <w:t>4.《畜禽粪便还田技术规范》（GB/T25246-2010）；</w:t>
      </w:r>
      <w:bookmarkEnd w:id="459"/>
      <w:bookmarkEnd w:id="460"/>
      <w:bookmarkEnd w:id="461"/>
      <w:bookmarkEnd w:id="462"/>
    </w:p>
    <w:p>
      <w:pPr>
        <w:spacing w:line="360" w:lineRule="auto"/>
        <w:ind w:firstLine="560"/>
        <w:outlineLvl w:val="1"/>
        <w:rPr>
          <w:rFonts w:hint="default" w:ascii="仿宋_GB2312" w:eastAsia="仿宋_GB2312"/>
          <w:szCs w:val="28"/>
          <w:lang w:val="en-US"/>
        </w:rPr>
      </w:pPr>
      <w:bookmarkStart w:id="463" w:name="_Toc19868"/>
      <w:bookmarkStart w:id="464" w:name="_Toc31350"/>
      <w:bookmarkStart w:id="465" w:name="_Toc18726"/>
      <w:bookmarkStart w:id="466" w:name="_Toc6567"/>
      <w:r>
        <w:rPr>
          <w:rFonts w:hint="default" w:ascii="仿宋_GB2312" w:eastAsia="仿宋_GB2312"/>
          <w:szCs w:val="28"/>
          <w:lang w:val="en-US"/>
        </w:rPr>
        <w:t>5.《畜禽粪便无害化处理技术规范》GB/T36195-2018）；</w:t>
      </w:r>
      <w:bookmarkEnd w:id="463"/>
      <w:bookmarkEnd w:id="464"/>
      <w:bookmarkEnd w:id="465"/>
      <w:bookmarkEnd w:id="466"/>
    </w:p>
    <w:p>
      <w:pPr>
        <w:spacing w:line="360" w:lineRule="auto"/>
        <w:ind w:firstLine="560"/>
        <w:outlineLvl w:val="1"/>
        <w:rPr>
          <w:rFonts w:hint="eastAsia" w:ascii="仿宋_GB2312" w:eastAsia="仿宋_GB2312"/>
          <w:szCs w:val="28"/>
          <w:lang w:val="en-US" w:eastAsia="zh-CN"/>
        </w:rPr>
      </w:pPr>
      <w:bookmarkStart w:id="467" w:name="_Toc14329"/>
      <w:bookmarkStart w:id="468" w:name="_Toc17186"/>
      <w:bookmarkStart w:id="469" w:name="_Toc25839"/>
      <w:bookmarkStart w:id="470" w:name="_Toc16025"/>
      <w:r>
        <w:rPr>
          <w:rFonts w:hint="default" w:ascii="仿宋_GB2312" w:eastAsia="仿宋_GB2312"/>
          <w:szCs w:val="28"/>
          <w:lang w:val="en-US"/>
        </w:rPr>
        <w:t>6.《畜禽粪污土地承载力测算技术指南》（2018年）</w:t>
      </w:r>
      <w:bookmarkEnd w:id="467"/>
      <w:bookmarkEnd w:id="468"/>
      <w:r>
        <w:rPr>
          <w:rFonts w:hint="eastAsia" w:ascii="仿宋_GB2312" w:eastAsia="仿宋_GB2312"/>
          <w:szCs w:val="28"/>
          <w:lang w:val="en-US" w:eastAsia="zh-CN"/>
        </w:rPr>
        <w:t>。</w:t>
      </w:r>
      <w:bookmarkEnd w:id="469"/>
      <w:bookmarkEnd w:id="470"/>
    </w:p>
    <w:p>
      <w:pPr>
        <w:spacing w:line="360" w:lineRule="auto"/>
        <w:ind w:firstLine="602"/>
        <w:outlineLvl w:val="1"/>
        <w:rPr>
          <w:rFonts w:hint="default" w:ascii="仿宋_GB2312" w:eastAsia="仿宋_GB2312"/>
          <w:b/>
          <w:sz w:val="30"/>
          <w:szCs w:val="30"/>
        </w:rPr>
      </w:pPr>
      <w:bookmarkStart w:id="471" w:name="_Toc20393"/>
      <w:r>
        <w:rPr>
          <w:rFonts w:hint="default" w:ascii="仿宋_GB2312" w:eastAsia="仿宋_GB2312"/>
          <w:b/>
          <w:sz w:val="30"/>
          <w:szCs w:val="30"/>
        </w:rPr>
        <w:t>（四）相关规划</w:t>
      </w:r>
      <w:bookmarkEnd w:id="471"/>
    </w:p>
    <w:p>
      <w:pPr>
        <w:spacing w:line="360" w:lineRule="auto"/>
        <w:ind w:firstLine="560"/>
        <w:outlineLvl w:val="1"/>
        <w:rPr>
          <w:rFonts w:hint="default" w:ascii="仿宋_GB2312" w:eastAsia="仿宋_GB2312"/>
          <w:szCs w:val="28"/>
          <w:lang w:val="en-US"/>
        </w:rPr>
      </w:pPr>
      <w:bookmarkStart w:id="472" w:name="_Toc28533"/>
      <w:bookmarkStart w:id="473" w:name="_Toc2489"/>
      <w:bookmarkStart w:id="474" w:name="_Toc25091"/>
      <w:bookmarkStart w:id="475" w:name="_Toc1631"/>
      <w:bookmarkStart w:id="476" w:name="_Toc9173"/>
      <w:r>
        <w:rPr>
          <w:rFonts w:hint="default" w:ascii="仿宋_GB2312" w:eastAsia="仿宋_GB2312"/>
          <w:szCs w:val="28"/>
          <w:lang w:val="en-US"/>
        </w:rPr>
        <w:t>1.《全国乡村产业发展规划（2020-2025年）》；</w:t>
      </w:r>
      <w:bookmarkEnd w:id="472"/>
      <w:bookmarkEnd w:id="473"/>
      <w:bookmarkEnd w:id="474"/>
      <w:bookmarkEnd w:id="475"/>
      <w:bookmarkEnd w:id="476"/>
    </w:p>
    <w:p>
      <w:pPr>
        <w:spacing w:line="360" w:lineRule="auto"/>
        <w:ind w:firstLine="560"/>
        <w:outlineLvl w:val="1"/>
        <w:rPr>
          <w:rFonts w:hint="default" w:ascii="仿宋_GB2312" w:eastAsia="仿宋_GB2312"/>
          <w:szCs w:val="28"/>
          <w:lang w:val="en-US"/>
        </w:rPr>
      </w:pPr>
      <w:bookmarkStart w:id="477" w:name="_Toc9868"/>
      <w:bookmarkStart w:id="478" w:name="_Toc7615"/>
      <w:bookmarkStart w:id="479" w:name="_Toc17091"/>
      <w:bookmarkStart w:id="480" w:name="_Toc1090"/>
      <w:bookmarkStart w:id="481" w:name="_Toc17362"/>
      <w:r>
        <w:rPr>
          <w:rFonts w:hint="default" w:ascii="仿宋_GB2312" w:eastAsia="仿宋_GB2312"/>
          <w:szCs w:val="28"/>
          <w:lang w:val="en-US"/>
        </w:rPr>
        <w:t>2.《乡村振兴战略规划（2018</w:t>
      </w:r>
      <w:r>
        <w:rPr>
          <w:rFonts w:ascii="仿宋_GB2312" w:eastAsia="仿宋_GB2312"/>
          <w:szCs w:val="28"/>
          <w:lang w:val="en-US"/>
        </w:rPr>
        <w:t>-</w:t>
      </w:r>
      <w:r>
        <w:rPr>
          <w:rFonts w:hint="default" w:ascii="仿宋_GB2312" w:eastAsia="仿宋_GB2312"/>
          <w:szCs w:val="28"/>
          <w:lang w:val="en-US"/>
        </w:rPr>
        <w:t>2022年）》；</w:t>
      </w:r>
      <w:bookmarkEnd w:id="477"/>
      <w:bookmarkEnd w:id="478"/>
      <w:bookmarkEnd w:id="479"/>
      <w:bookmarkEnd w:id="480"/>
      <w:bookmarkEnd w:id="481"/>
    </w:p>
    <w:p>
      <w:pPr>
        <w:spacing w:line="360" w:lineRule="auto"/>
        <w:ind w:firstLine="560"/>
        <w:outlineLvl w:val="1"/>
        <w:rPr>
          <w:rFonts w:hint="default" w:ascii="仿宋_GB2312" w:eastAsia="仿宋_GB2312"/>
          <w:szCs w:val="28"/>
          <w:lang w:val="en-US"/>
        </w:rPr>
      </w:pPr>
      <w:bookmarkStart w:id="482" w:name="_Toc13455"/>
      <w:bookmarkStart w:id="483" w:name="_Toc8232"/>
      <w:bookmarkStart w:id="484" w:name="_Toc4215"/>
      <w:bookmarkStart w:id="485" w:name="_Toc13078"/>
      <w:bookmarkStart w:id="486" w:name="_Toc26083"/>
      <w:r>
        <w:rPr>
          <w:rFonts w:hint="default" w:ascii="仿宋_GB2312" w:eastAsia="仿宋_GB2312"/>
          <w:szCs w:val="28"/>
          <w:lang w:val="en-US"/>
        </w:rPr>
        <w:t>3.《</w:t>
      </w:r>
      <w:r>
        <w:rPr>
          <w:rFonts w:ascii="仿宋_GB2312" w:eastAsia="仿宋_GB2312"/>
          <w:szCs w:val="28"/>
          <w:lang w:val="en-US"/>
        </w:rPr>
        <w:t>“</w:t>
      </w:r>
      <w:r>
        <w:rPr>
          <w:rFonts w:hint="default" w:ascii="仿宋_GB2312" w:eastAsia="仿宋_GB2312"/>
          <w:szCs w:val="28"/>
          <w:lang w:val="en-US"/>
        </w:rPr>
        <w:t>十四五</w:t>
      </w:r>
      <w:r>
        <w:rPr>
          <w:rFonts w:ascii="仿宋_GB2312" w:eastAsia="仿宋_GB2312"/>
          <w:szCs w:val="28"/>
          <w:lang w:val="en-US"/>
        </w:rPr>
        <w:t>”</w:t>
      </w:r>
      <w:r>
        <w:rPr>
          <w:rFonts w:hint="default" w:ascii="仿宋_GB2312" w:eastAsia="仿宋_GB2312"/>
          <w:szCs w:val="28"/>
          <w:lang w:val="en-US"/>
        </w:rPr>
        <w:t>全国畜牧兽医行业发展规划》；</w:t>
      </w:r>
      <w:bookmarkEnd w:id="482"/>
      <w:bookmarkEnd w:id="483"/>
      <w:bookmarkEnd w:id="484"/>
      <w:bookmarkEnd w:id="485"/>
      <w:bookmarkEnd w:id="486"/>
    </w:p>
    <w:p>
      <w:pPr>
        <w:spacing w:line="360" w:lineRule="auto"/>
        <w:ind w:firstLine="560"/>
        <w:outlineLvl w:val="1"/>
        <w:rPr>
          <w:rFonts w:hint="default" w:ascii="仿宋_GB2312" w:eastAsia="仿宋_GB2312"/>
          <w:szCs w:val="28"/>
          <w:lang w:val="en-US"/>
        </w:rPr>
      </w:pPr>
      <w:bookmarkStart w:id="487" w:name="_Toc25285"/>
      <w:bookmarkStart w:id="488" w:name="_Toc29663"/>
      <w:bookmarkStart w:id="489" w:name="_Toc7611"/>
      <w:bookmarkStart w:id="490" w:name="_Toc8418"/>
      <w:bookmarkStart w:id="491" w:name="_Toc28093"/>
      <w:r>
        <w:rPr>
          <w:rFonts w:hint="default" w:ascii="仿宋_GB2312" w:eastAsia="仿宋_GB2312"/>
          <w:szCs w:val="28"/>
          <w:lang w:val="en-US"/>
        </w:rPr>
        <w:t>4.《</w:t>
      </w:r>
      <w:r>
        <w:rPr>
          <w:rFonts w:ascii="仿宋_GB2312" w:eastAsia="仿宋_GB2312"/>
          <w:szCs w:val="28"/>
          <w:lang w:val="en-US"/>
        </w:rPr>
        <w:t>“</w:t>
      </w:r>
      <w:r>
        <w:rPr>
          <w:rFonts w:hint="default" w:ascii="仿宋_GB2312" w:eastAsia="仿宋_GB2312"/>
          <w:szCs w:val="28"/>
          <w:lang w:val="en-US"/>
        </w:rPr>
        <w:t>十四五</w:t>
      </w:r>
      <w:r>
        <w:rPr>
          <w:rFonts w:ascii="仿宋_GB2312" w:eastAsia="仿宋_GB2312"/>
          <w:szCs w:val="28"/>
          <w:lang w:val="en-US"/>
        </w:rPr>
        <w:t>”</w:t>
      </w:r>
      <w:r>
        <w:rPr>
          <w:rFonts w:hint="default" w:ascii="仿宋_GB2312" w:eastAsia="仿宋_GB2312"/>
          <w:szCs w:val="28"/>
          <w:lang w:val="en-US"/>
        </w:rPr>
        <w:t>全国饲草产业发展规划》；</w:t>
      </w:r>
      <w:bookmarkEnd w:id="487"/>
      <w:bookmarkEnd w:id="488"/>
      <w:bookmarkEnd w:id="489"/>
      <w:bookmarkEnd w:id="490"/>
      <w:bookmarkEnd w:id="491"/>
    </w:p>
    <w:p>
      <w:pPr>
        <w:spacing w:line="360" w:lineRule="auto"/>
        <w:ind w:firstLine="560"/>
        <w:outlineLvl w:val="1"/>
        <w:rPr>
          <w:rFonts w:hint="default" w:ascii="仿宋_GB2312" w:eastAsia="仿宋_GB2312"/>
          <w:szCs w:val="28"/>
          <w:lang w:val="en-US"/>
        </w:rPr>
      </w:pPr>
      <w:bookmarkStart w:id="492" w:name="_Toc26292"/>
      <w:bookmarkStart w:id="493" w:name="_Toc18254"/>
      <w:bookmarkStart w:id="494" w:name="_Toc25777"/>
      <w:bookmarkStart w:id="495" w:name="_Toc31183"/>
      <w:bookmarkStart w:id="496" w:name="_Toc27405"/>
      <w:r>
        <w:rPr>
          <w:rFonts w:ascii="仿宋_GB2312" w:eastAsia="仿宋_GB2312"/>
          <w:szCs w:val="28"/>
          <w:lang w:val="en-US"/>
        </w:rPr>
        <w:t>5</w:t>
      </w:r>
      <w:r>
        <w:rPr>
          <w:rFonts w:hint="default" w:ascii="仿宋_GB2312" w:eastAsia="仿宋_GB2312"/>
          <w:szCs w:val="28"/>
          <w:lang w:val="en-US"/>
        </w:rPr>
        <w:t>.《福建省</w:t>
      </w:r>
      <w:r>
        <w:rPr>
          <w:rFonts w:ascii="仿宋_GB2312" w:eastAsia="仿宋_GB2312"/>
          <w:szCs w:val="28"/>
          <w:lang w:val="en-US"/>
        </w:rPr>
        <w:t>“</w:t>
      </w:r>
      <w:r>
        <w:rPr>
          <w:rFonts w:hint="default" w:ascii="仿宋_GB2312" w:eastAsia="仿宋_GB2312"/>
          <w:szCs w:val="28"/>
          <w:lang w:val="en-US"/>
        </w:rPr>
        <w:t>十四五</w:t>
      </w:r>
      <w:r>
        <w:rPr>
          <w:rFonts w:ascii="仿宋_GB2312" w:eastAsia="仿宋_GB2312"/>
          <w:szCs w:val="28"/>
          <w:lang w:val="en-US"/>
        </w:rPr>
        <w:t>”</w:t>
      </w:r>
      <w:r>
        <w:rPr>
          <w:rFonts w:hint="default" w:ascii="仿宋_GB2312" w:eastAsia="仿宋_GB2312"/>
          <w:szCs w:val="28"/>
          <w:lang w:val="en-US"/>
        </w:rPr>
        <w:t>特色现代农业发展专项规划》；</w:t>
      </w:r>
      <w:bookmarkEnd w:id="492"/>
      <w:bookmarkEnd w:id="493"/>
      <w:bookmarkEnd w:id="494"/>
      <w:bookmarkEnd w:id="495"/>
      <w:bookmarkEnd w:id="496"/>
    </w:p>
    <w:p>
      <w:pPr>
        <w:spacing w:line="360" w:lineRule="auto"/>
        <w:ind w:firstLine="560"/>
        <w:outlineLvl w:val="1"/>
        <w:rPr>
          <w:rFonts w:hint="default" w:ascii="仿宋_GB2312" w:eastAsia="仿宋_GB2312"/>
          <w:szCs w:val="28"/>
          <w:lang w:val="en-US"/>
        </w:rPr>
      </w:pPr>
      <w:bookmarkStart w:id="497" w:name="_Toc32581"/>
      <w:bookmarkStart w:id="498" w:name="_Toc6920"/>
      <w:bookmarkStart w:id="499" w:name="_Toc15067"/>
      <w:bookmarkStart w:id="500" w:name="_Toc1023"/>
      <w:bookmarkStart w:id="501" w:name="_Toc21345"/>
      <w:r>
        <w:rPr>
          <w:rFonts w:ascii="仿宋_GB2312" w:eastAsia="仿宋_GB2312"/>
          <w:szCs w:val="28"/>
          <w:lang w:val="en-US"/>
        </w:rPr>
        <w:t>6</w:t>
      </w:r>
      <w:r>
        <w:rPr>
          <w:rFonts w:hint="default" w:ascii="仿宋_GB2312" w:eastAsia="仿宋_GB2312"/>
          <w:szCs w:val="28"/>
          <w:lang w:val="en-US"/>
        </w:rPr>
        <w:t>.《福建省现代种业发展规划（2021-2025年）》；</w:t>
      </w:r>
      <w:bookmarkEnd w:id="497"/>
      <w:bookmarkEnd w:id="498"/>
      <w:bookmarkEnd w:id="499"/>
      <w:bookmarkEnd w:id="500"/>
      <w:bookmarkEnd w:id="501"/>
    </w:p>
    <w:p>
      <w:pPr>
        <w:spacing w:line="360" w:lineRule="auto"/>
        <w:ind w:firstLine="560"/>
        <w:outlineLvl w:val="1"/>
        <w:rPr>
          <w:rFonts w:hint="eastAsia" w:ascii="仿宋_GB2312" w:eastAsia="仿宋_GB2312"/>
          <w:szCs w:val="28"/>
          <w:lang w:val="en-US" w:eastAsia="zh-CN"/>
        </w:rPr>
      </w:pPr>
      <w:bookmarkStart w:id="502" w:name="_Toc25168"/>
      <w:bookmarkStart w:id="503" w:name="_Toc9384"/>
      <w:bookmarkStart w:id="504" w:name="_Toc23179"/>
      <w:bookmarkStart w:id="505" w:name="_Toc19110"/>
      <w:bookmarkStart w:id="506" w:name="_Toc5532"/>
      <w:r>
        <w:rPr>
          <w:rFonts w:ascii="仿宋_GB2312" w:eastAsia="仿宋_GB2312"/>
          <w:szCs w:val="28"/>
          <w:lang w:val="en-US"/>
        </w:rPr>
        <w:t>7</w:t>
      </w:r>
      <w:r>
        <w:rPr>
          <w:rFonts w:hint="default" w:ascii="仿宋_GB2312" w:eastAsia="仿宋_GB2312"/>
          <w:szCs w:val="28"/>
          <w:lang w:val="en-US"/>
        </w:rPr>
        <w:t>.《三明市国民经济和社会发展第十四个五年规划和二〇三五年远景目标纲要》</w:t>
      </w:r>
      <w:bookmarkEnd w:id="502"/>
      <w:bookmarkEnd w:id="503"/>
      <w:bookmarkEnd w:id="504"/>
      <w:r>
        <w:rPr>
          <w:rFonts w:hint="eastAsia" w:ascii="仿宋_GB2312" w:eastAsia="仿宋_GB2312"/>
          <w:szCs w:val="28"/>
          <w:lang w:val="en-US" w:eastAsia="zh-CN"/>
        </w:rPr>
        <w:t>；</w:t>
      </w:r>
      <w:bookmarkEnd w:id="505"/>
      <w:bookmarkEnd w:id="506"/>
    </w:p>
    <w:p>
      <w:pPr>
        <w:pStyle w:val="17"/>
        <w:ind w:leftChars="0" w:firstLine="640" w:firstLineChars="0"/>
        <w:rPr>
          <w:rFonts w:hint="eastAsia" w:ascii="仿宋_GB2312" w:eastAsia="仿宋_GB2312"/>
          <w:szCs w:val="28"/>
          <w:lang w:val="en-US" w:eastAsia="zh-CN"/>
        </w:rPr>
      </w:pPr>
      <w:r>
        <w:rPr>
          <w:rFonts w:ascii="仿宋_GB2312" w:eastAsia="仿宋_GB2312"/>
          <w:szCs w:val="28"/>
          <w:lang w:val="en-US"/>
        </w:rPr>
        <w:t>8.</w:t>
      </w:r>
      <w:r>
        <w:rPr>
          <w:rFonts w:hint="default" w:ascii="仿宋_GB2312" w:eastAsia="仿宋_GB2312"/>
          <w:szCs w:val="28"/>
          <w:lang w:val="en-US"/>
        </w:rPr>
        <w:t>《三明市十四五年</w:t>
      </w:r>
      <w:r>
        <w:rPr>
          <w:rFonts w:ascii="仿宋_GB2312" w:eastAsia="仿宋_GB2312"/>
          <w:szCs w:val="28"/>
          <w:lang w:val="en-US"/>
        </w:rPr>
        <w:t>畜牧业发展</w:t>
      </w:r>
      <w:r>
        <w:rPr>
          <w:rFonts w:hint="default" w:ascii="仿宋_GB2312" w:eastAsia="仿宋_GB2312"/>
          <w:szCs w:val="28"/>
          <w:lang w:val="en-US"/>
        </w:rPr>
        <w:t>规划》</w:t>
      </w:r>
      <w:r>
        <w:rPr>
          <w:rFonts w:hint="eastAsia" w:ascii="仿宋_GB2312" w:eastAsia="仿宋_GB2312"/>
          <w:szCs w:val="28"/>
          <w:lang w:val="en-US" w:eastAsia="zh-CN"/>
        </w:rPr>
        <w:t>。</w:t>
      </w:r>
    </w:p>
    <w:p>
      <w:pPr>
        <w:pStyle w:val="6"/>
        <w:numPr>
          <w:ilvl w:val="1"/>
          <w:numId w:val="0"/>
        </w:numPr>
        <w:spacing w:before="156" w:beforeLines="50" w:after="156" w:afterLines="50"/>
        <w:ind w:left="560" w:leftChars="200"/>
        <w:rPr>
          <w:rFonts w:ascii="黑体" w:hAnsi="黑体" w:eastAsia="黑体"/>
          <w:b w:val="0"/>
          <w:bCs w:val="0"/>
          <w:sz w:val="30"/>
          <w:szCs w:val="30"/>
        </w:rPr>
      </w:pPr>
      <w:bookmarkStart w:id="507" w:name="_Toc59656438"/>
      <w:bookmarkStart w:id="508" w:name="_Toc11144"/>
      <w:bookmarkStart w:id="509" w:name="_Toc22735"/>
      <w:bookmarkStart w:id="510" w:name="_Toc5139"/>
      <w:bookmarkStart w:id="511" w:name="_Toc13077"/>
      <w:r>
        <w:rPr>
          <w:rFonts w:hint="eastAsia" w:ascii="黑体" w:hAnsi="黑体" w:eastAsia="黑体"/>
          <w:b w:val="0"/>
          <w:bCs w:val="0"/>
          <w:sz w:val="30"/>
          <w:szCs w:val="30"/>
        </w:rPr>
        <w:t>三、</w:t>
      </w:r>
      <w:bookmarkEnd w:id="507"/>
      <w:bookmarkStart w:id="512" w:name="_Toc59656442"/>
      <w:r>
        <w:rPr>
          <w:rFonts w:ascii="黑体" w:hAnsi="黑体" w:eastAsia="黑体"/>
          <w:b w:val="0"/>
          <w:bCs w:val="0"/>
          <w:sz w:val="30"/>
          <w:szCs w:val="30"/>
        </w:rPr>
        <w:t>畜禽养殖现状及环境承载能力分析</w:t>
      </w:r>
      <w:bookmarkEnd w:id="508"/>
      <w:bookmarkEnd w:id="509"/>
      <w:bookmarkEnd w:id="510"/>
      <w:bookmarkEnd w:id="511"/>
    </w:p>
    <w:p>
      <w:pPr>
        <w:spacing w:line="360" w:lineRule="auto"/>
        <w:ind w:firstLine="602"/>
        <w:outlineLvl w:val="1"/>
        <w:rPr>
          <w:rFonts w:hint="default" w:ascii="仿宋_GB2312" w:eastAsia="仿宋_GB2312"/>
          <w:b/>
          <w:sz w:val="30"/>
          <w:szCs w:val="30"/>
        </w:rPr>
      </w:pPr>
      <w:bookmarkStart w:id="513" w:name="_Toc2538"/>
      <w:bookmarkStart w:id="514" w:name="_Toc8242"/>
      <w:bookmarkStart w:id="515" w:name="_Toc4932"/>
      <w:r>
        <w:rPr>
          <w:rFonts w:ascii="仿宋_GB2312" w:eastAsia="仿宋_GB2312"/>
          <w:b/>
          <w:sz w:val="30"/>
          <w:szCs w:val="30"/>
          <w:lang w:val="en-US"/>
        </w:rPr>
        <w:t>（一）</w:t>
      </w:r>
      <w:r>
        <w:rPr>
          <w:rFonts w:hint="default" w:ascii="仿宋_GB2312" w:eastAsia="仿宋_GB2312"/>
          <w:b/>
          <w:sz w:val="30"/>
          <w:szCs w:val="30"/>
        </w:rPr>
        <w:t>畜禽养殖现状</w:t>
      </w:r>
      <w:bookmarkEnd w:id="513"/>
      <w:bookmarkEnd w:id="514"/>
      <w:bookmarkEnd w:id="515"/>
    </w:p>
    <w:p>
      <w:pPr>
        <w:adjustRightInd w:val="0"/>
        <w:snapToGrid w:val="0"/>
        <w:spacing w:line="600" w:lineRule="exact"/>
        <w:ind w:firstLine="560"/>
        <w:rPr>
          <w:rFonts w:hint="default" w:ascii="仿宋_GB2312" w:eastAsia="仿宋_GB2312"/>
          <w:szCs w:val="28"/>
        </w:rPr>
      </w:pPr>
      <w:r>
        <w:rPr>
          <w:rFonts w:hint="default" w:ascii="仿宋_GB2312" w:eastAsia="仿宋_GB2312"/>
          <w:szCs w:val="28"/>
        </w:rPr>
        <w:t>据</w:t>
      </w:r>
      <w:r>
        <w:rPr>
          <w:rFonts w:ascii="仿宋_GB2312" w:eastAsia="仿宋_GB2312"/>
          <w:szCs w:val="28"/>
        </w:rPr>
        <w:t>建宁县</w:t>
      </w:r>
      <w:r>
        <w:rPr>
          <w:rFonts w:hint="default" w:ascii="仿宋_GB2312" w:eastAsia="仿宋_GB2312"/>
          <w:szCs w:val="28"/>
        </w:rPr>
        <w:t>统计年鉴，20</w:t>
      </w:r>
      <w:r>
        <w:rPr>
          <w:rFonts w:ascii="仿宋_GB2312" w:eastAsia="仿宋_GB2312"/>
          <w:szCs w:val="28"/>
          <w:lang w:val="en-US"/>
        </w:rPr>
        <w:t>20</w:t>
      </w:r>
      <w:r>
        <w:rPr>
          <w:rFonts w:hint="default" w:ascii="仿宋_GB2312" w:eastAsia="仿宋_GB2312"/>
          <w:szCs w:val="28"/>
        </w:rPr>
        <w:t>年牛年存栏量</w:t>
      </w:r>
      <w:r>
        <w:rPr>
          <w:rFonts w:ascii="仿宋_GB2312" w:eastAsia="仿宋_GB2312"/>
          <w:szCs w:val="28"/>
          <w:lang w:val="en-US"/>
        </w:rPr>
        <w:t>5619</w:t>
      </w:r>
      <w:r>
        <w:rPr>
          <w:rFonts w:hint="default" w:ascii="仿宋_GB2312" w:eastAsia="仿宋_GB2312"/>
          <w:szCs w:val="28"/>
        </w:rPr>
        <w:t>头，牛年出栏量</w:t>
      </w:r>
      <w:r>
        <w:rPr>
          <w:rFonts w:ascii="仿宋_GB2312" w:eastAsia="仿宋_GB2312"/>
          <w:szCs w:val="28"/>
          <w:lang w:val="en-US"/>
        </w:rPr>
        <w:t>2063</w:t>
      </w:r>
      <w:r>
        <w:rPr>
          <w:rFonts w:hint="default" w:ascii="仿宋_GB2312" w:eastAsia="仿宋_GB2312"/>
          <w:szCs w:val="28"/>
        </w:rPr>
        <w:t>头，猪年出栏量</w:t>
      </w:r>
      <w:r>
        <w:rPr>
          <w:rFonts w:ascii="仿宋_GB2312" w:eastAsia="仿宋_GB2312"/>
          <w:szCs w:val="28"/>
          <w:lang w:val="en-US"/>
        </w:rPr>
        <w:t>115464</w:t>
      </w:r>
      <w:r>
        <w:rPr>
          <w:rFonts w:hint="default" w:ascii="仿宋_GB2312" w:eastAsia="仿宋_GB2312"/>
          <w:szCs w:val="28"/>
        </w:rPr>
        <w:t>头，</w:t>
      </w:r>
      <w:r>
        <w:rPr>
          <w:rFonts w:ascii="仿宋_GB2312" w:eastAsia="仿宋_GB2312"/>
          <w:szCs w:val="28"/>
          <w:lang w:val="en-US"/>
        </w:rPr>
        <w:t>家禽</w:t>
      </w:r>
      <w:r>
        <w:rPr>
          <w:rFonts w:hint="default" w:ascii="仿宋_GB2312" w:eastAsia="仿宋_GB2312"/>
          <w:szCs w:val="28"/>
        </w:rPr>
        <w:t>年存栏量</w:t>
      </w:r>
      <w:r>
        <w:rPr>
          <w:rFonts w:ascii="仿宋_GB2312" w:eastAsia="仿宋_GB2312"/>
          <w:szCs w:val="28"/>
          <w:lang w:val="en-US"/>
        </w:rPr>
        <w:t>700397</w:t>
      </w:r>
      <w:r>
        <w:rPr>
          <w:rFonts w:hint="default" w:ascii="仿宋_GB2312" w:eastAsia="仿宋_GB2312"/>
          <w:szCs w:val="28"/>
        </w:rPr>
        <w:t>羽，羊出栏量</w:t>
      </w:r>
      <w:r>
        <w:rPr>
          <w:rFonts w:ascii="仿宋_GB2312" w:eastAsia="仿宋_GB2312"/>
          <w:szCs w:val="28"/>
          <w:lang w:val="en-US"/>
        </w:rPr>
        <w:t>10450</w:t>
      </w:r>
      <w:r>
        <w:rPr>
          <w:rFonts w:hint="default" w:ascii="仿宋_GB2312" w:eastAsia="仿宋_GB2312"/>
          <w:szCs w:val="28"/>
        </w:rPr>
        <w:t>头，兔出栏</w:t>
      </w:r>
      <w:r>
        <w:rPr>
          <w:rFonts w:ascii="仿宋_GB2312" w:eastAsia="仿宋_GB2312"/>
          <w:szCs w:val="28"/>
          <w:lang w:val="en-US"/>
        </w:rPr>
        <w:t>5866</w:t>
      </w:r>
      <w:r>
        <w:rPr>
          <w:rFonts w:hint="default" w:ascii="仿宋_GB2312" w:eastAsia="仿宋_GB2312"/>
          <w:szCs w:val="28"/>
        </w:rPr>
        <w:t>只。</w:t>
      </w:r>
      <w:r>
        <w:rPr>
          <w:rFonts w:ascii="仿宋_GB2312" w:eastAsia="仿宋_GB2312"/>
          <w:szCs w:val="28"/>
        </w:rPr>
        <w:t>建宁县</w:t>
      </w:r>
      <w:r>
        <w:rPr>
          <w:rFonts w:hint="default" w:ascii="仿宋_GB2312" w:eastAsia="仿宋_GB2312"/>
          <w:szCs w:val="28"/>
        </w:rPr>
        <w:t>共有</w:t>
      </w:r>
      <w:r>
        <w:rPr>
          <w:rFonts w:ascii="仿宋_GB2312" w:eastAsia="仿宋_GB2312"/>
          <w:szCs w:val="28"/>
          <w:lang w:val="en-US"/>
        </w:rPr>
        <w:t xml:space="preserve"> 15 </w:t>
      </w:r>
      <w:r>
        <w:rPr>
          <w:rFonts w:hint="default" w:ascii="仿宋_GB2312" w:eastAsia="仿宋_GB2312"/>
          <w:szCs w:val="28"/>
        </w:rPr>
        <w:t>家规模化养殖场。</w:t>
      </w:r>
    </w:p>
    <w:p>
      <w:pPr>
        <w:widowControl/>
        <w:spacing w:line="400" w:lineRule="exact"/>
        <w:ind w:firstLine="600"/>
        <w:jc w:val="center"/>
        <w:textAlignment w:val="center"/>
        <w:rPr>
          <w:rFonts w:hint="default" w:ascii="华文细黑" w:hAnsi="华文细黑" w:eastAsia="华文细黑"/>
          <w:sz w:val="30"/>
          <w:szCs w:val="30"/>
        </w:rPr>
      </w:pPr>
    </w:p>
    <w:p>
      <w:pPr>
        <w:widowControl/>
        <w:spacing w:line="400" w:lineRule="exact"/>
        <w:ind w:firstLine="562"/>
        <w:jc w:val="center"/>
        <w:textAlignment w:val="center"/>
        <w:rPr>
          <w:rFonts w:hint="default" w:eastAsia="仿宋"/>
          <w:b/>
          <w:bCs/>
          <w:szCs w:val="28"/>
        </w:rPr>
      </w:pPr>
      <w:r>
        <w:rPr>
          <w:rFonts w:hint="default" w:eastAsia="仿宋"/>
          <w:b/>
          <w:bCs/>
          <w:szCs w:val="28"/>
        </w:rPr>
        <w:t>表</w:t>
      </w:r>
      <w:r>
        <w:rPr>
          <w:rFonts w:hint="eastAsia" w:eastAsia="仿宋"/>
          <w:b/>
          <w:bCs/>
          <w:szCs w:val="28"/>
          <w:lang w:val="en-US" w:eastAsia="zh-CN"/>
        </w:rPr>
        <w:t>3</w:t>
      </w:r>
      <w:r>
        <w:rPr>
          <w:rFonts w:hint="default" w:eastAsia="仿宋"/>
          <w:b/>
          <w:bCs/>
          <w:szCs w:val="28"/>
        </w:rPr>
        <w:t xml:space="preserve"> </w:t>
      </w:r>
      <w:r>
        <w:rPr>
          <w:rFonts w:eastAsia="仿宋"/>
          <w:b/>
          <w:bCs/>
          <w:szCs w:val="28"/>
        </w:rPr>
        <w:t>建宁县</w:t>
      </w:r>
      <w:r>
        <w:rPr>
          <w:rFonts w:hint="default" w:eastAsia="仿宋"/>
          <w:b/>
          <w:bCs/>
          <w:szCs w:val="28"/>
        </w:rPr>
        <w:t>畜禽业20</w:t>
      </w:r>
      <w:r>
        <w:rPr>
          <w:rFonts w:eastAsia="仿宋"/>
          <w:b/>
          <w:bCs/>
          <w:szCs w:val="28"/>
          <w:lang w:val="en-US"/>
        </w:rPr>
        <w:t>20</w:t>
      </w:r>
      <w:r>
        <w:rPr>
          <w:rFonts w:hint="default" w:eastAsia="仿宋"/>
          <w:b/>
          <w:bCs/>
          <w:szCs w:val="28"/>
        </w:rPr>
        <w:t xml:space="preserve">年生产情况表 </w:t>
      </w:r>
    </w:p>
    <w:tbl>
      <w:tblPr>
        <w:tblStyle w:val="18"/>
        <w:tblpPr w:leftFromText="180" w:rightFromText="180" w:vertAnchor="text" w:horzAnchor="page" w:tblpX="1346" w:tblpY="467"/>
        <w:tblOverlap w:val="never"/>
        <w:tblW w:w="9200" w:type="dxa"/>
        <w:tblInd w:w="0" w:type="dxa"/>
        <w:tblLayout w:type="fixed"/>
        <w:tblCellMar>
          <w:top w:w="0" w:type="dxa"/>
          <w:left w:w="108" w:type="dxa"/>
          <w:bottom w:w="0" w:type="dxa"/>
          <w:right w:w="108" w:type="dxa"/>
        </w:tblCellMar>
      </w:tblPr>
      <w:tblGrid>
        <w:gridCol w:w="782"/>
        <w:gridCol w:w="709"/>
        <w:gridCol w:w="727"/>
        <w:gridCol w:w="864"/>
        <w:gridCol w:w="936"/>
        <w:gridCol w:w="873"/>
        <w:gridCol w:w="827"/>
        <w:gridCol w:w="964"/>
        <w:gridCol w:w="1064"/>
        <w:gridCol w:w="709"/>
        <w:gridCol w:w="745"/>
      </w:tblGrid>
      <w:tr>
        <w:tblPrEx>
          <w:tblCellMar>
            <w:top w:w="0" w:type="dxa"/>
            <w:left w:w="108" w:type="dxa"/>
            <w:bottom w:w="0" w:type="dxa"/>
            <w:right w:w="108" w:type="dxa"/>
          </w:tblCellMar>
        </w:tblPrEx>
        <w:trPr>
          <w:trHeight w:val="616" w:hRule="atLeast"/>
        </w:trPr>
        <w:tc>
          <w:tcPr>
            <w:tcW w:w="782" w:type="dxa"/>
            <w:vMerge w:val="restart"/>
            <w:tcBorders>
              <w:top w:val="single" w:color="auto" w:sz="8" w:space="0"/>
              <w:left w:val="single" w:color="auto" w:sz="8" w:space="0"/>
              <w:bottom w:val="single" w:color="auto" w:sz="8" w:space="0"/>
              <w:right w:val="single" w:color="auto" w:sz="8" w:space="0"/>
            </w:tcBorders>
            <w:noWrap w:val="0"/>
            <w:vAlign w:val="center"/>
          </w:tcPr>
          <w:p>
            <w:pPr>
              <w:widowControl/>
              <w:ind w:firstLine="0" w:firstLineChars="0"/>
              <w:jc w:val="both"/>
              <w:rPr>
                <w:rFonts w:hint="default"/>
                <w:b/>
                <w:bCs/>
                <w:szCs w:val="28"/>
              </w:rPr>
            </w:pPr>
            <w:r>
              <w:rPr>
                <w:rFonts w:hint="default"/>
                <w:b/>
                <w:bCs/>
                <w:szCs w:val="28"/>
              </w:rPr>
              <w:t>年度</w:t>
            </w:r>
          </w:p>
        </w:tc>
        <w:tc>
          <w:tcPr>
            <w:tcW w:w="1436" w:type="dxa"/>
            <w:gridSpan w:val="2"/>
            <w:tcBorders>
              <w:top w:val="single" w:color="auto" w:sz="8" w:space="0"/>
              <w:left w:val="nil"/>
              <w:bottom w:val="single" w:color="auto" w:sz="8" w:space="0"/>
              <w:right w:val="single" w:color="auto" w:sz="8" w:space="0"/>
            </w:tcBorders>
            <w:noWrap w:val="0"/>
            <w:vAlign w:val="center"/>
          </w:tcPr>
          <w:p>
            <w:pPr>
              <w:widowControl/>
              <w:ind w:firstLine="0" w:firstLineChars="0"/>
              <w:jc w:val="both"/>
              <w:rPr>
                <w:rFonts w:ascii="宋体" w:hAnsi="宋体" w:cs="宋体"/>
                <w:b/>
                <w:bCs/>
                <w:sz w:val="24"/>
              </w:rPr>
            </w:pPr>
            <w:r>
              <w:rPr>
                <w:rFonts w:ascii="宋体" w:hAnsi="宋体" w:cs="宋体"/>
                <w:b/>
                <w:bCs/>
                <w:sz w:val="24"/>
              </w:rPr>
              <w:t>牛（头）</w:t>
            </w:r>
          </w:p>
        </w:tc>
        <w:tc>
          <w:tcPr>
            <w:tcW w:w="1800" w:type="dxa"/>
            <w:gridSpan w:val="2"/>
            <w:tcBorders>
              <w:top w:val="single" w:color="auto" w:sz="8" w:space="0"/>
              <w:left w:val="nil"/>
              <w:bottom w:val="single" w:color="auto" w:sz="8" w:space="0"/>
              <w:right w:val="single" w:color="auto" w:sz="8" w:space="0"/>
            </w:tcBorders>
            <w:noWrap w:val="0"/>
            <w:vAlign w:val="center"/>
          </w:tcPr>
          <w:p>
            <w:pPr>
              <w:widowControl/>
              <w:ind w:firstLine="482"/>
              <w:jc w:val="center"/>
              <w:rPr>
                <w:rFonts w:ascii="宋体" w:hAnsi="宋体" w:cs="宋体"/>
                <w:b/>
                <w:bCs/>
                <w:sz w:val="24"/>
              </w:rPr>
            </w:pPr>
            <w:r>
              <w:rPr>
                <w:rFonts w:ascii="宋体" w:hAnsi="宋体" w:cs="宋体"/>
                <w:b/>
                <w:bCs/>
                <w:sz w:val="24"/>
              </w:rPr>
              <w:t>生猪（头）</w:t>
            </w:r>
          </w:p>
        </w:tc>
        <w:tc>
          <w:tcPr>
            <w:tcW w:w="1700" w:type="dxa"/>
            <w:gridSpan w:val="2"/>
            <w:tcBorders>
              <w:top w:val="single" w:color="auto" w:sz="8" w:space="0"/>
              <w:left w:val="nil"/>
              <w:bottom w:val="single" w:color="auto" w:sz="8" w:space="0"/>
              <w:right w:val="single" w:color="auto" w:sz="8" w:space="0"/>
            </w:tcBorders>
            <w:noWrap w:val="0"/>
            <w:vAlign w:val="center"/>
          </w:tcPr>
          <w:p>
            <w:pPr>
              <w:widowControl/>
              <w:ind w:firstLine="482"/>
              <w:jc w:val="center"/>
              <w:rPr>
                <w:rFonts w:ascii="宋体" w:hAnsi="宋体" w:cs="宋体"/>
                <w:b/>
                <w:bCs/>
                <w:sz w:val="24"/>
              </w:rPr>
            </w:pPr>
            <w:r>
              <w:rPr>
                <w:rFonts w:ascii="宋体" w:hAnsi="宋体" w:cs="宋体"/>
                <w:b/>
                <w:bCs/>
                <w:sz w:val="24"/>
              </w:rPr>
              <w:t>羊（头）</w:t>
            </w:r>
          </w:p>
        </w:tc>
        <w:tc>
          <w:tcPr>
            <w:tcW w:w="2028" w:type="dxa"/>
            <w:gridSpan w:val="2"/>
            <w:tcBorders>
              <w:top w:val="single" w:color="auto" w:sz="8" w:space="0"/>
              <w:left w:val="nil"/>
              <w:bottom w:val="single" w:color="auto" w:sz="8" w:space="0"/>
              <w:right w:val="single" w:color="auto" w:sz="8" w:space="0"/>
            </w:tcBorders>
            <w:noWrap w:val="0"/>
            <w:vAlign w:val="center"/>
          </w:tcPr>
          <w:p>
            <w:pPr>
              <w:widowControl/>
              <w:ind w:firstLine="482"/>
              <w:jc w:val="center"/>
              <w:rPr>
                <w:rFonts w:ascii="宋体" w:hAnsi="宋体" w:cs="宋体"/>
                <w:b/>
                <w:bCs/>
                <w:sz w:val="24"/>
              </w:rPr>
            </w:pPr>
            <w:r>
              <w:rPr>
                <w:rFonts w:ascii="宋体" w:hAnsi="宋体" w:cs="宋体"/>
                <w:b/>
                <w:bCs/>
                <w:sz w:val="24"/>
              </w:rPr>
              <w:t>家禽（羽）</w:t>
            </w:r>
          </w:p>
        </w:tc>
        <w:tc>
          <w:tcPr>
            <w:tcW w:w="1454" w:type="dxa"/>
            <w:gridSpan w:val="2"/>
            <w:tcBorders>
              <w:top w:val="single" w:color="auto" w:sz="8" w:space="0"/>
              <w:left w:val="nil"/>
              <w:bottom w:val="single" w:color="auto" w:sz="8" w:space="0"/>
              <w:right w:val="single" w:color="auto" w:sz="8" w:space="0"/>
            </w:tcBorders>
            <w:noWrap w:val="0"/>
            <w:vAlign w:val="center"/>
          </w:tcPr>
          <w:p>
            <w:pPr>
              <w:widowControl/>
              <w:ind w:firstLine="0" w:firstLineChars="0"/>
              <w:jc w:val="both"/>
              <w:rPr>
                <w:rFonts w:ascii="宋体" w:hAnsi="宋体" w:cs="宋体"/>
                <w:b/>
                <w:bCs/>
                <w:sz w:val="24"/>
              </w:rPr>
            </w:pPr>
            <w:r>
              <w:rPr>
                <w:rFonts w:ascii="宋体" w:hAnsi="宋体" w:cs="宋体"/>
                <w:b/>
                <w:bCs/>
                <w:sz w:val="24"/>
              </w:rPr>
              <w:t>兔（只）</w:t>
            </w:r>
          </w:p>
        </w:tc>
      </w:tr>
      <w:tr>
        <w:tblPrEx>
          <w:tblCellMar>
            <w:top w:w="0" w:type="dxa"/>
            <w:left w:w="108" w:type="dxa"/>
            <w:bottom w:w="0" w:type="dxa"/>
            <w:right w:w="108" w:type="dxa"/>
          </w:tblCellMar>
        </w:tblPrEx>
        <w:trPr>
          <w:trHeight w:val="648" w:hRule="atLeast"/>
        </w:trPr>
        <w:tc>
          <w:tcPr>
            <w:tcW w:w="782" w:type="dxa"/>
            <w:vMerge w:val="continue"/>
            <w:tcBorders>
              <w:top w:val="single" w:color="auto" w:sz="8" w:space="0"/>
              <w:left w:val="single" w:color="auto" w:sz="8" w:space="0"/>
              <w:bottom w:val="single" w:color="auto" w:sz="8" w:space="0"/>
              <w:right w:val="single" w:color="auto" w:sz="8" w:space="0"/>
            </w:tcBorders>
            <w:noWrap w:val="0"/>
            <w:vAlign w:val="center"/>
          </w:tcPr>
          <w:p>
            <w:pPr>
              <w:widowControl/>
              <w:ind w:firstLine="562"/>
              <w:rPr>
                <w:rFonts w:hint="default"/>
                <w:b/>
                <w:bCs/>
                <w:szCs w:val="28"/>
              </w:rPr>
            </w:pPr>
          </w:p>
        </w:tc>
        <w:tc>
          <w:tcPr>
            <w:tcW w:w="709" w:type="dxa"/>
            <w:tcBorders>
              <w:top w:val="nil"/>
              <w:left w:val="single" w:color="auto" w:sz="8" w:space="0"/>
              <w:bottom w:val="single" w:color="auto" w:sz="8" w:space="0"/>
              <w:right w:val="single" w:color="000000"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存栏</w:t>
            </w:r>
          </w:p>
        </w:tc>
        <w:tc>
          <w:tcPr>
            <w:tcW w:w="727"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出栏</w:t>
            </w:r>
          </w:p>
        </w:tc>
        <w:tc>
          <w:tcPr>
            <w:tcW w:w="864"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存栏</w:t>
            </w:r>
          </w:p>
        </w:tc>
        <w:tc>
          <w:tcPr>
            <w:tcW w:w="936"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出栏</w:t>
            </w:r>
          </w:p>
        </w:tc>
        <w:tc>
          <w:tcPr>
            <w:tcW w:w="873"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存栏</w:t>
            </w:r>
          </w:p>
        </w:tc>
        <w:tc>
          <w:tcPr>
            <w:tcW w:w="827"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出栏</w:t>
            </w:r>
          </w:p>
        </w:tc>
        <w:tc>
          <w:tcPr>
            <w:tcW w:w="964"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存栏</w:t>
            </w:r>
          </w:p>
        </w:tc>
        <w:tc>
          <w:tcPr>
            <w:tcW w:w="1064"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出栏</w:t>
            </w:r>
          </w:p>
        </w:tc>
        <w:tc>
          <w:tcPr>
            <w:tcW w:w="709"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存栏</w:t>
            </w:r>
          </w:p>
        </w:tc>
        <w:tc>
          <w:tcPr>
            <w:tcW w:w="745"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t>出栏</w:t>
            </w:r>
          </w:p>
        </w:tc>
      </w:tr>
      <w:tr>
        <w:tblPrEx>
          <w:tblCellMar>
            <w:top w:w="0" w:type="dxa"/>
            <w:left w:w="108" w:type="dxa"/>
            <w:bottom w:w="0" w:type="dxa"/>
            <w:right w:w="108" w:type="dxa"/>
          </w:tblCellMar>
        </w:tblPrEx>
        <w:trPr>
          <w:trHeight w:val="470" w:hRule="atLeast"/>
        </w:trPr>
        <w:tc>
          <w:tcPr>
            <w:tcW w:w="782" w:type="dxa"/>
            <w:tcBorders>
              <w:top w:val="nil"/>
              <w:left w:val="single" w:color="auto" w:sz="8" w:space="0"/>
              <w:bottom w:val="single" w:color="auto" w:sz="8" w:space="0"/>
              <w:right w:val="single" w:color="auto" w:sz="8" w:space="0"/>
            </w:tcBorders>
            <w:noWrap w:val="0"/>
            <w:vAlign w:val="center"/>
          </w:tcPr>
          <w:p>
            <w:pPr>
              <w:widowControl/>
              <w:ind w:firstLine="0" w:firstLineChars="0"/>
              <w:jc w:val="both"/>
              <w:rPr>
                <w:rFonts w:hint="default"/>
                <w:szCs w:val="28"/>
                <w:lang w:val="en-US"/>
              </w:rPr>
            </w:pPr>
            <w:r>
              <w:rPr>
                <w:rFonts w:hint="default"/>
                <w:szCs w:val="28"/>
              </w:rPr>
              <w:t>20</w:t>
            </w:r>
            <w:r>
              <w:rPr>
                <w:szCs w:val="28"/>
                <w:lang w:val="en-US"/>
              </w:rPr>
              <w:t>20</w:t>
            </w:r>
          </w:p>
        </w:tc>
        <w:tc>
          <w:tcPr>
            <w:tcW w:w="709"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5619</w:t>
            </w:r>
          </w:p>
        </w:tc>
        <w:tc>
          <w:tcPr>
            <w:tcW w:w="727" w:type="dxa"/>
            <w:tcBorders>
              <w:top w:val="nil"/>
              <w:left w:val="nil"/>
              <w:bottom w:val="single" w:color="auto" w:sz="8" w:space="0"/>
              <w:right w:val="single" w:color="auto" w:sz="8" w:space="0"/>
            </w:tcBorders>
            <w:noWrap w:val="0"/>
            <w:vAlign w:val="center"/>
          </w:tcPr>
          <w:p>
            <w:pPr>
              <w:widowControl/>
              <w:ind w:firstLine="0" w:firstLineChars="0"/>
              <w:jc w:val="both"/>
              <w:rPr>
                <w:rFonts w:ascii="仿宋_GB2312" w:hAnsi="仿宋_GB2312" w:eastAsia="仿宋_GB2312" w:cs="仿宋_GB2312"/>
                <w:sz w:val="24"/>
                <w:lang w:val="en-US"/>
              </w:rPr>
            </w:pPr>
            <w:r>
              <w:rPr>
                <w:rFonts w:ascii="仿宋_GB2312" w:hAnsi="仿宋_GB2312" w:eastAsia="仿宋_GB2312" w:cs="仿宋_GB2312"/>
                <w:sz w:val="24"/>
                <w:lang w:val="en-US"/>
              </w:rPr>
              <w:t>2063</w:t>
            </w:r>
          </w:p>
        </w:tc>
        <w:tc>
          <w:tcPr>
            <w:tcW w:w="864"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70792</w:t>
            </w:r>
          </w:p>
        </w:tc>
        <w:tc>
          <w:tcPr>
            <w:tcW w:w="936"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115464</w:t>
            </w:r>
          </w:p>
        </w:tc>
        <w:tc>
          <w:tcPr>
            <w:tcW w:w="873"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12113</w:t>
            </w:r>
          </w:p>
        </w:tc>
        <w:tc>
          <w:tcPr>
            <w:tcW w:w="827"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10450</w:t>
            </w:r>
          </w:p>
        </w:tc>
        <w:tc>
          <w:tcPr>
            <w:tcW w:w="964"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700397</w:t>
            </w:r>
          </w:p>
        </w:tc>
        <w:tc>
          <w:tcPr>
            <w:tcW w:w="1064"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1500235</w:t>
            </w:r>
          </w:p>
        </w:tc>
        <w:tc>
          <w:tcPr>
            <w:tcW w:w="709"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2645</w:t>
            </w:r>
          </w:p>
        </w:tc>
        <w:tc>
          <w:tcPr>
            <w:tcW w:w="745" w:type="dxa"/>
            <w:tcBorders>
              <w:top w:val="nil"/>
              <w:left w:val="nil"/>
              <w:bottom w:val="single" w:color="auto" w:sz="8" w:space="0"/>
              <w:right w:val="single" w:color="auto" w:sz="8" w:space="0"/>
            </w:tcBorders>
            <w:noWrap w:val="0"/>
            <w:vAlign w:val="center"/>
          </w:tcPr>
          <w:p>
            <w:pPr>
              <w:widowControl/>
              <w:ind w:firstLine="0" w:firstLineChars="0"/>
              <w:jc w:val="both"/>
              <w:rPr>
                <w:rFonts w:hint="default" w:ascii="仿宋_GB2312" w:hAnsi="仿宋_GB2312" w:eastAsia="仿宋_GB2312" w:cs="仿宋_GB2312"/>
                <w:sz w:val="24"/>
                <w:lang w:val="en-US"/>
              </w:rPr>
            </w:pPr>
            <w:r>
              <w:rPr>
                <w:rFonts w:ascii="仿宋_GB2312" w:hAnsi="仿宋_GB2312" w:eastAsia="仿宋_GB2312" w:cs="仿宋_GB2312"/>
                <w:sz w:val="24"/>
                <w:lang w:val="en-US"/>
              </w:rPr>
              <w:t>5866</w:t>
            </w:r>
          </w:p>
        </w:tc>
      </w:tr>
    </w:tbl>
    <w:p>
      <w:pPr>
        <w:pStyle w:val="17"/>
        <w:ind w:left="560" w:firstLine="560"/>
        <w:rPr>
          <w:rFonts w:hint="default" w:eastAsia="仿宋"/>
        </w:rPr>
      </w:pPr>
    </w:p>
    <w:p>
      <w:pPr>
        <w:pStyle w:val="17"/>
        <w:ind w:left="560" w:firstLine="560"/>
        <w:rPr>
          <w:rFonts w:hint="default" w:eastAsia="仿宋"/>
        </w:rPr>
      </w:pPr>
    </w:p>
    <w:p>
      <w:pPr>
        <w:widowControl/>
        <w:spacing w:line="400" w:lineRule="exact"/>
        <w:ind w:firstLine="562"/>
        <w:jc w:val="center"/>
        <w:textAlignment w:val="center"/>
        <w:rPr>
          <w:rFonts w:hint="default" w:ascii="华文细黑" w:hAnsi="华文细黑" w:eastAsia="华文细黑"/>
          <w:sz w:val="30"/>
          <w:szCs w:val="30"/>
        </w:rPr>
      </w:pPr>
      <w:r>
        <w:rPr>
          <w:rFonts w:hint="default" w:eastAsia="仿宋"/>
          <w:b/>
          <w:bCs/>
          <w:szCs w:val="28"/>
        </w:rPr>
        <w:t>表</w:t>
      </w:r>
      <w:r>
        <w:rPr>
          <w:rFonts w:hint="eastAsia" w:eastAsia="仿宋"/>
          <w:b/>
          <w:bCs/>
          <w:szCs w:val="28"/>
          <w:lang w:val="en-US" w:eastAsia="zh-CN"/>
        </w:rPr>
        <w:t>4</w:t>
      </w:r>
      <w:r>
        <w:rPr>
          <w:rFonts w:hint="default" w:eastAsia="仿宋"/>
          <w:b/>
          <w:bCs/>
          <w:szCs w:val="28"/>
        </w:rPr>
        <w:t xml:space="preserve"> </w:t>
      </w:r>
      <w:r>
        <w:rPr>
          <w:rFonts w:eastAsia="仿宋"/>
          <w:b/>
          <w:bCs/>
          <w:szCs w:val="28"/>
        </w:rPr>
        <w:t>建宁县</w:t>
      </w:r>
      <w:r>
        <w:rPr>
          <w:rFonts w:hint="default" w:eastAsia="仿宋"/>
          <w:b/>
          <w:bCs/>
          <w:szCs w:val="28"/>
        </w:rPr>
        <w:t>规模化养殖场数量统计表</w:t>
      </w:r>
    </w:p>
    <w:tbl>
      <w:tblPr>
        <w:tblStyle w:val="18"/>
        <w:tblW w:w="78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1069"/>
        <w:gridCol w:w="2530"/>
        <w:gridCol w:w="802"/>
        <w:gridCol w:w="754"/>
        <w:gridCol w:w="819"/>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blHeader/>
          <w:jc w:val="center"/>
        </w:trPr>
        <w:tc>
          <w:tcPr>
            <w:tcW w:w="1069" w:type="dxa"/>
            <w:noWrap w:val="0"/>
            <w:vAlign w:val="center"/>
          </w:tcPr>
          <w:p>
            <w:pPr>
              <w:autoSpaceDE w:val="0"/>
              <w:snapToGrid w:val="0"/>
              <w:spacing w:line="380" w:lineRule="exact"/>
              <w:ind w:firstLine="0" w:firstLineChars="0"/>
              <w:jc w:val="both"/>
              <w:rPr>
                <w:rFonts w:ascii="宋体" w:hAnsi="宋体" w:cs="宋体"/>
                <w:b/>
                <w:bCs/>
                <w:sz w:val="24"/>
              </w:rPr>
            </w:pPr>
            <w:r>
              <w:rPr>
                <w:rFonts w:ascii="宋体" w:hAnsi="宋体" w:cs="宋体"/>
                <w:b/>
                <w:bCs/>
                <w:sz w:val="24"/>
              </w:rPr>
              <w:t>序号</w:t>
            </w:r>
          </w:p>
        </w:tc>
        <w:tc>
          <w:tcPr>
            <w:tcW w:w="1069" w:type="dxa"/>
            <w:noWrap w:val="0"/>
            <w:vAlign w:val="center"/>
          </w:tcPr>
          <w:p>
            <w:pPr>
              <w:autoSpaceDE w:val="0"/>
              <w:snapToGrid w:val="0"/>
              <w:spacing w:line="380" w:lineRule="exact"/>
              <w:ind w:firstLine="0" w:firstLineChars="0"/>
              <w:jc w:val="both"/>
              <w:rPr>
                <w:rFonts w:ascii="宋体" w:hAnsi="宋体" w:cs="宋体"/>
                <w:b/>
                <w:bCs/>
                <w:sz w:val="24"/>
              </w:rPr>
            </w:pPr>
            <w:r>
              <w:rPr>
                <w:rFonts w:ascii="宋体" w:hAnsi="宋体" w:cs="宋体"/>
                <w:b/>
                <w:bCs/>
                <w:sz w:val="24"/>
              </w:rPr>
              <w:t>乡镇</w:t>
            </w:r>
          </w:p>
        </w:tc>
        <w:tc>
          <w:tcPr>
            <w:tcW w:w="2530" w:type="dxa"/>
            <w:noWrap w:val="0"/>
            <w:vAlign w:val="top"/>
          </w:tcPr>
          <w:p>
            <w:pPr>
              <w:autoSpaceDE w:val="0"/>
              <w:snapToGrid w:val="0"/>
              <w:spacing w:line="380" w:lineRule="exact"/>
              <w:ind w:firstLine="0" w:firstLineChars="0"/>
              <w:jc w:val="both"/>
              <w:rPr>
                <w:rFonts w:ascii="宋体" w:hAnsi="宋体" w:cs="宋体"/>
                <w:b/>
                <w:bCs/>
                <w:sz w:val="24"/>
              </w:rPr>
            </w:pPr>
            <w:r>
              <w:rPr>
                <w:rFonts w:ascii="宋体" w:hAnsi="宋体" w:cs="宋体"/>
                <w:b/>
                <w:bCs/>
                <w:sz w:val="24"/>
              </w:rPr>
              <w:t>规模化养殖场数量（家）</w:t>
            </w:r>
          </w:p>
        </w:tc>
        <w:tc>
          <w:tcPr>
            <w:tcW w:w="802" w:type="dxa"/>
            <w:noWrap w:val="0"/>
            <w:vAlign w:val="center"/>
          </w:tcPr>
          <w:p>
            <w:pPr>
              <w:autoSpaceDE w:val="0"/>
              <w:snapToGrid w:val="0"/>
              <w:spacing w:line="380" w:lineRule="exact"/>
              <w:ind w:firstLine="240" w:firstLineChars="100"/>
              <w:jc w:val="both"/>
              <w:rPr>
                <w:rFonts w:ascii="宋体" w:hAnsi="宋体" w:cs="宋体"/>
                <w:b/>
                <w:bCs/>
                <w:sz w:val="24"/>
              </w:rPr>
            </w:pPr>
            <w:r>
              <w:rPr>
                <w:rFonts w:ascii="宋体" w:hAnsi="宋体" w:cs="宋体"/>
                <w:b/>
                <w:bCs/>
                <w:sz w:val="24"/>
              </w:rPr>
              <w:t>猪</w:t>
            </w:r>
          </w:p>
        </w:tc>
        <w:tc>
          <w:tcPr>
            <w:tcW w:w="754" w:type="dxa"/>
            <w:noWrap w:val="0"/>
            <w:vAlign w:val="center"/>
          </w:tcPr>
          <w:p>
            <w:pPr>
              <w:autoSpaceDE w:val="0"/>
              <w:snapToGrid w:val="0"/>
              <w:spacing w:line="380" w:lineRule="exact"/>
              <w:ind w:firstLine="240" w:firstLineChars="100"/>
              <w:jc w:val="both"/>
              <w:rPr>
                <w:rFonts w:ascii="宋体" w:hAnsi="宋体" w:cs="宋体"/>
                <w:b/>
                <w:bCs/>
                <w:sz w:val="24"/>
                <w:lang w:val="en-US"/>
              </w:rPr>
            </w:pPr>
            <w:r>
              <w:rPr>
                <w:rFonts w:ascii="宋体" w:hAnsi="宋体" w:cs="宋体"/>
                <w:b/>
                <w:bCs/>
                <w:sz w:val="24"/>
                <w:lang w:val="en-US"/>
              </w:rPr>
              <w:t>牛</w:t>
            </w:r>
          </w:p>
        </w:tc>
        <w:tc>
          <w:tcPr>
            <w:tcW w:w="819" w:type="dxa"/>
            <w:noWrap w:val="0"/>
            <w:vAlign w:val="center"/>
          </w:tcPr>
          <w:p>
            <w:pPr>
              <w:autoSpaceDE w:val="0"/>
              <w:snapToGrid w:val="0"/>
              <w:spacing w:line="380" w:lineRule="exact"/>
              <w:ind w:firstLine="0" w:firstLineChars="0"/>
              <w:jc w:val="both"/>
              <w:rPr>
                <w:rFonts w:ascii="宋体" w:hAnsi="宋体" w:cs="宋体"/>
                <w:b/>
                <w:bCs/>
                <w:sz w:val="24"/>
              </w:rPr>
            </w:pPr>
            <w:r>
              <w:rPr>
                <w:rFonts w:ascii="宋体" w:hAnsi="宋体" w:cs="宋体"/>
                <w:b/>
                <w:bCs/>
                <w:sz w:val="24"/>
                <w:lang w:val="en-US"/>
              </w:rPr>
              <w:t>家禽</w:t>
            </w:r>
          </w:p>
        </w:tc>
        <w:tc>
          <w:tcPr>
            <w:tcW w:w="845" w:type="dxa"/>
            <w:noWrap w:val="0"/>
            <w:vAlign w:val="center"/>
          </w:tcPr>
          <w:p>
            <w:pPr>
              <w:autoSpaceDE w:val="0"/>
              <w:snapToGrid w:val="0"/>
              <w:spacing w:line="380" w:lineRule="exact"/>
              <w:ind w:firstLine="240" w:firstLineChars="100"/>
              <w:jc w:val="both"/>
              <w:rPr>
                <w:rFonts w:ascii="宋体" w:hAnsi="宋体" w:cs="宋体"/>
                <w:b/>
                <w:bCs/>
                <w:color w:val="C00000"/>
                <w:sz w:val="24"/>
              </w:rPr>
            </w:pPr>
            <w:r>
              <w:rPr>
                <w:rFonts w:ascii="宋体" w:hAnsi="宋体" w:cs="宋体"/>
                <w:b/>
                <w:bCs/>
                <w:sz w:val="24"/>
              </w:rPr>
              <w:t>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1</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ascii="仿宋_GB2312" w:hAnsi="仿宋_GB2312" w:eastAsia="仿宋_GB2312" w:cs="仿宋_GB2312"/>
                <w:sz w:val="24"/>
              </w:rPr>
              <w:fldChar w:fldCharType="begin"/>
            </w:r>
            <w:r>
              <w:rPr>
                <w:rFonts w:ascii="仿宋_GB2312" w:hAnsi="仿宋_GB2312" w:eastAsia="仿宋_GB2312" w:cs="仿宋_GB2312"/>
                <w:sz w:val="24"/>
              </w:rPr>
              <w:instrText xml:space="preserve"> HYPERLINK "https://baike.baidu.com/item/%E6%BF%89%E6%BA%AA%E9%95%87/22657838?fromModule=lemma_inlink" \t "https://baike.baidu.com/item/%E5%BB%BA%E5%AE%81%E5%8E%BF/_blank" </w:instrText>
            </w:r>
            <w:r>
              <w:rPr>
                <w:rFonts w:ascii="仿宋_GB2312" w:hAnsi="仿宋_GB2312" w:eastAsia="仿宋_GB2312" w:cs="仿宋_GB2312"/>
                <w:sz w:val="24"/>
              </w:rPr>
              <w:fldChar w:fldCharType="separate"/>
            </w:r>
            <w:r>
              <w:rPr>
                <w:rFonts w:hint="default" w:ascii="仿宋_GB2312" w:hAnsi="仿宋_GB2312" w:eastAsia="仿宋_GB2312" w:cs="仿宋_GB2312"/>
                <w:sz w:val="24"/>
              </w:rPr>
              <w:t>濉溪</w:t>
            </w:r>
            <w:r>
              <w:rPr>
                <w:rFonts w:hint="default" w:ascii="仿宋_GB2312" w:hAnsi="仿宋_GB2312" w:eastAsia="仿宋_GB2312" w:cs="仿宋_GB2312"/>
                <w:sz w:val="24"/>
              </w:rPr>
              <w:fldChar w:fldCharType="end"/>
            </w:r>
            <w:r>
              <w:rPr>
                <w:rFonts w:ascii="仿宋_GB2312" w:hAnsi="仿宋_GB2312" w:eastAsia="仿宋_GB2312" w:cs="仿宋_GB2312"/>
                <w:sz w:val="24"/>
              </w:rPr>
              <w:t>镇</w:t>
            </w:r>
          </w:p>
        </w:tc>
        <w:tc>
          <w:tcPr>
            <w:tcW w:w="2530" w:type="dxa"/>
            <w:noWrap w:val="0"/>
            <w:vAlign w:val="center"/>
          </w:tcPr>
          <w:p>
            <w:pPr>
              <w:widowControl/>
              <w:ind w:firstLine="480"/>
              <w:jc w:val="center"/>
              <w:rPr>
                <w:rFonts w:ascii="仿宋_GB2312" w:hAnsi="仿宋_GB2312" w:eastAsia="仿宋_GB2312" w:cs="仿宋_GB2312"/>
                <w:sz w:val="24"/>
                <w:lang w:val="en-US"/>
              </w:rPr>
            </w:pPr>
            <w:r>
              <w:rPr>
                <w:rFonts w:ascii="仿宋_GB2312" w:hAnsi="仿宋_GB2312" w:eastAsia="仿宋_GB2312" w:cs="仿宋_GB2312"/>
                <w:sz w:val="24"/>
                <w:lang w:val="en-US"/>
              </w:rPr>
              <w:t>1</w:t>
            </w:r>
          </w:p>
        </w:tc>
        <w:tc>
          <w:tcPr>
            <w:tcW w:w="802" w:type="dxa"/>
            <w:noWrap w:val="0"/>
            <w:vAlign w:val="center"/>
          </w:tcPr>
          <w:p>
            <w:pPr>
              <w:widowControl/>
              <w:ind w:firstLine="0" w:firstLineChars="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1</w:t>
            </w: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480"/>
              <w:jc w:val="center"/>
              <w:rPr>
                <w:rFonts w:ascii="仿宋_GB2312" w:hAnsi="仿宋_GB2312" w:eastAsia="仿宋_GB2312" w:cs="仿宋_GB2312"/>
                <w:sz w:val="24"/>
              </w:rPr>
            </w:pPr>
          </w:p>
        </w:tc>
        <w:tc>
          <w:tcPr>
            <w:tcW w:w="845" w:type="dxa"/>
            <w:noWrap w:val="0"/>
            <w:vAlign w:val="center"/>
          </w:tcPr>
          <w:p>
            <w:pPr>
              <w:widowControl/>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2</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"https://baike.baidu.com/item/%E9%87%8C%E5%BF%83%E9%95%87?fromModule=lemma_inlink"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里心</w:t>
            </w:r>
            <w:r>
              <w:rPr>
                <w:rFonts w:hint="default" w:ascii="仿宋_GB2312" w:hAnsi="仿宋_GB2312" w:eastAsia="仿宋_GB2312" w:cs="仿宋_GB2312"/>
                <w:sz w:val="24"/>
              </w:rPr>
              <w:fldChar w:fldCharType="end"/>
            </w:r>
            <w:r>
              <w:rPr>
                <w:rFonts w:ascii="仿宋_GB2312" w:hAnsi="仿宋_GB2312" w:eastAsia="仿宋_GB2312" w:cs="仿宋_GB2312"/>
                <w:sz w:val="24"/>
              </w:rPr>
              <w:t>镇</w:t>
            </w:r>
          </w:p>
        </w:tc>
        <w:tc>
          <w:tcPr>
            <w:tcW w:w="2530" w:type="dxa"/>
            <w:noWrap w:val="0"/>
            <w:vAlign w:val="center"/>
          </w:tcPr>
          <w:p>
            <w:pPr>
              <w:widowControl/>
              <w:ind w:firstLine="48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2</w:t>
            </w:r>
          </w:p>
        </w:tc>
        <w:tc>
          <w:tcPr>
            <w:tcW w:w="802" w:type="dxa"/>
            <w:noWrap w:val="0"/>
            <w:vAlign w:val="center"/>
          </w:tcPr>
          <w:p>
            <w:pPr>
              <w:widowControl/>
              <w:ind w:firstLine="0" w:firstLineChars="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1</w:t>
            </w:r>
          </w:p>
        </w:tc>
        <w:tc>
          <w:tcPr>
            <w:tcW w:w="754" w:type="dxa"/>
            <w:noWrap w:val="0"/>
            <w:vAlign w:val="center"/>
          </w:tcPr>
          <w:p>
            <w:pPr>
              <w:widowControl/>
              <w:ind w:firstLine="0" w:firstLineChars="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1</w:t>
            </w:r>
          </w:p>
        </w:tc>
        <w:tc>
          <w:tcPr>
            <w:tcW w:w="819" w:type="dxa"/>
            <w:noWrap w:val="0"/>
            <w:vAlign w:val="center"/>
          </w:tcPr>
          <w:p>
            <w:pPr>
              <w:widowControl/>
              <w:ind w:firstLine="480"/>
              <w:jc w:val="center"/>
              <w:rPr>
                <w:rFonts w:ascii="仿宋_GB2312" w:hAnsi="仿宋_GB2312" w:eastAsia="仿宋_GB2312" w:cs="仿宋_GB2312"/>
                <w:sz w:val="24"/>
                <w:lang w:val="en-US"/>
              </w:rPr>
            </w:pPr>
          </w:p>
        </w:tc>
        <w:tc>
          <w:tcPr>
            <w:tcW w:w="845" w:type="dxa"/>
            <w:noWrap w:val="0"/>
            <w:vAlign w:val="center"/>
          </w:tcPr>
          <w:p>
            <w:pPr>
              <w:widowControl/>
              <w:ind w:firstLine="480"/>
              <w:jc w:val="center"/>
              <w:rPr>
                <w:rFonts w:ascii="仿宋_GB2312" w:hAnsi="仿宋_GB2312" w:eastAsia="仿宋_GB2312" w:cs="仿宋_GB2312"/>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3</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"https://baike.baidu.com/item/%E6%BA%AA%E5%8F%A3%E9%95%87/5394356?fromModule=lemma_inlink"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溪口镇</w:t>
            </w:r>
            <w:r>
              <w:rPr>
                <w:rFonts w:hint="default" w:ascii="仿宋_GB2312" w:hAnsi="仿宋_GB2312" w:eastAsia="仿宋_GB2312" w:cs="仿宋_GB2312"/>
                <w:sz w:val="24"/>
              </w:rPr>
              <w:fldChar w:fldCharType="end"/>
            </w:r>
          </w:p>
        </w:tc>
        <w:tc>
          <w:tcPr>
            <w:tcW w:w="2530" w:type="dxa"/>
            <w:noWrap w:val="0"/>
            <w:vAlign w:val="center"/>
          </w:tcPr>
          <w:p>
            <w:pPr>
              <w:widowControl/>
              <w:ind w:firstLine="480"/>
              <w:jc w:val="center"/>
              <w:rPr>
                <w:rFonts w:hint="eastAsia" w:ascii="仿宋_GB2312" w:hAnsi="仿宋_GB2312" w:eastAsia="仿宋_GB2312" w:cs="仿宋_GB2312"/>
                <w:color w:val="FF0000"/>
                <w:sz w:val="24"/>
                <w:lang w:val="en-US" w:eastAsia="zh-CN"/>
              </w:rPr>
            </w:pPr>
            <w:r>
              <w:rPr>
                <w:rFonts w:hint="eastAsia" w:ascii="仿宋_GB2312" w:hAnsi="仿宋_GB2312" w:eastAsia="仿宋_GB2312" w:cs="仿宋_GB2312"/>
                <w:sz w:val="24"/>
                <w:lang w:val="en-US" w:eastAsia="zh-CN"/>
              </w:rPr>
              <w:t>8</w:t>
            </w:r>
          </w:p>
        </w:tc>
        <w:tc>
          <w:tcPr>
            <w:tcW w:w="802" w:type="dxa"/>
            <w:noWrap w:val="0"/>
            <w:vAlign w:val="center"/>
          </w:tcPr>
          <w:p>
            <w:pPr>
              <w:widowControl/>
              <w:ind w:firstLine="0" w:firstLineChars="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6</w:t>
            </w: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0" w:firstLineChars="0"/>
              <w:jc w:val="center"/>
              <w:rPr>
                <w:rFonts w:ascii="仿宋_GB2312" w:hAnsi="仿宋_GB2312" w:eastAsia="仿宋_GB2312" w:cs="仿宋_GB2312"/>
                <w:sz w:val="24"/>
                <w:lang w:val="en-US"/>
              </w:rPr>
            </w:pPr>
            <w:r>
              <w:rPr>
                <w:rFonts w:ascii="仿宋_GB2312" w:hAnsi="仿宋_GB2312" w:eastAsia="仿宋_GB2312" w:cs="仿宋_GB2312"/>
                <w:sz w:val="24"/>
                <w:lang w:val="en-US"/>
              </w:rPr>
              <w:t>2</w:t>
            </w:r>
          </w:p>
        </w:tc>
        <w:tc>
          <w:tcPr>
            <w:tcW w:w="845" w:type="dxa"/>
            <w:noWrap w:val="0"/>
            <w:vAlign w:val="center"/>
          </w:tcPr>
          <w:p>
            <w:pPr>
              <w:widowControl/>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4</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"https://baike.baidu.com/item/%E5%9D%87%E5%8F%A3%E9%95%87?fromModule=lemma_inlink"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均口</w:t>
            </w:r>
            <w:r>
              <w:rPr>
                <w:rFonts w:hint="default" w:ascii="仿宋_GB2312" w:hAnsi="仿宋_GB2312" w:eastAsia="仿宋_GB2312" w:cs="仿宋_GB2312"/>
                <w:sz w:val="24"/>
              </w:rPr>
              <w:fldChar w:fldCharType="end"/>
            </w:r>
            <w:r>
              <w:rPr>
                <w:rFonts w:ascii="仿宋_GB2312" w:hAnsi="仿宋_GB2312" w:eastAsia="仿宋_GB2312" w:cs="仿宋_GB2312"/>
                <w:sz w:val="24"/>
              </w:rPr>
              <w:t>镇</w:t>
            </w:r>
          </w:p>
        </w:tc>
        <w:tc>
          <w:tcPr>
            <w:tcW w:w="2530" w:type="dxa"/>
            <w:noWrap w:val="0"/>
            <w:vAlign w:val="center"/>
          </w:tcPr>
          <w:p>
            <w:pPr>
              <w:widowControl/>
              <w:ind w:firstLine="48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802" w:type="dxa"/>
            <w:noWrap w:val="0"/>
            <w:vAlign w:val="center"/>
          </w:tcPr>
          <w:p>
            <w:pPr>
              <w:widowControl/>
              <w:ind w:left="0" w:leftChars="0" w:firstLine="240" w:firstLineChars="100"/>
              <w:jc w:val="both"/>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1</w:t>
            </w: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480"/>
              <w:jc w:val="center"/>
              <w:rPr>
                <w:rFonts w:ascii="仿宋_GB2312" w:hAnsi="仿宋_GB2312" w:eastAsia="仿宋_GB2312" w:cs="仿宋_GB2312"/>
                <w:sz w:val="24"/>
              </w:rPr>
            </w:pPr>
          </w:p>
        </w:tc>
        <w:tc>
          <w:tcPr>
            <w:tcW w:w="845" w:type="dxa"/>
            <w:noWrap w:val="0"/>
            <w:vAlign w:val="center"/>
          </w:tcPr>
          <w:p>
            <w:pPr>
              <w:widowControl/>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5</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"https://baike.baidu.com/item/%E4%BC%8A%E5%AE%B6%E4%B9%A1?fromModule=lemma_inlink"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伊家乡</w:t>
            </w:r>
            <w:r>
              <w:rPr>
                <w:rFonts w:hint="default" w:ascii="仿宋_GB2312" w:hAnsi="仿宋_GB2312" w:eastAsia="仿宋_GB2312" w:cs="仿宋_GB2312"/>
                <w:sz w:val="24"/>
              </w:rPr>
              <w:fldChar w:fldCharType="end"/>
            </w:r>
          </w:p>
        </w:tc>
        <w:tc>
          <w:tcPr>
            <w:tcW w:w="2530" w:type="dxa"/>
            <w:noWrap w:val="0"/>
            <w:vAlign w:val="center"/>
          </w:tcPr>
          <w:p>
            <w:pPr>
              <w:widowControl/>
              <w:ind w:firstLine="48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0</w:t>
            </w:r>
          </w:p>
        </w:tc>
        <w:tc>
          <w:tcPr>
            <w:tcW w:w="802" w:type="dxa"/>
            <w:noWrap w:val="0"/>
            <w:vAlign w:val="center"/>
          </w:tcPr>
          <w:p>
            <w:pPr>
              <w:widowControl/>
              <w:ind w:firstLine="480"/>
              <w:jc w:val="center"/>
              <w:rPr>
                <w:rFonts w:ascii="仿宋_GB2312" w:hAnsi="仿宋_GB2312" w:eastAsia="仿宋_GB2312" w:cs="仿宋_GB2312"/>
                <w:sz w:val="24"/>
                <w:lang w:val="en-US"/>
              </w:rPr>
            </w:pP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480"/>
              <w:jc w:val="center"/>
              <w:rPr>
                <w:rFonts w:ascii="仿宋_GB2312" w:hAnsi="仿宋_GB2312" w:eastAsia="仿宋_GB2312" w:cs="仿宋_GB2312"/>
                <w:sz w:val="24"/>
              </w:rPr>
            </w:pPr>
          </w:p>
        </w:tc>
        <w:tc>
          <w:tcPr>
            <w:tcW w:w="845" w:type="dxa"/>
            <w:noWrap w:val="0"/>
            <w:vAlign w:val="center"/>
          </w:tcPr>
          <w:p>
            <w:pPr>
              <w:widowControl/>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6</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"https://baike.baidu.com/item/%E9%BB%84%E5%9D%8A%E4%B9%A1?fromModule=lemma_inlink"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黄坊乡</w:t>
            </w:r>
            <w:r>
              <w:rPr>
                <w:rFonts w:hint="default" w:ascii="仿宋_GB2312" w:hAnsi="仿宋_GB2312" w:eastAsia="仿宋_GB2312" w:cs="仿宋_GB2312"/>
                <w:sz w:val="24"/>
              </w:rPr>
              <w:fldChar w:fldCharType="end"/>
            </w:r>
          </w:p>
        </w:tc>
        <w:tc>
          <w:tcPr>
            <w:tcW w:w="2530" w:type="dxa"/>
            <w:noWrap w:val="0"/>
            <w:vAlign w:val="center"/>
          </w:tcPr>
          <w:p>
            <w:pPr>
              <w:widowControl/>
              <w:ind w:firstLine="48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2</w:t>
            </w:r>
          </w:p>
        </w:tc>
        <w:tc>
          <w:tcPr>
            <w:tcW w:w="802" w:type="dxa"/>
            <w:noWrap w:val="0"/>
            <w:vAlign w:val="center"/>
          </w:tcPr>
          <w:p>
            <w:pPr>
              <w:widowControl/>
              <w:ind w:firstLine="0" w:firstLineChars="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1</w:t>
            </w: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480"/>
              <w:jc w:val="center"/>
              <w:rPr>
                <w:rFonts w:ascii="仿宋_GB2312" w:hAnsi="仿宋_GB2312" w:eastAsia="仿宋_GB2312" w:cs="仿宋_GB2312"/>
                <w:sz w:val="24"/>
                <w:lang w:val="en-US"/>
              </w:rPr>
            </w:pPr>
          </w:p>
        </w:tc>
        <w:tc>
          <w:tcPr>
            <w:tcW w:w="845" w:type="dxa"/>
            <w:noWrap w:val="0"/>
            <w:vAlign w:val="center"/>
          </w:tcPr>
          <w:p>
            <w:pPr>
              <w:widowControl/>
              <w:ind w:firstLine="0" w:firstLineChars="0"/>
              <w:jc w:val="center"/>
              <w:rPr>
                <w:rFonts w:ascii="仿宋_GB2312" w:hAnsi="仿宋_GB2312" w:eastAsia="仿宋_GB2312" w:cs="仿宋_GB2312"/>
                <w:sz w:val="24"/>
                <w:lang w:val="en-US"/>
              </w:rPr>
            </w:pPr>
            <w:r>
              <w:rPr>
                <w:rFonts w:ascii="仿宋_GB2312" w:hAnsi="仿宋_GB2312" w:eastAsia="仿宋_GB2312" w:cs="仿宋_GB2312"/>
                <w:sz w:val="24"/>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7</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"https://baike.baidu.com/item/%E6%BA%AA%E6%BA%90%E4%B9%A1?fromModule=lemma_inlink"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溪源乡</w:t>
            </w:r>
            <w:r>
              <w:rPr>
                <w:rFonts w:hint="default" w:ascii="仿宋_GB2312" w:hAnsi="仿宋_GB2312" w:eastAsia="仿宋_GB2312" w:cs="仿宋_GB2312"/>
                <w:sz w:val="24"/>
              </w:rPr>
              <w:fldChar w:fldCharType="end"/>
            </w:r>
          </w:p>
        </w:tc>
        <w:tc>
          <w:tcPr>
            <w:tcW w:w="2530" w:type="dxa"/>
            <w:noWrap w:val="0"/>
            <w:vAlign w:val="center"/>
          </w:tcPr>
          <w:p>
            <w:pPr>
              <w:widowControl/>
              <w:ind w:firstLine="48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0</w:t>
            </w:r>
          </w:p>
        </w:tc>
        <w:tc>
          <w:tcPr>
            <w:tcW w:w="802" w:type="dxa"/>
            <w:noWrap w:val="0"/>
            <w:vAlign w:val="center"/>
          </w:tcPr>
          <w:p>
            <w:pPr>
              <w:widowControl/>
              <w:ind w:firstLine="480"/>
              <w:jc w:val="center"/>
              <w:rPr>
                <w:rFonts w:ascii="仿宋_GB2312" w:hAnsi="仿宋_GB2312" w:eastAsia="仿宋_GB2312" w:cs="仿宋_GB2312"/>
                <w:sz w:val="24"/>
                <w:lang w:val="en-US"/>
              </w:rPr>
            </w:pP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480"/>
              <w:jc w:val="center"/>
              <w:rPr>
                <w:rFonts w:ascii="仿宋_GB2312" w:hAnsi="仿宋_GB2312" w:eastAsia="仿宋_GB2312" w:cs="仿宋_GB2312"/>
                <w:sz w:val="24"/>
              </w:rPr>
            </w:pPr>
          </w:p>
        </w:tc>
        <w:tc>
          <w:tcPr>
            <w:tcW w:w="845" w:type="dxa"/>
            <w:noWrap w:val="0"/>
            <w:vAlign w:val="center"/>
          </w:tcPr>
          <w:p>
            <w:pPr>
              <w:widowControl/>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8</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"https://baike.baidu.com/item/%E5%AE%A2%E5%9D%8A%E4%B9%A1?fromModule=lemma_inlink"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客坊乡</w:t>
            </w:r>
            <w:r>
              <w:rPr>
                <w:rFonts w:hint="default" w:ascii="仿宋_GB2312" w:hAnsi="仿宋_GB2312" w:eastAsia="仿宋_GB2312" w:cs="仿宋_GB2312"/>
                <w:sz w:val="24"/>
              </w:rPr>
              <w:fldChar w:fldCharType="end"/>
            </w:r>
          </w:p>
        </w:tc>
        <w:tc>
          <w:tcPr>
            <w:tcW w:w="2530" w:type="dxa"/>
            <w:noWrap w:val="0"/>
            <w:vAlign w:val="center"/>
          </w:tcPr>
          <w:p>
            <w:pPr>
              <w:widowControl/>
              <w:ind w:firstLine="480"/>
              <w:jc w:val="center"/>
              <w:rPr>
                <w:rFonts w:ascii="仿宋_GB2312" w:hAnsi="仿宋_GB2312" w:eastAsia="仿宋_GB2312" w:cs="仿宋_GB2312"/>
                <w:sz w:val="24"/>
                <w:lang w:val="en-US"/>
              </w:rPr>
            </w:pPr>
            <w:r>
              <w:rPr>
                <w:rFonts w:ascii="仿宋_GB2312" w:hAnsi="仿宋_GB2312" w:eastAsia="仿宋_GB2312" w:cs="仿宋_GB2312"/>
                <w:sz w:val="24"/>
                <w:lang w:val="en-US"/>
              </w:rPr>
              <w:t>1</w:t>
            </w:r>
          </w:p>
        </w:tc>
        <w:tc>
          <w:tcPr>
            <w:tcW w:w="802" w:type="dxa"/>
            <w:noWrap w:val="0"/>
            <w:vAlign w:val="center"/>
          </w:tcPr>
          <w:p>
            <w:pPr>
              <w:widowControl/>
              <w:ind w:firstLine="480"/>
              <w:jc w:val="center"/>
              <w:rPr>
                <w:rFonts w:ascii="仿宋_GB2312" w:hAnsi="仿宋_GB2312" w:eastAsia="仿宋_GB2312" w:cs="仿宋_GB2312"/>
                <w:sz w:val="24"/>
                <w:lang w:val="en-US"/>
              </w:rPr>
            </w:pP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480"/>
              <w:jc w:val="center"/>
              <w:rPr>
                <w:rFonts w:ascii="仿宋_GB2312" w:hAnsi="仿宋_GB2312" w:eastAsia="仿宋_GB2312" w:cs="仿宋_GB2312"/>
                <w:sz w:val="24"/>
              </w:rPr>
            </w:pPr>
          </w:p>
        </w:tc>
        <w:tc>
          <w:tcPr>
            <w:tcW w:w="845" w:type="dxa"/>
            <w:noWrap w:val="0"/>
            <w:vAlign w:val="center"/>
          </w:tcPr>
          <w:p>
            <w:pPr>
              <w:widowControl/>
              <w:ind w:firstLine="0" w:firstLineChars="0"/>
              <w:jc w:val="center"/>
              <w:rPr>
                <w:rFonts w:ascii="仿宋_GB2312" w:hAnsi="仿宋_GB2312" w:eastAsia="仿宋_GB2312" w:cs="仿宋_GB2312"/>
                <w:sz w:val="24"/>
                <w:lang w:val="en-US"/>
              </w:rPr>
            </w:pPr>
            <w:r>
              <w:rPr>
                <w:rFonts w:ascii="仿宋_GB2312" w:hAnsi="仿宋_GB2312" w:eastAsia="仿宋_GB2312" w:cs="仿宋_GB2312"/>
                <w:sz w:val="24"/>
                <w:lang w:val="en-U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1069" w:type="dxa"/>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9</w:t>
            </w:r>
          </w:p>
        </w:tc>
        <w:tc>
          <w:tcPr>
            <w:tcW w:w="1069" w:type="dxa"/>
            <w:noWrap w:val="0"/>
            <w:vAlign w:val="center"/>
          </w:tcPr>
          <w:p>
            <w:pPr>
              <w:widowControl/>
              <w:ind w:firstLine="0" w:firstLineChars="0"/>
              <w:jc w:val="both"/>
              <w:rPr>
                <w:rFonts w:ascii="仿宋_GB2312" w:hAnsi="仿宋_GB2312" w:eastAsia="仿宋_GB2312" w:cs="仿宋_GB2312"/>
                <w:sz w:val="24"/>
              </w:rPr>
            </w:pPr>
            <w:r>
              <w:rPr>
                <w:rFonts w:hint="default" w:ascii="仿宋_GB2312" w:hAnsi="仿宋_GB2312" w:eastAsia="仿宋_GB2312" w:cs="仿宋_GB2312"/>
                <w:sz w:val="24"/>
              </w:rPr>
              <w:fldChar w:fldCharType="begin"/>
            </w:r>
            <w:r>
              <w:rPr>
                <w:rFonts w:hint="default" w:ascii="仿宋_GB2312" w:hAnsi="仿宋_GB2312" w:eastAsia="仿宋_GB2312" w:cs="仿宋_GB2312"/>
                <w:sz w:val="24"/>
              </w:rPr>
              <w:instrText xml:space="preserve"> HYPERLINK "https://baike.baidu.com/item/%E9%BB%84%E5%9F%A0%E4%B9%A1?fromModule=lemma_inlink" \t "https://baike.baidu.com/item/%E5%BB%BA%E5%AE%81%E5%8E%BF/_blank" </w:instrText>
            </w:r>
            <w:r>
              <w:rPr>
                <w:rFonts w:hint="default" w:ascii="仿宋_GB2312" w:hAnsi="仿宋_GB2312" w:eastAsia="仿宋_GB2312" w:cs="仿宋_GB2312"/>
                <w:sz w:val="24"/>
              </w:rPr>
              <w:fldChar w:fldCharType="separate"/>
            </w:r>
            <w:r>
              <w:rPr>
                <w:rFonts w:hint="default" w:ascii="仿宋_GB2312" w:hAnsi="仿宋_GB2312" w:eastAsia="仿宋_GB2312" w:cs="仿宋_GB2312"/>
                <w:sz w:val="24"/>
              </w:rPr>
              <w:t>黄埠乡</w:t>
            </w:r>
            <w:r>
              <w:rPr>
                <w:rFonts w:hint="default" w:ascii="仿宋_GB2312" w:hAnsi="仿宋_GB2312" w:eastAsia="仿宋_GB2312" w:cs="仿宋_GB2312"/>
                <w:sz w:val="24"/>
              </w:rPr>
              <w:fldChar w:fldCharType="end"/>
            </w:r>
          </w:p>
        </w:tc>
        <w:tc>
          <w:tcPr>
            <w:tcW w:w="2530" w:type="dxa"/>
            <w:noWrap w:val="0"/>
            <w:vAlign w:val="center"/>
          </w:tcPr>
          <w:p>
            <w:pPr>
              <w:widowControl/>
              <w:ind w:firstLine="480"/>
              <w:jc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0</w:t>
            </w:r>
          </w:p>
        </w:tc>
        <w:tc>
          <w:tcPr>
            <w:tcW w:w="802" w:type="dxa"/>
            <w:noWrap w:val="0"/>
            <w:vAlign w:val="center"/>
          </w:tcPr>
          <w:p>
            <w:pPr>
              <w:widowControl/>
              <w:ind w:firstLine="480"/>
              <w:jc w:val="center"/>
              <w:rPr>
                <w:rFonts w:ascii="仿宋_GB2312" w:hAnsi="仿宋_GB2312" w:eastAsia="仿宋_GB2312" w:cs="仿宋_GB2312"/>
                <w:sz w:val="24"/>
                <w:lang w:val="en-US"/>
              </w:rPr>
            </w:pPr>
          </w:p>
        </w:tc>
        <w:tc>
          <w:tcPr>
            <w:tcW w:w="754" w:type="dxa"/>
            <w:noWrap w:val="0"/>
            <w:vAlign w:val="center"/>
          </w:tcPr>
          <w:p>
            <w:pPr>
              <w:widowControl/>
              <w:ind w:firstLine="480"/>
              <w:jc w:val="center"/>
              <w:rPr>
                <w:rFonts w:ascii="仿宋_GB2312" w:hAnsi="仿宋_GB2312" w:eastAsia="仿宋_GB2312" w:cs="仿宋_GB2312"/>
                <w:sz w:val="24"/>
                <w:lang w:val="en-US"/>
              </w:rPr>
            </w:pPr>
          </w:p>
        </w:tc>
        <w:tc>
          <w:tcPr>
            <w:tcW w:w="819" w:type="dxa"/>
            <w:noWrap w:val="0"/>
            <w:vAlign w:val="center"/>
          </w:tcPr>
          <w:p>
            <w:pPr>
              <w:widowControl/>
              <w:ind w:firstLine="480"/>
              <w:jc w:val="center"/>
              <w:rPr>
                <w:rFonts w:ascii="仿宋_GB2312" w:hAnsi="仿宋_GB2312" w:eastAsia="仿宋_GB2312" w:cs="仿宋_GB2312"/>
                <w:sz w:val="24"/>
              </w:rPr>
            </w:pPr>
          </w:p>
        </w:tc>
        <w:tc>
          <w:tcPr>
            <w:tcW w:w="845" w:type="dxa"/>
            <w:noWrap w:val="0"/>
            <w:vAlign w:val="center"/>
          </w:tcPr>
          <w:p>
            <w:pPr>
              <w:widowControl/>
              <w:ind w:firstLine="480"/>
              <w:jc w:val="center"/>
              <w:rPr>
                <w:rFonts w:ascii="仿宋_GB2312" w:hAnsi="仿宋_GB2312" w:eastAsia="仿宋_GB2312" w:cs="仿宋_GB2312"/>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2138" w:type="dxa"/>
            <w:gridSpan w:val="2"/>
            <w:noWrap w:val="0"/>
            <w:vAlign w:val="center"/>
          </w:tcPr>
          <w:p>
            <w:pPr>
              <w:widowControl/>
              <w:ind w:firstLine="480"/>
              <w:jc w:val="center"/>
              <w:rPr>
                <w:rFonts w:ascii="仿宋_GB2312" w:hAnsi="仿宋_GB2312" w:eastAsia="仿宋_GB2312" w:cs="仿宋_GB2312"/>
                <w:sz w:val="24"/>
              </w:rPr>
            </w:pPr>
            <w:r>
              <w:rPr>
                <w:rFonts w:ascii="仿宋_GB2312" w:hAnsi="仿宋_GB2312" w:eastAsia="仿宋_GB2312" w:cs="仿宋_GB2312"/>
                <w:sz w:val="24"/>
              </w:rPr>
              <w:t>总 计</w:t>
            </w:r>
          </w:p>
        </w:tc>
        <w:tc>
          <w:tcPr>
            <w:tcW w:w="2530" w:type="dxa"/>
            <w:noWrap w:val="0"/>
            <w:vAlign w:val="center"/>
          </w:tcPr>
          <w:p>
            <w:pPr>
              <w:widowControl/>
              <w:ind w:firstLine="480"/>
              <w:jc w:val="center"/>
              <w:textAlignment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15</w:t>
            </w:r>
          </w:p>
        </w:tc>
        <w:tc>
          <w:tcPr>
            <w:tcW w:w="802" w:type="dxa"/>
            <w:noWrap w:val="0"/>
            <w:vAlign w:val="center"/>
          </w:tcPr>
          <w:p>
            <w:pPr>
              <w:widowControl/>
              <w:ind w:firstLine="0" w:firstLineChars="0"/>
              <w:jc w:val="center"/>
              <w:textAlignment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10</w:t>
            </w:r>
          </w:p>
        </w:tc>
        <w:tc>
          <w:tcPr>
            <w:tcW w:w="754" w:type="dxa"/>
            <w:noWrap w:val="0"/>
            <w:vAlign w:val="center"/>
          </w:tcPr>
          <w:p>
            <w:pPr>
              <w:widowControl/>
              <w:ind w:firstLine="0" w:firstLineChars="0"/>
              <w:jc w:val="center"/>
              <w:textAlignment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1</w:t>
            </w:r>
          </w:p>
        </w:tc>
        <w:tc>
          <w:tcPr>
            <w:tcW w:w="819" w:type="dxa"/>
            <w:noWrap w:val="0"/>
            <w:vAlign w:val="center"/>
          </w:tcPr>
          <w:p>
            <w:pPr>
              <w:widowControl/>
              <w:ind w:firstLine="0" w:firstLineChars="0"/>
              <w:jc w:val="center"/>
              <w:textAlignment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2</w:t>
            </w:r>
          </w:p>
        </w:tc>
        <w:tc>
          <w:tcPr>
            <w:tcW w:w="845" w:type="dxa"/>
            <w:noWrap w:val="0"/>
            <w:vAlign w:val="center"/>
          </w:tcPr>
          <w:p>
            <w:pPr>
              <w:widowControl/>
              <w:ind w:firstLine="0" w:firstLineChars="0"/>
              <w:jc w:val="center"/>
              <w:textAlignment w:val="center"/>
              <w:rPr>
                <w:rFonts w:hint="default" w:ascii="仿宋_GB2312" w:hAnsi="仿宋_GB2312" w:eastAsia="仿宋_GB2312" w:cs="仿宋_GB2312"/>
                <w:sz w:val="24"/>
                <w:lang w:val="en-US"/>
              </w:rPr>
            </w:pPr>
            <w:r>
              <w:rPr>
                <w:rFonts w:ascii="仿宋_GB2312" w:hAnsi="仿宋_GB2312" w:eastAsia="仿宋_GB2312" w:cs="仿宋_GB2312"/>
                <w:sz w:val="24"/>
                <w:lang w:val="en-US"/>
              </w:rPr>
              <w:t>2</w:t>
            </w:r>
          </w:p>
        </w:tc>
      </w:tr>
    </w:tbl>
    <w:p>
      <w:pPr>
        <w:widowControl/>
        <w:spacing w:line="400" w:lineRule="exact"/>
        <w:ind w:firstLine="600"/>
        <w:jc w:val="center"/>
        <w:textAlignment w:val="center"/>
        <w:rPr>
          <w:rFonts w:hint="default" w:ascii="华文细黑" w:hAnsi="华文细黑" w:eastAsia="华文细黑"/>
          <w:sz w:val="30"/>
          <w:szCs w:val="30"/>
        </w:rPr>
      </w:pPr>
    </w:p>
    <w:p>
      <w:pPr>
        <w:widowControl/>
        <w:spacing w:line="400" w:lineRule="exact"/>
        <w:ind w:firstLine="600"/>
        <w:jc w:val="both"/>
        <w:textAlignment w:val="center"/>
        <w:rPr>
          <w:rFonts w:hint="default" w:ascii="华文细黑" w:hAnsi="华文细黑" w:eastAsia="华文细黑"/>
          <w:sz w:val="30"/>
          <w:szCs w:val="30"/>
        </w:rPr>
      </w:pPr>
    </w:p>
    <w:p>
      <w:pPr>
        <w:widowControl/>
        <w:spacing w:line="400" w:lineRule="exact"/>
        <w:ind w:firstLine="600"/>
        <w:jc w:val="both"/>
        <w:textAlignment w:val="center"/>
        <w:rPr>
          <w:rFonts w:hint="default" w:ascii="华文细黑" w:hAnsi="华文细黑" w:eastAsia="华文细黑"/>
          <w:sz w:val="30"/>
          <w:szCs w:val="30"/>
        </w:rPr>
      </w:pPr>
    </w:p>
    <w:p>
      <w:pPr>
        <w:widowControl/>
        <w:spacing w:line="400" w:lineRule="exact"/>
        <w:ind w:firstLine="600"/>
        <w:jc w:val="both"/>
        <w:textAlignment w:val="center"/>
        <w:rPr>
          <w:rFonts w:hint="default" w:ascii="华文细黑" w:hAnsi="华文细黑" w:eastAsia="华文细黑"/>
          <w:sz w:val="30"/>
          <w:szCs w:val="30"/>
        </w:rPr>
      </w:pPr>
    </w:p>
    <w:p>
      <w:pPr>
        <w:widowControl/>
        <w:spacing w:line="400" w:lineRule="exact"/>
        <w:ind w:firstLine="600"/>
        <w:jc w:val="both"/>
        <w:textAlignment w:val="center"/>
        <w:rPr>
          <w:rFonts w:hint="default" w:ascii="华文细黑" w:hAnsi="华文细黑" w:eastAsia="华文细黑"/>
          <w:sz w:val="30"/>
          <w:szCs w:val="30"/>
        </w:rPr>
      </w:pPr>
    </w:p>
    <w:p>
      <w:pPr>
        <w:widowControl/>
        <w:spacing w:line="400" w:lineRule="exact"/>
        <w:ind w:firstLine="600"/>
        <w:jc w:val="both"/>
        <w:textAlignment w:val="center"/>
        <w:rPr>
          <w:rFonts w:hint="default" w:ascii="华文细黑" w:hAnsi="华文细黑" w:eastAsia="华文细黑"/>
          <w:sz w:val="30"/>
          <w:szCs w:val="30"/>
        </w:rPr>
      </w:pPr>
    </w:p>
    <w:p>
      <w:pPr>
        <w:pStyle w:val="22"/>
        <w:spacing w:line="240" w:lineRule="auto"/>
        <w:ind w:firstLine="0" w:firstLineChars="0"/>
        <w:jc w:val="center"/>
        <w:rPr>
          <w:rFonts w:hint="default" w:eastAsia="仿宋"/>
          <w:b/>
          <w:bCs/>
          <w:szCs w:val="28"/>
        </w:rPr>
      </w:pPr>
    </w:p>
    <w:p>
      <w:pPr>
        <w:pStyle w:val="22"/>
        <w:spacing w:line="240" w:lineRule="auto"/>
        <w:ind w:firstLine="0" w:firstLineChars="0"/>
        <w:jc w:val="center"/>
        <w:rPr>
          <w:rFonts w:hint="default" w:eastAsia="仿宋"/>
          <w:b/>
          <w:bCs/>
          <w:szCs w:val="28"/>
        </w:rPr>
      </w:pPr>
      <w:r>
        <w:rPr>
          <w:rFonts w:hint="default" w:eastAsia="仿宋"/>
          <w:b/>
          <w:bCs/>
          <w:szCs w:val="28"/>
        </w:rPr>
        <w:t>表</w:t>
      </w:r>
      <w:r>
        <w:rPr>
          <w:rFonts w:hint="eastAsia" w:eastAsia="仿宋"/>
          <w:b/>
          <w:bCs/>
          <w:szCs w:val="28"/>
          <w:lang w:val="en-US" w:eastAsia="zh-CN"/>
        </w:rPr>
        <w:t>5</w:t>
      </w:r>
      <w:r>
        <w:rPr>
          <w:rFonts w:hint="default" w:eastAsia="仿宋"/>
          <w:b/>
          <w:bCs/>
          <w:szCs w:val="28"/>
        </w:rPr>
        <w:t xml:space="preserve"> </w:t>
      </w:r>
      <w:r>
        <w:rPr>
          <w:rFonts w:eastAsia="仿宋"/>
          <w:b/>
          <w:bCs/>
          <w:szCs w:val="28"/>
        </w:rPr>
        <w:t>建宁县</w:t>
      </w:r>
      <w:r>
        <w:rPr>
          <w:rFonts w:hint="default" w:eastAsia="仿宋"/>
          <w:b/>
          <w:bCs/>
          <w:szCs w:val="28"/>
        </w:rPr>
        <w:t>规模化养殖场具体情况表</w:t>
      </w:r>
    </w:p>
    <w:tbl>
      <w:tblPr>
        <w:tblStyle w:val="18"/>
        <w:tblpPr w:leftFromText="180" w:rightFromText="180" w:vertAnchor="text" w:horzAnchor="page" w:tblpX="1701" w:tblpY="547"/>
        <w:tblOverlap w:val="never"/>
        <w:tblW w:w="8209" w:type="dxa"/>
        <w:tblInd w:w="0" w:type="dxa"/>
        <w:tblLayout w:type="fixed"/>
        <w:tblCellMar>
          <w:top w:w="15" w:type="dxa"/>
          <w:left w:w="15" w:type="dxa"/>
          <w:bottom w:w="15" w:type="dxa"/>
          <w:right w:w="15" w:type="dxa"/>
        </w:tblCellMar>
      </w:tblPr>
      <w:tblGrid>
        <w:gridCol w:w="618"/>
        <w:gridCol w:w="4309"/>
        <w:gridCol w:w="2337"/>
        <w:gridCol w:w="945"/>
      </w:tblGrid>
      <w:tr>
        <w:tblPrEx>
          <w:tblCellMar>
            <w:top w:w="15" w:type="dxa"/>
            <w:left w:w="15" w:type="dxa"/>
            <w:bottom w:w="15" w:type="dxa"/>
            <w:right w:w="15" w:type="dxa"/>
          </w:tblCellMar>
        </w:tblPrEx>
        <w:trPr>
          <w:trHeight w:val="698"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hint="default"/>
                <w:b/>
                <w:bCs/>
                <w:sz w:val="24"/>
              </w:rPr>
            </w:pPr>
            <w:r>
              <w:rPr>
                <w:rFonts w:hint="default"/>
                <w:b/>
                <w:bCs/>
                <w:sz w:val="24"/>
                <w:lang w:bidi="ar"/>
              </w:rPr>
              <w:t>序号</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482"/>
              <w:jc w:val="both"/>
              <w:textAlignment w:val="center"/>
              <w:rPr>
                <w:rFonts w:hint="default"/>
                <w:b/>
                <w:bCs/>
                <w:sz w:val="24"/>
              </w:rPr>
            </w:pPr>
            <w:r>
              <w:rPr>
                <w:rFonts w:hint="default"/>
                <w:b/>
                <w:bCs/>
                <w:sz w:val="24"/>
                <w:lang w:bidi="ar"/>
              </w:rPr>
              <w:t>养殖场名称</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482"/>
              <w:jc w:val="center"/>
              <w:textAlignment w:val="center"/>
              <w:rPr>
                <w:rFonts w:hint="default"/>
                <w:b/>
                <w:bCs/>
                <w:sz w:val="24"/>
              </w:rPr>
            </w:pPr>
            <w:r>
              <w:rPr>
                <w:rFonts w:hint="default"/>
                <w:b/>
                <w:bCs/>
                <w:sz w:val="24"/>
                <w:lang w:bidi="ar"/>
              </w:rPr>
              <w:t>地点</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hint="default" w:ascii="宋体" w:hAnsi="宋体" w:cs="宋体"/>
                <w:b/>
                <w:bCs/>
                <w:kern w:val="2"/>
                <w:sz w:val="22"/>
                <w:szCs w:val="22"/>
                <w:lang w:val="en-US"/>
              </w:rPr>
            </w:pPr>
            <w:r>
              <w:rPr>
                <w:rFonts w:ascii="宋体" w:hAnsi="宋体" w:cs="宋体"/>
                <w:b/>
                <w:bCs/>
                <w:sz w:val="22"/>
                <w:szCs w:val="22"/>
                <w:lang w:val="en-US" w:bidi="ar"/>
              </w:rPr>
              <w:t>养殖畜种</w:t>
            </w:r>
          </w:p>
        </w:tc>
      </w:tr>
      <w:tr>
        <w:tblPrEx>
          <w:tblCellMar>
            <w:top w:w="15" w:type="dxa"/>
            <w:left w:w="15" w:type="dxa"/>
            <w:bottom w:w="15" w:type="dxa"/>
            <w:right w:w="15" w:type="dxa"/>
          </w:tblCellMar>
        </w:tblPrEx>
        <w:trPr>
          <w:trHeight w:val="643"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1</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福建鑫锦宏农牧开发有限公司</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建宁县溪口镇枫元村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631"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2</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建宁县上黎生态牧业有限公司</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建宁县里心镇上黎村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奶牛</w:t>
            </w:r>
          </w:p>
        </w:tc>
      </w:tr>
      <w:tr>
        <w:tblPrEx>
          <w:tblCellMar>
            <w:top w:w="15" w:type="dxa"/>
            <w:left w:w="15" w:type="dxa"/>
            <w:bottom w:w="15" w:type="dxa"/>
            <w:right w:w="15" w:type="dxa"/>
          </w:tblCellMar>
        </w:tblPrEx>
        <w:trPr>
          <w:trHeight w:val="577"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3</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建宁县朋辉养殖场</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建宁县溪口镇高圳村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639"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4</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建宁县三泉生态农牧有限公司</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建宁县黄坊乡武调村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583"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bidi="ar"/>
              </w:rPr>
              <w:t>5</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val="en-US" w:bidi="ar"/>
              </w:rPr>
              <w:t>建宁县溪口镇丰旺生猪养殖专业合作社</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val="en-US" w:bidi="ar"/>
              </w:rPr>
              <w:t>建宁县溪口镇渠村村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506"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6</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val="en-US" w:bidi="ar"/>
              </w:rPr>
              <w:t>建宁县濉溪镇信</w:t>
            </w:r>
            <w:r>
              <w:rPr>
                <w:rFonts w:hint="eastAsia" w:ascii="仿宋_GB2312" w:hAnsi="仿宋_GB2312" w:eastAsia="仿宋_GB2312" w:cs="仿宋_GB2312"/>
                <w:sz w:val="24"/>
                <w:lang w:val="en-US" w:eastAsia="zh-CN" w:bidi="ar"/>
              </w:rPr>
              <w:t>拓</w:t>
            </w:r>
            <w:r>
              <w:rPr>
                <w:rFonts w:ascii="仿宋_GB2312" w:hAnsi="仿宋_GB2312" w:eastAsia="仿宋_GB2312" w:cs="仿宋_GB2312"/>
                <w:sz w:val="24"/>
                <w:lang w:val="en-US" w:bidi="ar"/>
              </w:rPr>
              <w:t>牧业养殖场</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val="en-US" w:bidi="ar"/>
              </w:rPr>
              <w:t>建宁县濉溪镇水南村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493"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7</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val="en-US" w:bidi="ar"/>
              </w:rPr>
              <w:t>建宁县鑫业生猪专业合作社</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bidi="ar"/>
              </w:rPr>
            </w:pPr>
            <w:r>
              <w:rPr>
                <w:rFonts w:ascii="仿宋_GB2312" w:hAnsi="仿宋_GB2312" w:eastAsia="仿宋_GB2312" w:cs="仿宋_GB2312"/>
                <w:sz w:val="24"/>
                <w:lang w:val="en-US" w:bidi="ar"/>
              </w:rPr>
              <w:t>建宁县溪口镇半元村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545"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8</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建宁县溪口镇高圳村德进养殖场</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建宁县溪口镇高圳村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567"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9</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三明市亿利旺农牧有限公司</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建宁县溪口镇高圳村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606"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10</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建宁县均口镇旺根养猪场</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w:t>
            </w:r>
            <w:r>
              <w:rPr>
                <w:rFonts w:hint="eastAsia" w:ascii="仿宋_GB2312" w:hAnsi="仿宋_GB2312" w:eastAsia="仿宋_GB2312" w:cs="仿宋_GB2312"/>
                <w:sz w:val="24"/>
                <w:lang w:val="en-US" w:eastAsia="zh-CN" w:bidi="ar"/>
              </w:rPr>
              <w:t>均</w:t>
            </w:r>
            <w:r>
              <w:rPr>
                <w:rFonts w:ascii="仿宋_GB2312" w:hAnsi="仿宋_GB2312" w:eastAsia="仿宋_GB2312" w:cs="仿宋_GB2312"/>
                <w:sz w:val="24"/>
                <w:lang w:val="en-US" w:bidi="ar"/>
              </w:rPr>
              <w:t>口镇</w:t>
            </w:r>
            <w:r>
              <w:rPr>
                <w:rFonts w:hint="eastAsia" w:ascii="仿宋_GB2312" w:hAnsi="仿宋_GB2312" w:eastAsia="仿宋_GB2312" w:cs="仿宋_GB2312"/>
                <w:sz w:val="24"/>
                <w:lang w:val="en-US" w:eastAsia="zh-CN" w:bidi="ar"/>
              </w:rPr>
              <w:t>岭腰</w:t>
            </w:r>
            <w:r>
              <w:rPr>
                <w:rFonts w:ascii="仿宋_GB2312" w:hAnsi="仿宋_GB2312" w:eastAsia="仿宋_GB2312" w:cs="仿宋_GB2312"/>
                <w:sz w:val="24"/>
                <w:lang w:val="en-US" w:bidi="ar"/>
              </w:rPr>
              <w:t>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color w:val="FF0000"/>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806"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11</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建宁县里心镇正先家庭农场</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建宁县里心镇靖安村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生猪</w:t>
            </w:r>
          </w:p>
        </w:tc>
      </w:tr>
      <w:tr>
        <w:tblPrEx>
          <w:tblCellMar>
            <w:top w:w="15" w:type="dxa"/>
            <w:left w:w="15" w:type="dxa"/>
            <w:bottom w:w="15" w:type="dxa"/>
            <w:right w:w="15" w:type="dxa"/>
          </w:tblCellMar>
        </w:tblPrEx>
        <w:trPr>
          <w:trHeight w:val="806"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12</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建宁县建奇牧业有限责任公司</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建宁县溪口镇半元村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蛋鸡</w:t>
            </w:r>
          </w:p>
        </w:tc>
      </w:tr>
      <w:tr>
        <w:tblPrEx>
          <w:tblCellMar>
            <w:top w:w="15" w:type="dxa"/>
            <w:left w:w="15" w:type="dxa"/>
            <w:bottom w:w="15" w:type="dxa"/>
            <w:right w:w="15" w:type="dxa"/>
          </w:tblCellMar>
        </w:tblPrEx>
        <w:trPr>
          <w:trHeight w:val="806"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13</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福建海宏达生态农业有限公司</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建宁县客坊乡严田村矮子（底）坑</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山羊</w:t>
            </w:r>
          </w:p>
        </w:tc>
      </w:tr>
      <w:tr>
        <w:tblPrEx>
          <w:tblCellMar>
            <w:top w:w="15" w:type="dxa"/>
            <w:left w:w="15" w:type="dxa"/>
            <w:bottom w:w="15" w:type="dxa"/>
            <w:right w:w="15" w:type="dxa"/>
          </w:tblCellMar>
        </w:tblPrEx>
        <w:trPr>
          <w:trHeight w:val="806"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14</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建宁县兴源养殖专业合作社</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建宁县黄坊乡武调村横源</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山羊</w:t>
            </w:r>
          </w:p>
        </w:tc>
      </w:tr>
      <w:tr>
        <w:tblPrEx>
          <w:tblCellMar>
            <w:top w:w="15" w:type="dxa"/>
            <w:left w:w="15" w:type="dxa"/>
            <w:bottom w:w="15" w:type="dxa"/>
            <w:right w:w="15" w:type="dxa"/>
          </w:tblCellMar>
        </w:tblPrEx>
        <w:trPr>
          <w:trHeight w:val="806"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rPr>
            </w:pPr>
            <w:r>
              <w:rPr>
                <w:rFonts w:ascii="仿宋_GB2312" w:hAnsi="仿宋_GB2312" w:eastAsia="仿宋_GB2312" w:cs="仿宋_GB2312"/>
                <w:sz w:val="24"/>
                <w:lang w:bidi="ar"/>
              </w:rPr>
              <w:t>15</w:t>
            </w:r>
          </w:p>
        </w:tc>
        <w:tc>
          <w:tcPr>
            <w:tcW w:w="4309"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建宁县荣祥生态农业开发有限公司</w:t>
            </w:r>
          </w:p>
        </w:tc>
        <w:tc>
          <w:tcPr>
            <w:tcW w:w="2337"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建宁县溪口镇杨林村巧洋</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widowControl/>
              <w:ind w:firstLine="0" w:firstLineChars="0"/>
              <w:jc w:val="both"/>
              <w:textAlignment w:val="center"/>
              <w:rPr>
                <w:rFonts w:ascii="仿宋_GB2312" w:hAnsi="仿宋_GB2312" w:eastAsia="仿宋_GB2312" w:cs="仿宋_GB2312"/>
                <w:sz w:val="24"/>
                <w:lang w:val="en-US" w:bidi="ar"/>
              </w:rPr>
            </w:pPr>
            <w:r>
              <w:rPr>
                <w:rFonts w:ascii="仿宋_GB2312" w:hAnsi="仿宋_GB2312" w:eastAsia="仿宋_GB2312" w:cs="仿宋_GB2312"/>
                <w:sz w:val="24"/>
                <w:lang w:val="en-US" w:bidi="ar"/>
              </w:rPr>
              <w:t>肉鸭</w:t>
            </w:r>
          </w:p>
        </w:tc>
      </w:tr>
    </w:tbl>
    <w:p>
      <w:pPr>
        <w:autoSpaceDE w:val="0"/>
        <w:spacing w:line="360" w:lineRule="auto"/>
        <w:ind w:firstLine="560"/>
        <w:jc w:val="center"/>
        <w:rPr>
          <w:rFonts w:hint="default" w:eastAsia="仿宋"/>
        </w:rPr>
      </w:pPr>
    </w:p>
    <w:p>
      <w:pPr>
        <w:pStyle w:val="17"/>
        <w:ind w:left="560" w:firstLine="560"/>
        <w:rPr>
          <w:rFonts w:hint="default" w:eastAsia="仿宋"/>
        </w:rPr>
      </w:pPr>
    </w:p>
    <w:p>
      <w:pPr>
        <w:pStyle w:val="17"/>
        <w:ind w:left="560" w:firstLine="560"/>
        <w:rPr>
          <w:rFonts w:hint="default" w:eastAsia="仿宋"/>
        </w:rPr>
        <w:sectPr>
          <w:headerReference r:id="rId9" w:type="default"/>
          <w:footerReference r:id="rId10" w:type="default"/>
          <w:pgSz w:w="11906" w:h="16838"/>
          <w:pgMar w:top="1440" w:right="1797" w:bottom="1440" w:left="1797" w:header="851" w:footer="992" w:gutter="0"/>
          <w:cols w:space="720" w:num="1"/>
          <w:docGrid w:type="linesAndChars" w:linePitch="312" w:charSpace="0"/>
        </w:sectPr>
      </w:pPr>
    </w:p>
    <w:p>
      <w:pPr>
        <w:spacing w:line="360" w:lineRule="auto"/>
        <w:ind w:firstLine="602"/>
        <w:outlineLvl w:val="1"/>
        <w:rPr>
          <w:rFonts w:hint="default" w:ascii="仿宋_GB2312" w:eastAsia="仿宋_GB2312"/>
          <w:b/>
          <w:sz w:val="30"/>
          <w:szCs w:val="30"/>
        </w:rPr>
      </w:pPr>
      <w:bookmarkStart w:id="516" w:name="_Toc21417"/>
      <w:bookmarkStart w:id="517" w:name="_Toc19361"/>
      <w:bookmarkStart w:id="518" w:name="_Toc6860"/>
      <w:r>
        <w:rPr>
          <w:rFonts w:ascii="仿宋_GB2312" w:eastAsia="仿宋_GB2312"/>
          <w:b/>
          <w:sz w:val="30"/>
          <w:szCs w:val="30"/>
        </w:rPr>
        <w:t>（</w:t>
      </w:r>
      <w:r>
        <w:rPr>
          <w:rFonts w:ascii="仿宋_GB2312" w:eastAsia="仿宋_GB2312"/>
          <w:b/>
          <w:sz w:val="30"/>
          <w:szCs w:val="30"/>
          <w:lang w:val="en-US"/>
        </w:rPr>
        <w:t>二）资源与</w:t>
      </w:r>
      <w:r>
        <w:rPr>
          <w:rFonts w:hint="default" w:ascii="仿宋_GB2312" w:eastAsia="仿宋_GB2312"/>
          <w:b/>
          <w:sz w:val="30"/>
          <w:szCs w:val="30"/>
        </w:rPr>
        <w:t>环境承载能力</w:t>
      </w:r>
      <w:bookmarkEnd w:id="516"/>
      <w:bookmarkEnd w:id="517"/>
      <w:bookmarkEnd w:id="518"/>
    </w:p>
    <w:p>
      <w:pPr>
        <w:adjustRightInd w:val="0"/>
        <w:snapToGrid w:val="0"/>
        <w:spacing w:line="600" w:lineRule="exact"/>
        <w:ind w:firstLine="560"/>
        <w:rPr>
          <w:rFonts w:hint="default" w:ascii="仿宋_GB2312" w:eastAsia="仿宋_GB2312"/>
          <w:szCs w:val="28"/>
        </w:rPr>
      </w:pPr>
      <w:r>
        <w:rPr>
          <w:rFonts w:ascii="仿宋_GB2312" w:eastAsia="仿宋_GB2312"/>
          <w:szCs w:val="28"/>
          <w:lang w:val="en-US"/>
        </w:rPr>
        <w:t>根据规划的规模和《畜禽粪污土地承载力测算技术指南》（农办牧﹝</w:t>
      </w:r>
      <w:r>
        <w:rPr>
          <w:rFonts w:hint="default" w:ascii="仿宋_GB2312" w:eastAsia="仿宋_GB2312"/>
          <w:szCs w:val="28"/>
          <w:lang w:val="en-US"/>
        </w:rPr>
        <w:t>2018</w:t>
      </w:r>
      <w:r>
        <w:rPr>
          <w:rFonts w:ascii="仿宋_GB2312" w:eastAsia="仿宋_GB2312"/>
          <w:szCs w:val="28"/>
          <w:lang w:val="en-US"/>
        </w:rPr>
        <w:t>﹞</w:t>
      </w:r>
      <w:r>
        <w:rPr>
          <w:rFonts w:hint="default" w:ascii="仿宋_GB2312" w:eastAsia="仿宋_GB2312"/>
          <w:szCs w:val="28"/>
          <w:lang w:val="en-US"/>
        </w:rPr>
        <w:t xml:space="preserve">1 </w:t>
      </w:r>
      <w:r>
        <w:rPr>
          <w:rFonts w:ascii="仿宋_GB2312" w:eastAsia="仿宋_GB2312"/>
          <w:szCs w:val="28"/>
          <w:lang w:val="en-US"/>
        </w:rPr>
        <w:t xml:space="preserve">号），分析测算建宁县畜禽粪污排泄量及养分供给量和农作物粪肥养分需求量，根据测算结果分析建宁县畜禽粪污的土地承载力匹配情况，确定畜牧业发展及控制目标。 </w:t>
      </w:r>
    </w:p>
    <w:p>
      <w:pPr>
        <w:adjustRightInd w:val="0"/>
        <w:snapToGrid w:val="0"/>
        <w:spacing w:line="600" w:lineRule="exact"/>
        <w:ind w:firstLine="560"/>
        <w:rPr>
          <w:rFonts w:hint="default" w:ascii="仿宋_GB2312" w:eastAsia="仿宋_GB2312"/>
          <w:szCs w:val="28"/>
        </w:rPr>
      </w:pPr>
      <w:r>
        <w:rPr>
          <w:rFonts w:ascii="仿宋_GB2312" w:eastAsia="仿宋_GB2312"/>
          <w:szCs w:val="28"/>
          <w:lang w:val="en-US"/>
        </w:rPr>
        <w:t xml:space="preserve">根据畜牧业发展规划 </w:t>
      </w:r>
      <w:r>
        <w:rPr>
          <w:rFonts w:hint="default" w:ascii="仿宋_GB2312" w:eastAsia="仿宋_GB2312"/>
          <w:szCs w:val="28"/>
          <w:lang w:val="en-US"/>
        </w:rPr>
        <w:t xml:space="preserve">2025 </w:t>
      </w:r>
      <w:r>
        <w:rPr>
          <w:rFonts w:ascii="仿宋_GB2312" w:eastAsia="仿宋_GB2312"/>
          <w:szCs w:val="28"/>
          <w:lang w:val="en-US"/>
        </w:rPr>
        <w:t xml:space="preserve">年的规模，测算 </w:t>
      </w:r>
      <w:r>
        <w:rPr>
          <w:rFonts w:hint="default" w:ascii="仿宋_GB2312" w:eastAsia="仿宋_GB2312"/>
          <w:szCs w:val="28"/>
          <w:lang w:val="en-US"/>
        </w:rPr>
        <w:t xml:space="preserve">2025 </w:t>
      </w:r>
      <w:r>
        <w:rPr>
          <w:rFonts w:ascii="仿宋_GB2312" w:eastAsia="仿宋_GB2312"/>
          <w:szCs w:val="28"/>
          <w:lang w:val="en-US"/>
        </w:rPr>
        <w:t xml:space="preserve">年畜禽粪污氮、磷的排泄量和供给量。 </w:t>
      </w:r>
    </w:p>
    <w:p>
      <w:pPr>
        <w:pStyle w:val="22"/>
        <w:spacing w:line="240" w:lineRule="auto"/>
        <w:ind w:firstLine="0" w:firstLineChars="0"/>
        <w:jc w:val="center"/>
        <w:rPr>
          <w:rFonts w:hint="eastAsia" w:eastAsia="仿宋"/>
          <w:b/>
          <w:bCs/>
          <w:szCs w:val="28"/>
          <w:lang w:val="en-US" w:eastAsia="zh-CN"/>
        </w:rPr>
      </w:pPr>
      <w:r>
        <w:rPr>
          <w:rFonts w:hint="default" w:eastAsia="仿宋"/>
          <w:b/>
          <w:bCs/>
          <w:szCs w:val="28"/>
          <w:lang w:val="en-US"/>
        </w:rPr>
        <w:t>表</w:t>
      </w:r>
      <w:r>
        <w:rPr>
          <w:rFonts w:eastAsia="仿宋"/>
          <w:b/>
          <w:bCs/>
          <w:szCs w:val="28"/>
          <w:lang w:val="en-US"/>
        </w:rPr>
        <w:t xml:space="preserve">6 </w:t>
      </w:r>
      <w:r>
        <w:rPr>
          <w:rFonts w:hint="default" w:eastAsia="仿宋"/>
          <w:b/>
          <w:bCs/>
          <w:szCs w:val="28"/>
          <w:lang w:val="en-US"/>
        </w:rPr>
        <w:t xml:space="preserve"> 2025年</w:t>
      </w:r>
      <w:r>
        <w:rPr>
          <w:rFonts w:eastAsia="仿宋"/>
          <w:b/>
          <w:bCs/>
          <w:szCs w:val="28"/>
          <w:lang w:val="en-US"/>
        </w:rPr>
        <w:t>建宁</w:t>
      </w:r>
      <w:r>
        <w:rPr>
          <w:rFonts w:hint="default" w:eastAsia="仿宋"/>
          <w:b/>
          <w:bCs/>
          <w:szCs w:val="28"/>
          <w:lang w:val="en-US"/>
        </w:rPr>
        <w:t>县畜牧业规模</w:t>
      </w:r>
      <w:r>
        <w:rPr>
          <w:rFonts w:hint="eastAsia" w:eastAsia="仿宋"/>
          <w:b/>
          <w:bCs/>
          <w:szCs w:val="28"/>
          <w:lang w:val="en-US" w:eastAsia="zh-CN"/>
        </w:rPr>
        <w:t>及</w:t>
      </w:r>
      <w:r>
        <w:rPr>
          <w:rFonts w:hint="default" w:eastAsia="仿宋"/>
          <w:b/>
          <w:bCs/>
          <w:szCs w:val="28"/>
          <w:lang w:val="en-US"/>
        </w:rPr>
        <w:t>猪当量</w:t>
      </w:r>
    </w:p>
    <w:tbl>
      <w:tblPr>
        <w:tblStyle w:val="18"/>
        <w:tblW w:w="90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86"/>
        <w:gridCol w:w="1200"/>
        <w:gridCol w:w="1207"/>
        <w:gridCol w:w="1000"/>
        <w:gridCol w:w="1471"/>
        <w:gridCol w:w="950"/>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5" w:type="dxa"/>
            <w:shd w:val="clear" w:color="auto" w:fill="BFBFBF"/>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项目</w:t>
            </w:r>
          </w:p>
        </w:tc>
        <w:tc>
          <w:tcPr>
            <w:tcW w:w="1186" w:type="dxa"/>
            <w:shd w:val="clear" w:color="auto" w:fill="BFBFBF"/>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生猪（头）</w:t>
            </w:r>
          </w:p>
        </w:tc>
        <w:tc>
          <w:tcPr>
            <w:tcW w:w="1200" w:type="dxa"/>
            <w:shd w:val="clear" w:color="auto" w:fill="BFBFBF"/>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奶牛（头）</w:t>
            </w:r>
          </w:p>
        </w:tc>
        <w:tc>
          <w:tcPr>
            <w:tcW w:w="1207" w:type="dxa"/>
            <w:shd w:val="clear" w:color="auto" w:fill="BFBFBF"/>
            <w:noWrap w:val="0"/>
            <w:vAlign w:val="center"/>
          </w:tcPr>
          <w:p>
            <w:pPr>
              <w:widowControl/>
              <w:spacing w:line="240" w:lineRule="auto"/>
              <w:ind w:firstLine="0" w:firstLineChars="0"/>
              <w:jc w:val="center"/>
              <w:textAlignment w:val="center"/>
              <w:rPr>
                <w:rFonts w:hint="default" w:ascii="楷体" w:hAnsi="楷体" w:eastAsia="楷体" w:cs="楷体"/>
                <w:bCs/>
                <w:sz w:val="24"/>
                <w:lang w:val="en-US"/>
              </w:rPr>
            </w:pPr>
            <w:r>
              <w:rPr>
                <w:rFonts w:ascii="楷体" w:hAnsi="楷体" w:eastAsia="楷体" w:cs="楷体"/>
                <w:bCs/>
                <w:sz w:val="24"/>
                <w:lang w:val="en-US"/>
              </w:rPr>
              <w:t>肉牛（头）</w:t>
            </w:r>
          </w:p>
        </w:tc>
        <w:tc>
          <w:tcPr>
            <w:tcW w:w="1000" w:type="dxa"/>
            <w:shd w:val="clear" w:color="auto" w:fill="BFBFBF"/>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羊（只）</w:t>
            </w:r>
          </w:p>
        </w:tc>
        <w:tc>
          <w:tcPr>
            <w:tcW w:w="1471" w:type="dxa"/>
            <w:shd w:val="clear" w:color="auto" w:fill="BFBFBF"/>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家禽（万羽）</w:t>
            </w:r>
          </w:p>
        </w:tc>
        <w:tc>
          <w:tcPr>
            <w:tcW w:w="950" w:type="dxa"/>
            <w:shd w:val="clear" w:color="auto" w:fill="BFBFBF"/>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兔（只）</w:t>
            </w:r>
          </w:p>
        </w:tc>
        <w:tc>
          <w:tcPr>
            <w:tcW w:w="986" w:type="dxa"/>
            <w:shd w:val="clear" w:color="auto" w:fill="BFBFBF"/>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5" w:type="dxa"/>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存栏量</w:t>
            </w:r>
          </w:p>
        </w:tc>
        <w:tc>
          <w:tcPr>
            <w:tcW w:w="1186" w:type="dxa"/>
            <w:noWrap w:val="0"/>
            <w:vAlign w:val="center"/>
          </w:tcPr>
          <w:p>
            <w:pPr>
              <w:adjustRightInd w:val="0"/>
              <w:snapToGrid w:val="0"/>
              <w:spacing w:line="600" w:lineRule="exact"/>
              <w:ind w:firstLine="0" w:firstLineChars="0"/>
              <w:jc w:val="center"/>
              <w:rPr>
                <w:rFonts w:eastAsia="仿宋_GB2312"/>
                <w:sz w:val="24"/>
                <w:lang w:val="en-US"/>
              </w:rPr>
            </w:pPr>
            <w:r>
              <w:rPr>
                <w:rFonts w:hint="eastAsia" w:eastAsia="仿宋_GB2312"/>
                <w:sz w:val="24"/>
                <w:lang w:val="en-US" w:eastAsia="zh-CN"/>
              </w:rPr>
              <w:t>70</w:t>
            </w:r>
            <w:r>
              <w:rPr>
                <w:rFonts w:eastAsia="仿宋_GB2312"/>
                <w:sz w:val="24"/>
                <w:lang w:val="en-US"/>
              </w:rPr>
              <w:t>000</w:t>
            </w:r>
          </w:p>
        </w:tc>
        <w:tc>
          <w:tcPr>
            <w:tcW w:w="1200" w:type="dxa"/>
            <w:noWrap w:val="0"/>
            <w:vAlign w:val="center"/>
          </w:tcPr>
          <w:p>
            <w:pPr>
              <w:adjustRightInd w:val="0"/>
              <w:snapToGrid w:val="0"/>
              <w:spacing w:line="600" w:lineRule="exact"/>
              <w:ind w:firstLine="0" w:firstLineChars="0"/>
              <w:jc w:val="center"/>
              <w:rPr>
                <w:rFonts w:eastAsia="仿宋_GB2312"/>
                <w:sz w:val="24"/>
                <w:lang w:val="en-US"/>
              </w:rPr>
            </w:pPr>
            <w:r>
              <w:rPr>
                <w:rFonts w:eastAsia="仿宋_GB2312"/>
                <w:sz w:val="24"/>
                <w:lang w:val="en-US"/>
              </w:rPr>
              <w:t>2</w:t>
            </w:r>
            <w:r>
              <w:rPr>
                <w:rFonts w:hint="eastAsia" w:eastAsia="仿宋_GB2312"/>
                <w:sz w:val="24"/>
                <w:lang w:val="en-US" w:eastAsia="zh-CN"/>
              </w:rPr>
              <w:t>0</w:t>
            </w:r>
            <w:r>
              <w:rPr>
                <w:rFonts w:eastAsia="仿宋_GB2312"/>
                <w:sz w:val="24"/>
                <w:lang w:val="en-US"/>
              </w:rPr>
              <w:t>000</w:t>
            </w:r>
          </w:p>
        </w:tc>
        <w:tc>
          <w:tcPr>
            <w:tcW w:w="1207"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3000</w:t>
            </w:r>
          </w:p>
        </w:tc>
        <w:tc>
          <w:tcPr>
            <w:tcW w:w="1000" w:type="dxa"/>
            <w:noWrap w:val="0"/>
            <w:vAlign w:val="center"/>
          </w:tcPr>
          <w:p>
            <w:pPr>
              <w:adjustRightInd w:val="0"/>
              <w:snapToGrid w:val="0"/>
              <w:spacing w:line="600" w:lineRule="exact"/>
              <w:ind w:firstLine="0" w:firstLineChars="0"/>
              <w:jc w:val="center"/>
              <w:rPr>
                <w:rFonts w:eastAsia="仿宋_GB2312"/>
                <w:sz w:val="24"/>
                <w:lang w:val="en-US"/>
              </w:rPr>
            </w:pPr>
            <w:r>
              <w:rPr>
                <w:rFonts w:eastAsia="仿宋_GB2312"/>
                <w:sz w:val="24"/>
                <w:lang w:val="en-US"/>
              </w:rPr>
              <w:t>15000</w:t>
            </w:r>
          </w:p>
        </w:tc>
        <w:tc>
          <w:tcPr>
            <w:tcW w:w="1471" w:type="dxa"/>
            <w:noWrap w:val="0"/>
            <w:vAlign w:val="center"/>
          </w:tcPr>
          <w:p>
            <w:pPr>
              <w:adjustRightInd w:val="0"/>
              <w:snapToGrid w:val="0"/>
              <w:spacing w:line="600" w:lineRule="exact"/>
              <w:ind w:firstLine="480"/>
              <w:jc w:val="both"/>
              <w:rPr>
                <w:rFonts w:eastAsia="仿宋_GB2312"/>
                <w:sz w:val="24"/>
                <w:lang w:val="en-US"/>
              </w:rPr>
            </w:pPr>
            <w:r>
              <w:rPr>
                <w:rFonts w:eastAsia="仿宋_GB2312"/>
                <w:sz w:val="24"/>
                <w:lang w:val="en-US"/>
              </w:rPr>
              <w:t>70</w:t>
            </w:r>
          </w:p>
        </w:tc>
        <w:tc>
          <w:tcPr>
            <w:tcW w:w="950"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4000</w:t>
            </w:r>
          </w:p>
        </w:tc>
        <w:tc>
          <w:tcPr>
            <w:tcW w:w="986" w:type="dxa"/>
            <w:noWrap w:val="0"/>
            <w:vAlign w:val="center"/>
          </w:tcPr>
          <w:p>
            <w:pPr>
              <w:adjustRightInd w:val="0"/>
              <w:snapToGrid w:val="0"/>
              <w:spacing w:line="600" w:lineRule="exact"/>
              <w:ind w:firstLine="480"/>
              <w:jc w:val="center"/>
              <w:rPr>
                <w:rFonts w:eastAsia="仿宋_GB2312"/>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5" w:type="dxa"/>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出栏量</w:t>
            </w:r>
          </w:p>
        </w:tc>
        <w:tc>
          <w:tcPr>
            <w:tcW w:w="1186" w:type="dxa"/>
            <w:noWrap w:val="0"/>
            <w:vAlign w:val="center"/>
          </w:tcPr>
          <w:p>
            <w:pPr>
              <w:adjustRightInd w:val="0"/>
              <w:snapToGrid w:val="0"/>
              <w:spacing w:line="600" w:lineRule="exact"/>
              <w:ind w:firstLine="240" w:firstLineChars="100"/>
              <w:jc w:val="center"/>
              <w:rPr>
                <w:rFonts w:eastAsia="仿宋_GB2312"/>
                <w:sz w:val="24"/>
                <w:lang w:val="en-US"/>
              </w:rPr>
            </w:pPr>
            <w:r>
              <w:rPr>
                <w:rFonts w:eastAsia="仿宋_GB2312"/>
                <w:sz w:val="24"/>
                <w:lang w:val="en-US"/>
              </w:rPr>
              <w:t>1</w:t>
            </w:r>
            <w:r>
              <w:rPr>
                <w:rFonts w:hint="eastAsia" w:eastAsia="仿宋_GB2312"/>
                <w:sz w:val="24"/>
                <w:lang w:val="en-US" w:eastAsia="zh-CN"/>
              </w:rPr>
              <w:t>25</w:t>
            </w:r>
            <w:r>
              <w:rPr>
                <w:rFonts w:eastAsia="仿宋_GB2312"/>
                <w:sz w:val="24"/>
                <w:lang w:val="en-US"/>
              </w:rPr>
              <w:t>000</w:t>
            </w:r>
          </w:p>
        </w:tc>
        <w:tc>
          <w:tcPr>
            <w:tcW w:w="1200" w:type="dxa"/>
            <w:noWrap w:val="0"/>
            <w:vAlign w:val="center"/>
          </w:tcPr>
          <w:p>
            <w:pPr>
              <w:adjustRightInd w:val="0"/>
              <w:snapToGrid w:val="0"/>
              <w:spacing w:line="600" w:lineRule="exact"/>
              <w:ind w:firstLine="0" w:firstLineChars="0"/>
              <w:jc w:val="center"/>
              <w:rPr>
                <w:rFonts w:hint="default" w:eastAsia="仿宋_GB2312"/>
                <w:sz w:val="24"/>
                <w:lang w:val="en-US" w:eastAsia="zh-CN"/>
              </w:rPr>
            </w:pPr>
            <w:r>
              <w:rPr>
                <w:rFonts w:hint="eastAsia" w:eastAsia="仿宋_GB2312"/>
                <w:sz w:val="24"/>
                <w:lang w:val="en-US" w:eastAsia="zh-CN"/>
              </w:rPr>
              <w:t>1000</w:t>
            </w:r>
          </w:p>
        </w:tc>
        <w:tc>
          <w:tcPr>
            <w:tcW w:w="1207"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hint="eastAsia" w:eastAsia="仿宋_GB2312"/>
                <w:sz w:val="24"/>
                <w:lang w:val="en-US" w:eastAsia="zh-CN"/>
              </w:rPr>
              <w:t>20</w:t>
            </w:r>
            <w:r>
              <w:rPr>
                <w:rFonts w:eastAsia="仿宋_GB2312"/>
                <w:sz w:val="24"/>
                <w:lang w:val="en-US"/>
              </w:rPr>
              <w:t>00</w:t>
            </w:r>
          </w:p>
        </w:tc>
        <w:tc>
          <w:tcPr>
            <w:tcW w:w="1000" w:type="dxa"/>
            <w:noWrap w:val="0"/>
            <w:vAlign w:val="center"/>
          </w:tcPr>
          <w:p>
            <w:pPr>
              <w:adjustRightInd w:val="0"/>
              <w:snapToGrid w:val="0"/>
              <w:spacing w:line="600" w:lineRule="exact"/>
              <w:ind w:firstLine="0" w:firstLineChars="0"/>
              <w:jc w:val="center"/>
              <w:rPr>
                <w:rFonts w:eastAsia="仿宋_GB2312"/>
                <w:sz w:val="24"/>
                <w:lang w:val="en-US"/>
              </w:rPr>
            </w:pPr>
            <w:r>
              <w:rPr>
                <w:rFonts w:eastAsia="仿宋_GB2312"/>
                <w:sz w:val="24"/>
                <w:lang w:val="en-US"/>
              </w:rPr>
              <w:t>20000</w:t>
            </w:r>
          </w:p>
        </w:tc>
        <w:tc>
          <w:tcPr>
            <w:tcW w:w="1471" w:type="dxa"/>
            <w:noWrap w:val="0"/>
            <w:vAlign w:val="center"/>
          </w:tcPr>
          <w:p>
            <w:pPr>
              <w:adjustRightInd w:val="0"/>
              <w:snapToGrid w:val="0"/>
              <w:spacing w:line="600" w:lineRule="exact"/>
              <w:ind w:firstLine="480"/>
              <w:jc w:val="both"/>
              <w:rPr>
                <w:rFonts w:eastAsia="仿宋_GB2312"/>
                <w:sz w:val="24"/>
                <w:lang w:val="en-US"/>
              </w:rPr>
            </w:pPr>
            <w:r>
              <w:rPr>
                <w:rFonts w:eastAsia="仿宋_GB2312"/>
                <w:sz w:val="24"/>
                <w:lang w:val="en-US"/>
              </w:rPr>
              <w:t>150</w:t>
            </w:r>
          </w:p>
        </w:tc>
        <w:tc>
          <w:tcPr>
            <w:tcW w:w="950"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8000</w:t>
            </w:r>
          </w:p>
        </w:tc>
        <w:tc>
          <w:tcPr>
            <w:tcW w:w="986" w:type="dxa"/>
            <w:noWrap w:val="0"/>
            <w:vAlign w:val="center"/>
          </w:tcPr>
          <w:p>
            <w:pPr>
              <w:adjustRightInd w:val="0"/>
              <w:snapToGrid w:val="0"/>
              <w:spacing w:line="600" w:lineRule="exact"/>
              <w:ind w:firstLine="480"/>
              <w:jc w:val="center"/>
              <w:rPr>
                <w:rFonts w:eastAsia="仿宋_GB2312"/>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5" w:type="dxa"/>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出栏率</w:t>
            </w:r>
          </w:p>
        </w:tc>
        <w:tc>
          <w:tcPr>
            <w:tcW w:w="1186"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1.64</w:t>
            </w:r>
          </w:p>
        </w:tc>
        <w:tc>
          <w:tcPr>
            <w:tcW w:w="1200" w:type="dxa"/>
            <w:noWrap w:val="0"/>
            <w:vAlign w:val="center"/>
          </w:tcPr>
          <w:p>
            <w:pPr>
              <w:adjustRightInd w:val="0"/>
              <w:snapToGrid w:val="0"/>
              <w:spacing w:line="600" w:lineRule="exact"/>
              <w:ind w:firstLine="0" w:firstLineChars="0"/>
              <w:jc w:val="center"/>
              <w:rPr>
                <w:rFonts w:eastAsia="仿宋_GB2312"/>
                <w:sz w:val="24"/>
                <w:lang w:val="en-US"/>
              </w:rPr>
            </w:pPr>
            <w:r>
              <w:rPr>
                <w:rFonts w:eastAsia="仿宋_GB2312"/>
                <w:sz w:val="24"/>
                <w:lang w:val="en-US"/>
              </w:rPr>
              <w:t>-</w:t>
            </w:r>
          </w:p>
        </w:tc>
        <w:tc>
          <w:tcPr>
            <w:tcW w:w="1207" w:type="dxa"/>
            <w:noWrap w:val="0"/>
            <w:vAlign w:val="center"/>
          </w:tcPr>
          <w:p>
            <w:pPr>
              <w:adjustRightInd w:val="0"/>
              <w:snapToGrid w:val="0"/>
              <w:spacing w:line="600" w:lineRule="exact"/>
              <w:ind w:firstLine="0" w:firstLineChars="0"/>
              <w:jc w:val="center"/>
              <w:rPr>
                <w:rFonts w:hint="default" w:eastAsia="仿宋_GB2312"/>
                <w:sz w:val="24"/>
                <w:lang w:val="en-US" w:eastAsia="zh-CN"/>
              </w:rPr>
            </w:pPr>
            <w:r>
              <w:rPr>
                <w:rFonts w:eastAsia="仿宋_GB2312"/>
                <w:sz w:val="24"/>
                <w:lang w:val="en-US"/>
              </w:rPr>
              <w:t>0.</w:t>
            </w:r>
            <w:r>
              <w:rPr>
                <w:rFonts w:hint="eastAsia" w:eastAsia="仿宋_GB2312"/>
                <w:sz w:val="24"/>
                <w:lang w:val="en-US" w:eastAsia="zh-CN"/>
              </w:rPr>
              <w:t>67</w:t>
            </w:r>
          </w:p>
        </w:tc>
        <w:tc>
          <w:tcPr>
            <w:tcW w:w="1000" w:type="dxa"/>
            <w:noWrap w:val="0"/>
            <w:vAlign w:val="center"/>
          </w:tcPr>
          <w:p>
            <w:pPr>
              <w:adjustRightInd w:val="0"/>
              <w:snapToGrid w:val="0"/>
              <w:spacing w:line="600" w:lineRule="exact"/>
              <w:ind w:firstLine="0" w:firstLineChars="0"/>
              <w:jc w:val="center"/>
              <w:rPr>
                <w:rFonts w:eastAsia="仿宋_GB2312"/>
                <w:sz w:val="24"/>
                <w:lang w:val="en-US"/>
              </w:rPr>
            </w:pPr>
            <w:r>
              <w:rPr>
                <w:rFonts w:eastAsia="仿宋_GB2312"/>
                <w:sz w:val="24"/>
                <w:lang w:val="en-US"/>
              </w:rPr>
              <w:t>1.33</w:t>
            </w:r>
          </w:p>
        </w:tc>
        <w:tc>
          <w:tcPr>
            <w:tcW w:w="1471"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2.14</w:t>
            </w:r>
          </w:p>
        </w:tc>
        <w:tc>
          <w:tcPr>
            <w:tcW w:w="950" w:type="dxa"/>
            <w:noWrap w:val="0"/>
            <w:vAlign w:val="center"/>
          </w:tcPr>
          <w:p>
            <w:pPr>
              <w:adjustRightInd w:val="0"/>
              <w:snapToGrid w:val="0"/>
              <w:spacing w:line="600" w:lineRule="exact"/>
              <w:ind w:firstLine="0" w:firstLineChars="0"/>
              <w:jc w:val="center"/>
              <w:rPr>
                <w:rFonts w:eastAsia="仿宋_GB2312"/>
                <w:sz w:val="24"/>
                <w:lang w:val="en-US"/>
              </w:rPr>
            </w:pPr>
            <w:r>
              <w:rPr>
                <w:rFonts w:eastAsia="仿宋_GB2312"/>
                <w:sz w:val="24"/>
                <w:lang w:val="en-US"/>
              </w:rPr>
              <w:t>2</w:t>
            </w:r>
          </w:p>
        </w:tc>
        <w:tc>
          <w:tcPr>
            <w:tcW w:w="986" w:type="dxa"/>
            <w:noWrap w:val="0"/>
            <w:vAlign w:val="center"/>
          </w:tcPr>
          <w:p>
            <w:pPr>
              <w:adjustRightInd w:val="0"/>
              <w:snapToGrid w:val="0"/>
              <w:spacing w:line="600" w:lineRule="exact"/>
              <w:ind w:firstLine="480"/>
              <w:jc w:val="center"/>
              <w:rPr>
                <w:rFonts w:eastAsia="仿宋_GB2312"/>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5" w:type="dxa"/>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猪当量（个）</w:t>
            </w:r>
          </w:p>
        </w:tc>
        <w:tc>
          <w:tcPr>
            <w:tcW w:w="1186" w:type="dxa"/>
            <w:noWrap w:val="0"/>
            <w:vAlign w:val="center"/>
          </w:tcPr>
          <w:p>
            <w:pPr>
              <w:adjustRightInd w:val="0"/>
              <w:snapToGrid w:val="0"/>
              <w:spacing w:line="600" w:lineRule="exact"/>
              <w:ind w:firstLine="0" w:firstLineChars="0"/>
              <w:jc w:val="center"/>
              <w:rPr>
                <w:rFonts w:eastAsia="仿宋_GB2312"/>
                <w:sz w:val="24"/>
                <w:lang w:val="en-US"/>
              </w:rPr>
            </w:pPr>
            <w:r>
              <w:rPr>
                <w:rFonts w:hint="eastAsia" w:eastAsia="仿宋_GB2312"/>
                <w:sz w:val="24"/>
                <w:lang w:val="en-US" w:eastAsia="zh-CN"/>
              </w:rPr>
              <w:t>70</w:t>
            </w:r>
            <w:r>
              <w:rPr>
                <w:rFonts w:eastAsia="仿宋_GB2312"/>
                <w:sz w:val="24"/>
                <w:lang w:val="en-US"/>
              </w:rPr>
              <w:t>000</w:t>
            </w:r>
          </w:p>
        </w:tc>
        <w:tc>
          <w:tcPr>
            <w:tcW w:w="1200" w:type="dxa"/>
            <w:noWrap w:val="0"/>
            <w:vAlign w:val="center"/>
          </w:tcPr>
          <w:p>
            <w:pPr>
              <w:adjustRightInd w:val="0"/>
              <w:snapToGrid w:val="0"/>
              <w:spacing w:line="600" w:lineRule="exact"/>
              <w:ind w:firstLine="0" w:firstLineChars="0"/>
              <w:jc w:val="center"/>
              <w:rPr>
                <w:rFonts w:hint="default" w:eastAsia="仿宋_GB2312"/>
                <w:sz w:val="24"/>
                <w:lang w:val="en-US" w:eastAsia="zh-CN"/>
              </w:rPr>
            </w:pPr>
            <w:r>
              <w:rPr>
                <w:rFonts w:hint="eastAsia" w:eastAsia="仿宋_GB2312"/>
                <w:sz w:val="24"/>
                <w:lang w:val="en-US" w:eastAsia="zh-CN"/>
              </w:rPr>
              <w:t>200000</w:t>
            </w:r>
          </w:p>
        </w:tc>
        <w:tc>
          <w:tcPr>
            <w:tcW w:w="1207"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1</w:t>
            </w:r>
            <w:r>
              <w:rPr>
                <w:rFonts w:hint="eastAsia" w:eastAsia="仿宋_GB2312"/>
                <w:sz w:val="24"/>
                <w:lang w:val="en-US" w:eastAsia="zh-CN"/>
              </w:rPr>
              <w:t>5</w:t>
            </w:r>
            <w:r>
              <w:rPr>
                <w:rFonts w:eastAsia="仿宋_GB2312"/>
                <w:sz w:val="24"/>
                <w:lang w:val="en-US"/>
              </w:rPr>
              <w:t>000</w:t>
            </w:r>
          </w:p>
        </w:tc>
        <w:tc>
          <w:tcPr>
            <w:tcW w:w="1000" w:type="dxa"/>
            <w:noWrap w:val="0"/>
            <w:vAlign w:val="center"/>
          </w:tcPr>
          <w:p>
            <w:pPr>
              <w:adjustRightInd w:val="0"/>
              <w:snapToGrid w:val="0"/>
              <w:spacing w:line="600" w:lineRule="exact"/>
              <w:ind w:firstLine="0" w:firstLineChars="0"/>
              <w:jc w:val="center"/>
              <w:rPr>
                <w:rFonts w:eastAsia="仿宋_GB2312"/>
                <w:sz w:val="24"/>
                <w:lang w:val="en-US"/>
              </w:rPr>
            </w:pPr>
            <w:r>
              <w:rPr>
                <w:rFonts w:hint="eastAsia" w:eastAsia="仿宋_GB2312"/>
                <w:sz w:val="24"/>
                <w:lang w:val="en-US" w:eastAsia="zh-CN"/>
              </w:rPr>
              <w:t>5</w:t>
            </w:r>
            <w:r>
              <w:rPr>
                <w:rFonts w:eastAsia="仿宋_GB2312"/>
                <w:sz w:val="24"/>
                <w:lang w:val="en-US"/>
              </w:rPr>
              <w:t>000</w:t>
            </w:r>
          </w:p>
        </w:tc>
        <w:tc>
          <w:tcPr>
            <w:tcW w:w="1471" w:type="dxa"/>
            <w:noWrap w:val="0"/>
            <w:vAlign w:val="center"/>
          </w:tcPr>
          <w:p>
            <w:pPr>
              <w:adjustRightInd w:val="0"/>
              <w:snapToGrid w:val="0"/>
              <w:spacing w:line="600" w:lineRule="exact"/>
              <w:ind w:firstLine="0" w:firstLineChars="0"/>
              <w:jc w:val="center"/>
              <w:rPr>
                <w:rFonts w:hint="default" w:eastAsia="仿宋_GB2312"/>
                <w:sz w:val="24"/>
                <w:lang w:val="en-US" w:eastAsia="zh-CN"/>
              </w:rPr>
            </w:pPr>
            <w:r>
              <w:rPr>
                <w:rFonts w:hint="eastAsia" w:eastAsia="仿宋_GB2312"/>
                <w:sz w:val="24"/>
                <w:lang w:val="en-US" w:eastAsia="zh-CN"/>
              </w:rPr>
              <w:t>15555</w:t>
            </w:r>
          </w:p>
        </w:tc>
        <w:tc>
          <w:tcPr>
            <w:tcW w:w="950"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133</w:t>
            </w:r>
          </w:p>
        </w:tc>
        <w:tc>
          <w:tcPr>
            <w:tcW w:w="986" w:type="dxa"/>
            <w:noWrap w:val="0"/>
            <w:vAlign w:val="center"/>
          </w:tcPr>
          <w:p>
            <w:pPr>
              <w:adjustRightInd w:val="0"/>
              <w:snapToGrid w:val="0"/>
              <w:spacing w:line="600" w:lineRule="exact"/>
              <w:ind w:firstLine="0" w:firstLineChars="0"/>
              <w:jc w:val="center"/>
              <w:rPr>
                <w:rFonts w:hint="default" w:eastAsia="仿宋_GB2312"/>
                <w:sz w:val="24"/>
                <w:lang w:val="en-US" w:eastAsia="zh-CN"/>
              </w:rPr>
            </w:pPr>
            <w:r>
              <w:rPr>
                <w:rFonts w:hint="eastAsia" w:eastAsia="仿宋_GB2312"/>
                <w:sz w:val="24"/>
                <w:lang w:val="en-US" w:eastAsia="zh-CN"/>
              </w:rPr>
              <w:t>305688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85" w:type="dxa"/>
            <w:noWrap w:val="0"/>
            <w:vAlign w:val="center"/>
          </w:tcPr>
          <w:p>
            <w:pPr>
              <w:widowControl/>
              <w:spacing w:line="240" w:lineRule="auto"/>
              <w:ind w:firstLine="0" w:firstLineChars="0"/>
              <w:jc w:val="center"/>
              <w:textAlignment w:val="center"/>
              <w:rPr>
                <w:rFonts w:ascii="楷体" w:hAnsi="楷体" w:eastAsia="楷体" w:cs="楷体"/>
                <w:bCs/>
                <w:sz w:val="24"/>
                <w:lang w:val="en-US"/>
              </w:rPr>
            </w:pPr>
            <w:r>
              <w:rPr>
                <w:rFonts w:ascii="楷体" w:hAnsi="楷体" w:eastAsia="楷体" w:cs="楷体"/>
                <w:bCs/>
                <w:sz w:val="24"/>
                <w:lang w:val="en-US"/>
              </w:rPr>
              <w:t>养殖比重（%）</w:t>
            </w:r>
          </w:p>
        </w:tc>
        <w:tc>
          <w:tcPr>
            <w:tcW w:w="1186" w:type="dxa"/>
            <w:noWrap w:val="0"/>
            <w:vAlign w:val="center"/>
          </w:tcPr>
          <w:p>
            <w:pPr>
              <w:adjustRightInd w:val="0"/>
              <w:snapToGrid w:val="0"/>
              <w:spacing w:line="600" w:lineRule="exact"/>
              <w:ind w:firstLine="0" w:firstLineChars="0"/>
              <w:jc w:val="center"/>
              <w:rPr>
                <w:rFonts w:eastAsia="仿宋_GB2312"/>
                <w:sz w:val="24"/>
                <w:lang w:val="en-US"/>
              </w:rPr>
            </w:pPr>
            <w:r>
              <w:rPr>
                <w:rFonts w:eastAsia="仿宋_GB2312"/>
                <w:sz w:val="24"/>
                <w:lang w:val="en-US"/>
              </w:rPr>
              <w:t>2</w:t>
            </w:r>
            <w:r>
              <w:rPr>
                <w:rFonts w:hint="eastAsia" w:eastAsia="仿宋_GB2312"/>
                <w:sz w:val="24"/>
                <w:lang w:val="en-US" w:eastAsia="zh-CN"/>
              </w:rPr>
              <w:t>2</w:t>
            </w:r>
            <w:r>
              <w:rPr>
                <w:rFonts w:eastAsia="仿宋_GB2312"/>
                <w:sz w:val="24"/>
                <w:lang w:val="en-US"/>
              </w:rPr>
              <w:t>.</w:t>
            </w:r>
            <w:r>
              <w:rPr>
                <w:rFonts w:hint="eastAsia" w:eastAsia="仿宋_GB2312"/>
                <w:sz w:val="24"/>
                <w:lang w:val="en-US" w:eastAsia="zh-CN"/>
              </w:rPr>
              <w:t>90</w:t>
            </w:r>
            <w:r>
              <w:rPr>
                <w:rFonts w:eastAsia="仿宋_GB2312"/>
                <w:sz w:val="24"/>
                <w:lang w:val="en-US"/>
              </w:rPr>
              <w:t>%</w:t>
            </w:r>
          </w:p>
        </w:tc>
        <w:tc>
          <w:tcPr>
            <w:tcW w:w="1200" w:type="dxa"/>
            <w:noWrap w:val="0"/>
            <w:vAlign w:val="center"/>
          </w:tcPr>
          <w:p>
            <w:pPr>
              <w:adjustRightInd w:val="0"/>
              <w:snapToGrid w:val="0"/>
              <w:spacing w:line="600" w:lineRule="exact"/>
              <w:ind w:firstLine="0" w:firstLineChars="0"/>
              <w:jc w:val="center"/>
              <w:rPr>
                <w:rFonts w:eastAsia="仿宋_GB2312"/>
                <w:sz w:val="24"/>
                <w:lang w:val="en-US"/>
              </w:rPr>
            </w:pPr>
            <w:r>
              <w:rPr>
                <w:rFonts w:hint="eastAsia" w:eastAsia="仿宋_GB2312"/>
                <w:sz w:val="24"/>
                <w:lang w:val="en-US" w:eastAsia="zh-CN"/>
              </w:rPr>
              <w:t>65</w:t>
            </w:r>
            <w:r>
              <w:rPr>
                <w:rFonts w:eastAsia="仿宋_GB2312"/>
                <w:sz w:val="24"/>
                <w:lang w:val="en-US"/>
              </w:rPr>
              <w:t>.</w:t>
            </w:r>
            <w:r>
              <w:rPr>
                <w:rFonts w:hint="eastAsia" w:eastAsia="仿宋_GB2312"/>
                <w:sz w:val="24"/>
                <w:lang w:val="en-US" w:eastAsia="zh-CN"/>
              </w:rPr>
              <w:t>43</w:t>
            </w:r>
            <w:r>
              <w:rPr>
                <w:rFonts w:eastAsia="仿宋_GB2312"/>
                <w:sz w:val="24"/>
                <w:lang w:val="en-US"/>
              </w:rPr>
              <w:t>%</w:t>
            </w:r>
          </w:p>
        </w:tc>
        <w:tc>
          <w:tcPr>
            <w:tcW w:w="1207"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hint="eastAsia" w:eastAsia="仿宋_GB2312"/>
                <w:sz w:val="24"/>
                <w:lang w:val="en-US" w:eastAsia="zh-CN"/>
              </w:rPr>
              <w:t>4</w:t>
            </w:r>
            <w:r>
              <w:rPr>
                <w:rFonts w:eastAsia="仿宋_GB2312"/>
                <w:sz w:val="24"/>
                <w:lang w:val="en-US"/>
              </w:rPr>
              <w:t>.9</w:t>
            </w:r>
            <w:r>
              <w:rPr>
                <w:rFonts w:hint="eastAsia" w:eastAsia="仿宋_GB2312"/>
                <w:sz w:val="24"/>
                <w:lang w:val="en-US" w:eastAsia="zh-CN"/>
              </w:rPr>
              <w:t>1</w:t>
            </w:r>
            <w:r>
              <w:rPr>
                <w:rFonts w:eastAsia="仿宋_GB2312"/>
                <w:sz w:val="24"/>
                <w:lang w:val="en-US"/>
              </w:rPr>
              <w:t>%</w:t>
            </w:r>
          </w:p>
        </w:tc>
        <w:tc>
          <w:tcPr>
            <w:tcW w:w="1000" w:type="dxa"/>
            <w:noWrap w:val="0"/>
            <w:vAlign w:val="center"/>
          </w:tcPr>
          <w:p>
            <w:pPr>
              <w:adjustRightInd w:val="0"/>
              <w:snapToGrid w:val="0"/>
              <w:spacing w:line="600" w:lineRule="exact"/>
              <w:ind w:firstLine="0" w:firstLineChars="0"/>
              <w:jc w:val="center"/>
              <w:rPr>
                <w:rFonts w:eastAsia="仿宋_GB2312"/>
                <w:sz w:val="24"/>
                <w:lang w:val="en-US"/>
              </w:rPr>
            </w:pPr>
            <w:r>
              <w:rPr>
                <w:rFonts w:hint="eastAsia" w:eastAsia="仿宋_GB2312"/>
                <w:sz w:val="24"/>
                <w:lang w:val="en-US" w:eastAsia="zh-CN"/>
              </w:rPr>
              <w:t>1</w:t>
            </w:r>
            <w:r>
              <w:rPr>
                <w:rFonts w:eastAsia="仿宋_GB2312"/>
                <w:sz w:val="24"/>
                <w:lang w:val="en-US"/>
              </w:rPr>
              <w:t>.</w:t>
            </w:r>
            <w:r>
              <w:rPr>
                <w:rFonts w:hint="eastAsia" w:eastAsia="仿宋_GB2312"/>
                <w:sz w:val="24"/>
                <w:lang w:val="en-US" w:eastAsia="zh-CN"/>
              </w:rPr>
              <w:t>64</w:t>
            </w:r>
            <w:r>
              <w:rPr>
                <w:rFonts w:eastAsia="仿宋_GB2312"/>
                <w:sz w:val="24"/>
                <w:lang w:val="en-US"/>
              </w:rPr>
              <w:t>%</w:t>
            </w:r>
          </w:p>
        </w:tc>
        <w:tc>
          <w:tcPr>
            <w:tcW w:w="1471" w:type="dxa"/>
            <w:noWrap w:val="0"/>
            <w:vAlign w:val="center"/>
          </w:tcPr>
          <w:p>
            <w:pPr>
              <w:adjustRightInd w:val="0"/>
              <w:snapToGrid w:val="0"/>
              <w:spacing w:line="600" w:lineRule="exact"/>
              <w:ind w:firstLine="0" w:firstLineChars="0"/>
              <w:jc w:val="center"/>
              <w:rPr>
                <w:rFonts w:eastAsia="仿宋_GB2312"/>
                <w:sz w:val="24"/>
                <w:lang w:val="en-US"/>
              </w:rPr>
            </w:pPr>
            <w:r>
              <w:rPr>
                <w:rFonts w:hint="eastAsia" w:eastAsia="仿宋_GB2312"/>
                <w:sz w:val="24"/>
                <w:lang w:val="en-US" w:eastAsia="zh-CN"/>
              </w:rPr>
              <w:t>5</w:t>
            </w:r>
            <w:r>
              <w:rPr>
                <w:rFonts w:eastAsia="仿宋_GB2312"/>
                <w:sz w:val="24"/>
                <w:lang w:val="en-US"/>
              </w:rPr>
              <w:t>.</w:t>
            </w:r>
            <w:r>
              <w:rPr>
                <w:rFonts w:hint="eastAsia" w:eastAsia="仿宋_GB2312"/>
                <w:sz w:val="24"/>
                <w:lang w:val="en-US" w:eastAsia="zh-CN"/>
              </w:rPr>
              <w:t>09</w:t>
            </w:r>
            <w:r>
              <w:rPr>
                <w:rFonts w:eastAsia="仿宋_GB2312"/>
                <w:sz w:val="24"/>
                <w:lang w:val="en-US"/>
              </w:rPr>
              <w:t>%</w:t>
            </w:r>
          </w:p>
        </w:tc>
        <w:tc>
          <w:tcPr>
            <w:tcW w:w="950" w:type="dxa"/>
            <w:noWrap w:val="0"/>
            <w:vAlign w:val="center"/>
          </w:tcPr>
          <w:p>
            <w:pPr>
              <w:adjustRightInd w:val="0"/>
              <w:snapToGrid w:val="0"/>
              <w:spacing w:line="600" w:lineRule="exact"/>
              <w:ind w:firstLine="0" w:firstLineChars="0"/>
              <w:jc w:val="center"/>
              <w:rPr>
                <w:rFonts w:hint="default" w:eastAsia="仿宋_GB2312"/>
                <w:sz w:val="24"/>
                <w:lang w:val="en-US"/>
              </w:rPr>
            </w:pPr>
            <w:r>
              <w:rPr>
                <w:rFonts w:eastAsia="仿宋_GB2312"/>
                <w:sz w:val="24"/>
                <w:lang w:val="en-US"/>
              </w:rPr>
              <w:t>0.0</w:t>
            </w:r>
            <w:r>
              <w:rPr>
                <w:rFonts w:hint="eastAsia" w:eastAsia="仿宋_GB2312"/>
                <w:sz w:val="24"/>
                <w:lang w:val="en-US" w:eastAsia="zh-CN"/>
              </w:rPr>
              <w:t>4</w:t>
            </w:r>
            <w:r>
              <w:rPr>
                <w:rFonts w:eastAsia="仿宋_GB2312"/>
                <w:sz w:val="24"/>
                <w:lang w:val="en-US"/>
              </w:rPr>
              <w:t>%</w:t>
            </w:r>
          </w:p>
        </w:tc>
        <w:tc>
          <w:tcPr>
            <w:tcW w:w="986" w:type="dxa"/>
            <w:noWrap w:val="0"/>
            <w:vAlign w:val="center"/>
          </w:tcPr>
          <w:p>
            <w:pPr>
              <w:adjustRightInd w:val="0"/>
              <w:snapToGrid w:val="0"/>
              <w:spacing w:line="600" w:lineRule="exact"/>
              <w:ind w:firstLine="480"/>
              <w:jc w:val="center"/>
              <w:rPr>
                <w:rFonts w:eastAsia="仿宋_GB2312"/>
                <w:sz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7149" w:type="dxa"/>
            <w:gridSpan w:val="6"/>
            <w:noWrap w:val="0"/>
            <w:vAlign w:val="center"/>
          </w:tcPr>
          <w:p>
            <w:pPr>
              <w:adjustRightInd w:val="0"/>
              <w:snapToGrid w:val="0"/>
              <w:spacing w:line="600" w:lineRule="exact"/>
              <w:ind w:firstLine="0" w:firstLineChars="0"/>
              <w:rPr>
                <w:rFonts w:eastAsia="仿宋_GB2312"/>
                <w:sz w:val="24"/>
                <w:lang w:val="en-US"/>
              </w:rPr>
            </w:pPr>
            <w:r>
              <w:rPr>
                <w:rFonts w:hint="default" w:eastAsia="仿宋_GB2312"/>
                <w:sz w:val="24"/>
                <w:lang w:val="en-US"/>
              </w:rPr>
              <w:t>备注：</w:t>
            </w:r>
            <w:r>
              <w:rPr>
                <w:rFonts w:hint="default" w:eastAsia="仿宋_GB2312"/>
                <w:sz w:val="24"/>
                <w:lang w:val="en-US" w:eastAsia="zh-CN"/>
              </w:rPr>
              <w:t xml:space="preserve">1 </w:t>
            </w:r>
            <w:r>
              <w:rPr>
                <w:rFonts w:hint="eastAsia" w:eastAsia="仿宋_GB2312"/>
                <w:sz w:val="24"/>
                <w:lang w:val="en-US" w:eastAsia="zh-CN"/>
              </w:rPr>
              <w:t>头猪</w:t>
            </w:r>
            <w:r>
              <w:rPr>
                <w:rFonts w:hint="default" w:eastAsia="仿宋_GB2312"/>
                <w:sz w:val="24"/>
                <w:lang w:val="en-US" w:eastAsia="zh-CN"/>
              </w:rPr>
              <w:t>=</w:t>
            </w:r>
            <w:r>
              <w:rPr>
                <w:rFonts w:hint="eastAsia" w:eastAsia="仿宋_GB2312"/>
                <w:sz w:val="24"/>
                <w:lang w:val="en-US" w:eastAsia="zh-CN"/>
              </w:rPr>
              <w:t>45羽家禽</w:t>
            </w:r>
            <w:r>
              <w:rPr>
                <w:rFonts w:hint="default" w:eastAsia="仿宋_GB2312"/>
                <w:sz w:val="24"/>
                <w:lang w:val="en-US" w:eastAsia="zh-CN"/>
              </w:rPr>
              <w:t>=3</w:t>
            </w:r>
            <w:r>
              <w:rPr>
                <w:rFonts w:hint="eastAsia" w:eastAsia="仿宋_GB2312"/>
                <w:sz w:val="24"/>
                <w:lang w:val="en-US" w:eastAsia="zh-CN"/>
              </w:rPr>
              <w:t>只羊</w:t>
            </w:r>
            <w:r>
              <w:rPr>
                <w:rFonts w:hint="default" w:eastAsia="仿宋_GB2312"/>
                <w:sz w:val="24"/>
                <w:lang w:val="en-US" w:eastAsia="zh-CN"/>
              </w:rPr>
              <w:t>=30</w:t>
            </w:r>
            <w:r>
              <w:rPr>
                <w:rFonts w:hint="eastAsia" w:eastAsia="仿宋_GB2312"/>
                <w:sz w:val="24"/>
                <w:lang w:val="en-US" w:eastAsia="zh-CN"/>
              </w:rPr>
              <w:t>只兔；</w:t>
            </w:r>
            <w:r>
              <w:rPr>
                <w:rFonts w:hint="default" w:eastAsia="仿宋_GB2312"/>
                <w:sz w:val="24"/>
                <w:lang w:val="en-US" w:eastAsia="zh-CN"/>
              </w:rPr>
              <w:t xml:space="preserve">1 </w:t>
            </w:r>
            <w:r>
              <w:rPr>
                <w:rFonts w:hint="eastAsia" w:eastAsia="仿宋_GB2312"/>
                <w:sz w:val="24"/>
                <w:lang w:val="en-US" w:eastAsia="zh-CN"/>
              </w:rPr>
              <w:t>头奶牛</w:t>
            </w:r>
            <w:r>
              <w:rPr>
                <w:rFonts w:hint="default" w:eastAsia="仿宋_GB2312"/>
                <w:sz w:val="24"/>
                <w:lang w:val="en-US" w:eastAsia="zh-CN"/>
              </w:rPr>
              <w:t xml:space="preserve">=10 </w:t>
            </w:r>
            <w:r>
              <w:rPr>
                <w:rFonts w:hint="eastAsia" w:eastAsia="仿宋_GB2312"/>
                <w:sz w:val="24"/>
                <w:lang w:val="en-US" w:eastAsia="zh-CN"/>
              </w:rPr>
              <w:t>头猪；</w:t>
            </w:r>
            <w:r>
              <w:rPr>
                <w:rFonts w:hint="default" w:eastAsia="仿宋_GB2312"/>
                <w:sz w:val="24"/>
                <w:lang w:val="en-US" w:eastAsia="zh-CN"/>
              </w:rPr>
              <w:t xml:space="preserve">1 </w:t>
            </w:r>
            <w:r>
              <w:rPr>
                <w:rFonts w:hint="eastAsia" w:eastAsia="仿宋_GB2312"/>
                <w:sz w:val="24"/>
                <w:lang w:val="en-US" w:eastAsia="zh-CN"/>
              </w:rPr>
              <w:t>头肉牛</w:t>
            </w:r>
            <w:r>
              <w:rPr>
                <w:rFonts w:hint="default" w:eastAsia="仿宋_GB2312"/>
                <w:sz w:val="24"/>
                <w:lang w:val="en-US" w:eastAsia="zh-CN"/>
              </w:rPr>
              <w:t xml:space="preserve">=5 </w:t>
            </w:r>
            <w:r>
              <w:rPr>
                <w:rFonts w:hint="eastAsia" w:eastAsia="仿宋_GB2312"/>
                <w:sz w:val="24"/>
                <w:lang w:val="en-US" w:eastAsia="zh-CN"/>
              </w:rPr>
              <w:t>头猪。</w:t>
            </w:r>
          </w:p>
        </w:tc>
        <w:tc>
          <w:tcPr>
            <w:tcW w:w="950" w:type="dxa"/>
            <w:noWrap w:val="0"/>
            <w:vAlign w:val="center"/>
          </w:tcPr>
          <w:p>
            <w:pPr>
              <w:adjustRightInd w:val="0"/>
              <w:snapToGrid w:val="0"/>
              <w:spacing w:line="600" w:lineRule="exact"/>
              <w:ind w:firstLine="0" w:firstLineChars="0"/>
              <w:rPr>
                <w:rFonts w:eastAsia="仿宋_GB2312"/>
                <w:sz w:val="24"/>
                <w:lang w:val="en-US"/>
              </w:rPr>
            </w:pPr>
          </w:p>
        </w:tc>
        <w:tc>
          <w:tcPr>
            <w:tcW w:w="986" w:type="dxa"/>
            <w:noWrap w:val="0"/>
            <w:vAlign w:val="center"/>
          </w:tcPr>
          <w:p>
            <w:pPr>
              <w:adjustRightInd w:val="0"/>
              <w:snapToGrid w:val="0"/>
              <w:spacing w:line="600" w:lineRule="exact"/>
              <w:ind w:firstLine="480"/>
              <w:rPr>
                <w:rFonts w:eastAsia="仿宋_GB2312"/>
                <w:sz w:val="24"/>
                <w:lang w:val="en-US"/>
              </w:rPr>
            </w:pPr>
          </w:p>
        </w:tc>
      </w:tr>
    </w:tbl>
    <w:p>
      <w:pPr>
        <w:adjustRightInd w:val="0"/>
        <w:snapToGrid w:val="0"/>
        <w:spacing w:line="600" w:lineRule="exact"/>
        <w:ind w:firstLine="560"/>
        <w:rPr>
          <w:rFonts w:hint="default" w:eastAsia="仿宋_GB2312"/>
          <w:szCs w:val="28"/>
          <w:lang w:val="en-US"/>
        </w:rPr>
      </w:pPr>
      <w:r>
        <w:rPr>
          <w:rFonts w:ascii="仿宋_GB2312" w:eastAsia="仿宋_GB2312"/>
          <w:szCs w:val="28"/>
          <w:lang w:val="en-US"/>
        </w:rPr>
        <w:t xml:space="preserve">根据上表可知，将建宁的畜禽养殖量换算成猪当量，合计存栏量 </w:t>
      </w:r>
      <w:r>
        <w:rPr>
          <w:rFonts w:hint="eastAsia" w:eastAsia="仿宋_GB2312"/>
          <w:szCs w:val="28"/>
          <w:lang w:val="en-US" w:eastAsia="zh-CN"/>
        </w:rPr>
        <w:t>305688</w:t>
      </w:r>
      <w:r>
        <w:rPr>
          <w:rFonts w:ascii="仿宋_GB2312" w:eastAsia="仿宋_GB2312"/>
          <w:szCs w:val="28"/>
          <w:lang w:val="en-US"/>
        </w:rPr>
        <w:t>个，各畜禽养殖品种比重分别为奶牛</w:t>
      </w:r>
      <w:r>
        <w:rPr>
          <w:rFonts w:hint="default" w:eastAsia="仿宋_GB2312"/>
          <w:szCs w:val="28"/>
          <w:lang w:val="en-US"/>
        </w:rPr>
        <w:t xml:space="preserve"> </w:t>
      </w:r>
      <w:r>
        <w:rPr>
          <w:rFonts w:hint="eastAsia" w:eastAsia="仿宋_GB2312"/>
          <w:szCs w:val="28"/>
          <w:lang w:val="en-US" w:eastAsia="zh-CN"/>
        </w:rPr>
        <w:t>65</w:t>
      </w:r>
      <w:r>
        <w:rPr>
          <w:rFonts w:hint="default" w:eastAsia="仿宋_GB2312"/>
          <w:szCs w:val="28"/>
          <w:lang w:val="en-US"/>
        </w:rPr>
        <w:t>.</w:t>
      </w:r>
      <w:r>
        <w:rPr>
          <w:rFonts w:hint="eastAsia" w:eastAsia="仿宋_GB2312"/>
          <w:szCs w:val="28"/>
          <w:lang w:val="en-US" w:eastAsia="zh-CN"/>
        </w:rPr>
        <w:t>43</w:t>
      </w:r>
      <w:r>
        <w:rPr>
          <w:rFonts w:hint="default" w:eastAsia="仿宋_GB2312"/>
          <w:szCs w:val="28"/>
          <w:lang w:val="en-US"/>
        </w:rPr>
        <w:t>%、猪</w:t>
      </w:r>
      <w:r>
        <w:rPr>
          <w:rFonts w:eastAsia="仿宋_GB2312"/>
          <w:szCs w:val="28"/>
          <w:lang w:val="en-US"/>
        </w:rPr>
        <w:t>2</w:t>
      </w:r>
      <w:r>
        <w:rPr>
          <w:rFonts w:hint="eastAsia" w:eastAsia="仿宋_GB2312"/>
          <w:szCs w:val="28"/>
          <w:lang w:val="en-US" w:eastAsia="zh-CN"/>
        </w:rPr>
        <w:t>2</w:t>
      </w:r>
      <w:r>
        <w:rPr>
          <w:rFonts w:hint="default" w:eastAsia="仿宋_GB2312"/>
          <w:szCs w:val="28"/>
          <w:lang w:val="en-US"/>
        </w:rPr>
        <w:t>.</w:t>
      </w:r>
      <w:r>
        <w:rPr>
          <w:rFonts w:hint="eastAsia" w:eastAsia="仿宋_GB2312"/>
          <w:szCs w:val="28"/>
          <w:lang w:val="en-US" w:eastAsia="zh-CN"/>
        </w:rPr>
        <w:t>90</w:t>
      </w:r>
      <w:r>
        <w:rPr>
          <w:rFonts w:hint="default" w:eastAsia="仿宋_GB2312"/>
          <w:szCs w:val="28"/>
          <w:lang w:val="en-US"/>
        </w:rPr>
        <w:t xml:space="preserve">%、家禽 </w:t>
      </w:r>
      <w:r>
        <w:rPr>
          <w:rFonts w:hint="eastAsia" w:eastAsia="仿宋_GB2312"/>
          <w:szCs w:val="28"/>
          <w:lang w:val="en-US" w:eastAsia="zh-CN"/>
        </w:rPr>
        <w:t>5</w:t>
      </w:r>
      <w:r>
        <w:rPr>
          <w:rFonts w:hint="default" w:eastAsia="仿宋_GB2312"/>
          <w:szCs w:val="28"/>
          <w:lang w:val="en-US"/>
        </w:rPr>
        <w:t>.</w:t>
      </w:r>
      <w:r>
        <w:rPr>
          <w:rFonts w:hint="eastAsia" w:eastAsia="仿宋_GB2312"/>
          <w:szCs w:val="28"/>
          <w:lang w:val="en-US" w:eastAsia="zh-CN"/>
        </w:rPr>
        <w:t>09</w:t>
      </w:r>
      <w:r>
        <w:rPr>
          <w:rFonts w:hint="default" w:eastAsia="仿宋_GB2312"/>
          <w:szCs w:val="28"/>
          <w:lang w:val="en-US"/>
        </w:rPr>
        <w:t>%、</w:t>
      </w:r>
      <w:r>
        <w:rPr>
          <w:rFonts w:eastAsia="仿宋_GB2312"/>
          <w:szCs w:val="28"/>
          <w:lang w:val="en-US"/>
        </w:rPr>
        <w:t>肉牛</w:t>
      </w:r>
      <w:r>
        <w:rPr>
          <w:rFonts w:hint="eastAsia" w:eastAsia="仿宋_GB2312"/>
          <w:szCs w:val="28"/>
          <w:lang w:val="en-US" w:eastAsia="zh-CN"/>
        </w:rPr>
        <w:t>4</w:t>
      </w:r>
      <w:r>
        <w:rPr>
          <w:rFonts w:eastAsia="仿宋_GB2312"/>
          <w:szCs w:val="28"/>
          <w:lang w:val="en-US"/>
        </w:rPr>
        <w:t>.9</w:t>
      </w:r>
      <w:r>
        <w:rPr>
          <w:rFonts w:hint="eastAsia" w:eastAsia="仿宋_GB2312"/>
          <w:szCs w:val="28"/>
          <w:lang w:val="en-US" w:eastAsia="zh-CN"/>
        </w:rPr>
        <w:t>1</w:t>
      </w:r>
      <w:r>
        <w:rPr>
          <w:rFonts w:eastAsia="仿宋_GB2312"/>
          <w:szCs w:val="28"/>
          <w:lang w:val="en-US"/>
        </w:rPr>
        <w:t>%、</w:t>
      </w:r>
      <w:r>
        <w:rPr>
          <w:rFonts w:hint="default" w:eastAsia="仿宋_GB2312"/>
          <w:szCs w:val="28"/>
          <w:lang w:val="en-US"/>
        </w:rPr>
        <w:t xml:space="preserve">羊 </w:t>
      </w:r>
      <w:r>
        <w:rPr>
          <w:rFonts w:hint="eastAsia" w:eastAsia="仿宋_GB2312"/>
          <w:szCs w:val="28"/>
          <w:lang w:val="en-US" w:eastAsia="zh-CN"/>
        </w:rPr>
        <w:t>1</w:t>
      </w:r>
      <w:r>
        <w:rPr>
          <w:rFonts w:hint="default" w:eastAsia="仿宋_GB2312"/>
          <w:szCs w:val="28"/>
          <w:lang w:val="en-US"/>
        </w:rPr>
        <w:t>.</w:t>
      </w:r>
      <w:r>
        <w:rPr>
          <w:rFonts w:hint="eastAsia" w:eastAsia="仿宋_GB2312"/>
          <w:szCs w:val="28"/>
          <w:lang w:val="en-US" w:eastAsia="zh-CN"/>
        </w:rPr>
        <w:t>64</w:t>
      </w:r>
      <w:r>
        <w:rPr>
          <w:rFonts w:hint="default" w:eastAsia="仿宋_GB2312"/>
          <w:szCs w:val="28"/>
          <w:lang w:val="en-US"/>
        </w:rPr>
        <w:t>%、兔 0.0</w:t>
      </w:r>
      <w:r>
        <w:rPr>
          <w:rFonts w:hint="eastAsia" w:eastAsia="仿宋_GB2312"/>
          <w:szCs w:val="28"/>
          <w:lang w:val="en-US" w:eastAsia="zh-CN"/>
        </w:rPr>
        <w:t>4</w:t>
      </w:r>
      <w:r>
        <w:rPr>
          <w:rFonts w:hint="default" w:eastAsia="仿宋_GB2312"/>
          <w:szCs w:val="28"/>
          <w:lang w:val="en-US"/>
        </w:rPr>
        <w:t xml:space="preserve">%。 </w:t>
      </w:r>
    </w:p>
    <w:p>
      <w:pPr>
        <w:adjustRightInd w:val="0"/>
        <w:snapToGrid w:val="0"/>
        <w:spacing w:line="600" w:lineRule="exact"/>
        <w:ind w:firstLine="560"/>
        <w:rPr>
          <w:rFonts w:eastAsia="仿宋_GB2312"/>
          <w:szCs w:val="28"/>
          <w:lang w:val="en-US"/>
        </w:rPr>
      </w:pPr>
      <w:r>
        <w:rPr>
          <w:rFonts w:ascii="仿宋_GB2312" w:eastAsia="仿宋_GB2312"/>
          <w:szCs w:val="28"/>
          <w:lang w:val="en-US"/>
        </w:rPr>
        <w:t>《畜禽粪污土地承载力测算技术指南》指出：</w:t>
      </w:r>
      <w:r>
        <w:rPr>
          <w:rFonts w:hint="default" w:eastAsia="仿宋_GB2312"/>
          <w:szCs w:val="28"/>
          <w:lang w:val="en-US"/>
        </w:rPr>
        <w:t xml:space="preserve">1 </w:t>
      </w:r>
      <w:r>
        <w:rPr>
          <w:rFonts w:eastAsia="仿宋_GB2312"/>
          <w:szCs w:val="28"/>
          <w:lang w:val="en-US"/>
        </w:rPr>
        <w:t xml:space="preserve">个猪当量的氮排泄量 </w:t>
      </w:r>
      <w:r>
        <w:rPr>
          <w:rFonts w:hint="default" w:eastAsia="仿宋_GB2312"/>
          <w:szCs w:val="28"/>
          <w:lang w:val="en-US"/>
        </w:rPr>
        <w:t>11kg</w:t>
      </w:r>
      <w:r>
        <w:rPr>
          <w:rFonts w:eastAsia="仿宋_GB2312"/>
          <w:szCs w:val="28"/>
          <w:lang w:val="en-US"/>
        </w:rPr>
        <w:t>，磷排泄量</w:t>
      </w:r>
      <w:r>
        <w:rPr>
          <w:rFonts w:hint="default" w:eastAsia="仿宋_GB2312"/>
          <w:szCs w:val="28"/>
          <w:lang w:val="en-US"/>
        </w:rPr>
        <w:t>1.65kg</w:t>
      </w:r>
      <w:r>
        <w:rPr>
          <w:rFonts w:eastAsia="仿宋_GB2312"/>
          <w:szCs w:val="28"/>
          <w:lang w:val="en-US"/>
        </w:rPr>
        <w:t xml:space="preserve">；综合考虑畜禽粪污养分在收集、处理和贮存过程中的损失，单位猪当量氮养分供给量 </w:t>
      </w:r>
      <w:r>
        <w:rPr>
          <w:rFonts w:hint="default" w:eastAsia="仿宋_GB2312"/>
          <w:szCs w:val="28"/>
          <w:lang w:val="en-US"/>
        </w:rPr>
        <w:t>7.0kg</w:t>
      </w:r>
      <w:r>
        <w:rPr>
          <w:rFonts w:eastAsia="仿宋_GB2312"/>
          <w:szCs w:val="28"/>
          <w:lang w:val="en-US"/>
        </w:rPr>
        <w:t xml:space="preserve">，磷养分供给量 </w:t>
      </w:r>
      <w:r>
        <w:rPr>
          <w:rFonts w:hint="default" w:eastAsia="仿宋_GB2312"/>
          <w:szCs w:val="28"/>
          <w:lang w:val="en-US"/>
        </w:rPr>
        <w:t>1.2kg</w:t>
      </w:r>
      <w:r>
        <w:rPr>
          <w:rFonts w:eastAsia="仿宋_GB2312"/>
          <w:szCs w:val="28"/>
          <w:lang w:val="en-US"/>
        </w:rPr>
        <w:t xml:space="preserve">，固体粪便堆肥、污水氧化塘贮存或厌氧发酵后农田利用为主的，粪污收集处理过程中氮留存率推荐值为 </w:t>
      </w:r>
      <w:r>
        <w:rPr>
          <w:rFonts w:hint="default" w:eastAsia="仿宋_GB2312"/>
          <w:szCs w:val="28"/>
          <w:lang w:val="en-US"/>
        </w:rPr>
        <w:t>62%</w:t>
      </w:r>
      <w:r>
        <w:rPr>
          <w:rFonts w:eastAsia="仿宋_GB2312"/>
          <w:szCs w:val="28"/>
          <w:lang w:val="en-US"/>
        </w:rPr>
        <w:t xml:space="preserve">（磷留存率为 </w:t>
      </w:r>
      <w:r>
        <w:rPr>
          <w:rFonts w:hint="default" w:eastAsia="仿宋_GB2312"/>
          <w:szCs w:val="28"/>
          <w:lang w:val="en-US"/>
        </w:rPr>
        <w:t>72%</w:t>
      </w:r>
      <w:r>
        <w:rPr>
          <w:rFonts w:eastAsia="仿宋_GB2312"/>
          <w:szCs w:val="28"/>
          <w:lang w:val="en-US"/>
        </w:rPr>
        <w:t xml:space="preserve">），故建宁县 </w:t>
      </w:r>
      <w:r>
        <w:rPr>
          <w:rFonts w:hint="default" w:eastAsia="仿宋_GB2312"/>
          <w:szCs w:val="28"/>
          <w:lang w:val="en-US"/>
        </w:rPr>
        <w:t>2025</w:t>
      </w:r>
      <w:r>
        <w:rPr>
          <w:rFonts w:eastAsia="仿宋_GB2312"/>
          <w:szCs w:val="28"/>
          <w:lang w:val="en-US"/>
        </w:rPr>
        <w:t xml:space="preserve">年畜禽粪污氮磷排泄量及养分供给量见下表，建宁县规划 </w:t>
      </w:r>
      <w:r>
        <w:rPr>
          <w:rFonts w:hint="default" w:eastAsia="仿宋_GB2312"/>
          <w:szCs w:val="28"/>
          <w:lang w:val="en-US"/>
        </w:rPr>
        <w:t xml:space="preserve">2025 </w:t>
      </w:r>
      <w:r>
        <w:rPr>
          <w:rFonts w:eastAsia="仿宋_GB2312"/>
          <w:szCs w:val="28"/>
          <w:lang w:val="en-US"/>
        </w:rPr>
        <w:t>年畜禽粪肥氮、磷养分供给量分别为 1</w:t>
      </w:r>
      <w:r>
        <w:rPr>
          <w:rFonts w:hint="eastAsia" w:eastAsia="仿宋_GB2312"/>
          <w:szCs w:val="28"/>
          <w:lang w:val="en-US" w:eastAsia="zh-CN"/>
        </w:rPr>
        <w:t>326</w:t>
      </w:r>
      <w:r>
        <w:rPr>
          <w:rFonts w:eastAsia="仿宋_GB2312"/>
          <w:szCs w:val="28"/>
          <w:lang w:val="en-US"/>
        </w:rPr>
        <w:t>.</w:t>
      </w:r>
      <w:r>
        <w:rPr>
          <w:rFonts w:hint="eastAsia" w:eastAsia="仿宋_GB2312"/>
          <w:szCs w:val="28"/>
          <w:lang w:val="en-US" w:eastAsia="zh-CN"/>
        </w:rPr>
        <w:t>6</w:t>
      </w:r>
      <w:r>
        <w:rPr>
          <w:rFonts w:hint="default" w:eastAsia="仿宋_GB2312"/>
          <w:szCs w:val="28"/>
          <w:lang w:val="en-US"/>
        </w:rPr>
        <w:t>t</w:t>
      </w:r>
      <w:r>
        <w:rPr>
          <w:rFonts w:eastAsia="仿宋_GB2312"/>
          <w:szCs w:val="28"/>
          <w:lang w:val="en-US"/>
        </w:rPr>
        <w:t>、2</w:t>
      </w:r>
      <w:r>
        <w:rPr>
          <w:rFonts w:hint="eastAsia" w:eastAsia="仿宋_GB2312"/>
          <w:szCs w:val="28"/>
          <w:lang w:val="en-US" w:eastAsia="zh-CN"/>
        </w:rPr>
        <w:t>64</w:t>
      </w:r>
      <w:r>
        <w:rPr>
          <w:rFonts w:eastAsia="仿宋_GB2312"/>
          <w:szCs w:val="28"/>
          <w:lang w:val="en-US"/>
        </w:rPr>
        <w:t>.</w:t>
      </w:r>
      <w:r>
        <w:rPr>
          <w:rFonts w:hint="eastAsia" w:eastAsia="仿宋_GB2312"/>
          <w:szCs w:val="28"/>
          <w:lang w:val="en-US" w:eastAsia="zh-CN"/>
        </w:rPr>
        <w:t>2</w:t>
      </w:r>
      <w:r>
        <w:rPr>
          <w:rFonts w:hint="default" w:eastAsia="仿宋_GB2312"/>
          <w:szCs w:val="28"/>
          <w:lang w:val="en-US"/>
        </w:rPr>
        <w:t>t</w:t>
      </w:r>
      <w:r>
        <w:rPr>
          <w:rFonts w:eastAsia="仿宋_GB2312"/>
          <w:szCs w:val="28"/>
          <w:lang w:val="en-US"/>
        </w:rPr>
        <w:t xml:space="preserve">。 </w:t>
      </w:r>
    </w:p>
    <w:p>
      <w:pPr>
        <w:pStyle w:val="22"/>
        <w:spacing w:line="240" w:lineRule="auto"/>
        <w:ind w:firstLine="0" w:firstLineChars="0"/>
        <w:jc w:val="center"/>
        <w:rPr>
          <w:rFonts w:hint="default" w:eastAsia="仿宋"/>
          <w:b/>
          <w:bCs/>
          <w:szCs w:val="28"/>
          <w:lang w:val="en-US"/>
        </w:rPr>
      </w:pPr>
      <w:r>
        <w:rPr>
          <w:rFonts w:eastAsia="仿宋"/>
          <w:b/>
          <w:bCs/>
          <w:szCs w:val="28"/>
          <w:lang w:val="en-US"/>
        </w:rPr>
        <w:t>表 7</w:t>
      </w:r>
      <w:r>
        <w:rPr>
          <w:rFonts w:hint="default" w:eastAsia="仿宋"/>
          <w:b/>
          <w:bCs/>
          <w:szCs w:val="28"/>
          <w:lang w:val="en-US"/>
        </w:rPr>
        <w:t xml:space="preserve"> </w:t>
      </w:r>
      <w:r>
        <w:rPr>
          <w:rFonts w:eastAsia="仿宋"/>
          <w:b/>
          <w:bCs/>
          <w:szCs w:val="28"/>
          <w:lang w:val="en-US"/>
        </w:rPr>
        <w:t xml:space="preserve">建宁县 </w:t>
      </w:r>
      <w:r>
        <w:rPr>
          <w:rFonts w:hint="default" w:eastAsia="仿宋"/>
          <w:b/>
          <w:bCs/>
          <w:szCs w:val="28"/>
          <w:lang w:val="en-US"/>
        </w:rPr>
        <w:t xml:space="preserve">2025 </w:t>
      </w:r>
      <w:r>
        <w:rPr>
          <w:rFonts w:eastAsia="仿宋"/>
          <w:b/>
          <w:bCs/>
          <w:szCs w:val="28"/>
          <w:lang w:val="en-US"/>
        </w:rPr>
        <w:t xml:space="preserve">年畜禽粪污氮磷排泄量及养分供给量 </w:t>
      </w:r>
    </w:p>
    <w:tbl>
      <w:tblPr>
        <w:tblStyle w:val="18"/>
        <w:tblW w:w="0" w:type="auto"/>
        <w:tblInd w:w="8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4"/>
        <w:gridCol w:w="2557"/>
        <w:gridCol w:w="23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2794" w:type="dxa"/>
            <w:noWrap w:val="0"/>
            <w:vAlign w:val="top"/>
          </w:tcPr>
          <w:p>
            <w:pPr>
              <w:widowControl/>
              <w:ind w:firstLine="482"/>
              <w:rPr>
                <w:rFonts w:ascii="仿宋_GB2312" w:eastAsia="仿宋_GB2312"/>
                <w:sz w:val="24"/>
                <w:lang w:val="en-US"/>
              </w:rPr>
            </w:pPr>
            <w:r>
              <w:rPr>
                <w:rFonts w:ascii="宋体" w:hAnsi="宋体" w:cs="宋体"/>
                <w:b/>
                <w:sz w:val="24"/>
                <w:lang w:val="en-US" w:bidi="ar"/>
              </w:rPr>
              <w:t xml:space="preserve">项目 </w:t>
            </w:r>
          </w:p>
        </w:tc>
        <w:tc>
          <w:tcPr>
            <w:tcW w:w="2557" w:type="dxa"/>
            <w:noWrap w:val="0"/>
            <w:vAlign w:val="top"/>
          </w:tcPr>
          <w:p>
            <w:pPr>
              <w:widowControl/>
              <w:ind w:firstLine="482"/>
              <w:rPr>
                <w:rFonts w:ascii="仿宋_GB2312" w:eastAsia="仿宋_GB2312"/>
                <w:sz w:val="24"/>
                <w:lang w:val="en-US"/>
              </w:rPr>
            </w:pPr>
            <w:r>
              <w:rPr>
                <w:rFonts w:ascii="宋体" w:hAnsi="宋体" w:cs="宋体"/>
                <w:b/>
                <w:sz w:val="24"/>
                <w:lang w:val="en-US" w:bidi="ar"/>
              </w:rPr>
              <w:t xml:space="preserve">以氮计算 </w:t>
            </w:r>
          </w:p>
        </w:tc>
        <w:tc>
          <w:tcPr>
            <w:tcW w:w="2349" w:type="dxa"/>
            <w:noWrap w:val="0"/>
            <w:vAlign w:val="top"/>
          </w:tcPr>
          <w:p>
            <w:pPr>
              <w:widowControl/>
              <w:ind w:firstLine="482"/>
              <w:rPr>
                <w:rFonts w:ascii="仿宋_GB2312" w:eastAsia="仿宋_GB2312"/>
                <w:sz w:val="24"/>
                <w:lang w:val="en-US"/>
              </w:rPr>
            </w:pPr>
            <w:r>
              <w:rPr>
                <w:rFonts w:ascii="宋体" w:hAnsi="宋体" w:cs="宋体"/>
                <w:b/>
                <w:sz w:val="24"/>
                <w:lang w:val="en-US" w:bidi="ar"/>
              </w:rPr>
              <w:t xml:space="preserve">以磷计算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noWrap w:val="0"/>
            <w:vAlign w:val="top"/>
          </w:tcPr>
          <w:p>
            <w:pPr>
              <w:widowControl/>
              <w:ind w:firstLine="480"/>
              <w:rPr>
                <w:rFonts w:ascii="仿宋_GB2312" w:eastAsia="仿宋_GB2312"/>
                <w:sz w:val="24"/>
                <w:lang w:val="en-US"/>
              </w:rPr>
            </w:pPr>
            <w:r>
              <w:rPr>
                <w:rFonts w:ascii="宋体" w:hAnsi="宋体" w:cs="宋体"/>
                <w:sz w:val="24"/>
                <w:lang w:val="en-US" w:bidi="ar"/>
              </w:rPr>
              <w:t xml:space="preserve">规划猪当量 </w:t>
            </w:r>
          </w:p>
        </w:tc>
        <w:tc>
          <w:tcPr>
            <w:tcW w:w="2557" w:type="dxa"/>
            <w:noWrap w:val="0"/>
            <w:vAlign w:val="top"/>
          </w:tcPr>
          <w:p>
            <w:pPr>
              <w:adjustRightInd w:val="0"/>
              <w:snapToGrid w:val="0"/>
              <w:spacing w:line="600" w:lineRule="exact"/>
              <w:ind w:firstLine="480"/>
              <w:rPr>
                <w:rFonts w:hint="default" w:eastAsia="仿宋_GB2312"/>
                <w:sz w:val="24"/>
                <w:lang w:val="en-US" w:eastAsia="zh-CN"/>
              </w:rPr>
            </w:pPr>
            <w:r>
              <w:rPr>
                <w:rFonts w:hint="eastAsia" w:eastAsia="仿宋_GB2312"/>
                <w:sz w:val="24"/>
                <w:lang w:val="en-US" w:eastAsia="zh-CN"/>
              </w:rPr>
              <w:t>305688</w:t>
            </w:r>
          </w:p>
        </w:tc>
        <w:tc>
          <w:tcPr>
            <w:tcW w:w="2349" w:type="dxa"/>
            <w:noWrap w:val="0"/>
            <w:vAlign w:val="top"/>
          </w:tcPr>
          <w:p>
            <w:pPr>
              <w:adjustRightInd w:val="0"/>
              <w:snapToGrid w:val="0"/>
              <w:spacing w:line="600" w:lineRule="exact"/>
              <w:ind w:firstLine="480"/>
              <w:rPr>
                <w:rFonts w:eastAsia="仿宋_GB2312"/>
                <w:sz w:val="24"/>
                <w:lang w:val="en-US"/>
              </w:rPr>
            </w:pPr>
            <w:r>
              <w:rPr>
                <w:rFonts w:hint="eastAsia" w:eastAsia="仿宋_GB2312"/>
                <w:sz w:val="24"/>
                <w:lang w:val="en-US" w:eastAsia="zh-CN"/>
              </w:rPr>
              <w:t>305688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2794" w:type="dxa"/>
            <w:noWrap w:val="0"/>
            <w:vAlign w:val="top"/>
          </w:tcPr>
          <w:p>
            <w:pPr>
              <w:widowControl/>
              <w:ind w:firstLine="480"/>
              <w:rPr>
                <w:rFonts w:ascii="仿宋_GB2312" w:eastAsia="仿宋_GB2312"/>
                <w:sz w:val="24"/>
                <w:lang w:val="en-US"/>
              </w:rPr>
            </w:pPr>
            <w:r>
              <w:rPr>
                <w:rFonts w:ascii="宋体" w:hAnsi="宋体" w:cs="宋体"/>
                <w:sz w:val="24"/>
                <w:lang w:val="en-US" w:bidi="ar"/>
              </w:rPr>
              <w:t>排泄量</w:t>
            </w:r>
            <w:r>
              <w:rPr>
                <w:rFonts w:hint="default"/>
                <w:sz w:val="24"/>
                <w:lang w:val="en-US" w:bidi="ar"/>
              </w:rPr>
              <w:t>(kg/</w:t>
            </w:r>
            <w:r>
              <w:rPr>
                <w:rFonts w:ascii="宋体" w:hAnsi="宋体" w:cs="宋体"/>
                <w:sz w:val="24"/>
                <w:lang w:val="en-US" w:bidi="ar"/>
              </w:rPr>
              <w:t>猪当量</w:t>
            </w:r>
            <w:r>
              <w:rPr>
                <w:rFonts w:hint="default"/>
                <w:sz w:val="24"/>
                <w:lang w:val="en-US" w:bidi="ar"/>
              </w:rPr>
              <w:t>)</w:t>
            </w:r>
          </w:p>
        </w:tc>
        <w:tc>
          <w:tcPr>
            <w:tcW w:w="2557" w:type="dxa"/>
            <w:noWrap w:val="0"/>
            <w:vAlign w:val="top"/>
          </w:tcPr>
          <w:p>
            <w:pPr>
              <w:adjustRightInd w:val="0"/>
              <w:snapToGrid w:val="0"/>
              <w:spacing w:line="600" w:lineRule="exact"/>
              <w:ind w:firstLine="480"/>
              <w:rPr>
                <w:rFonts w:hint="default" w:eastAsia="仿宋_GB2312"/>
                <w:sz w:val="24"/>
                <w:lang w:val="en-US"/>
              </w:rPr>
            </w:pPr>
            <w:r>
              <w:rPr>
                <w:rFonts w:eastAsia="仿宋_GB2312"/>
                <w:sz w:val="24"/>
                <w:lang w:val="en-US"/>
              </w:rPr>
              <w:t>11</w:t>
            </w:r>
          </w:p>
        </w:tc>
        <w:tc>
          <w:tcPr>
            <w:tcW w:w="2349" w:type="dxa"/>
            <w:noWrap w:val="0"/>
            <w:vAlign w:val="top"/>
          </w:tcPr>
          <w:p>
            <w:pPr>
              <w:adjustRightInd w:val="0"/>
              <w:snapToGrid w:val="0"/>
              <w:spacing w:line="600" w:lineRule="exact"/>
              <w:ind w:firstLine="480"/>
              <w:rPr>
                <w:rFonts w:hint="default" w:eastAsia="仿宋_GB2312"/>
                <w:sz w:val="24"/>
                <w:lang w:val="en-US"/>
              </w:rPr>
            </w:pPr>
            <w:r>
              <w:rPr>
                <w:rFonts w:eastAsia="仿宋_GB2312"/>
                <w:sz w:val="24"/>
                <w:lang w:val="en-US"/>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noWrap w:val="0"/>
            <w:vAlign w:val="top"/>
          </w:tcPr>
          <w:p>
            <w:pPr>
              <w:widowControl/>
              <w:ind w:firstLine="0" w:firstLineChars="0"/>
              <w:rPr>
                <w:rFonts w:ascii="仿宋_GB2312" w:eastAsia="仿宋_GB2312"/>
                <w:sz w:val="24"/>
                <w:lang w:val="en-US"/>
              </w:rPr>
            </w:pPr>
            <w:r>
              <w:rPr>
                <w:rFonts w:ascii="宋体" w:hAnsi="宋体" w:cs="宋体"/>
                <w:sz w:val="24"/>
                <w:lang w:val="en-US" w:bidi="ar"/>
              </w:rPr>
              <w:t>畜禽粪肥排泄量（</w:t>
            </w:r>
            <w:r>
              <w:rPr>
                <w:rFonts w:hint="default"/>
                <w:sz w:val="24"/>
                <w:lang w:val="en-US" w:bidi="ar"/>
              </w:rPr>
              <w:t xml:space="preserve">t/a) </w:t>
            </w:r>
          </w:p>
        </w:tc>
        <w:tc>
          <w:tcPr>
            <w:tcW w:w="2557" w:type="dxa"/>
            <w:noWrap w:val="0"/>
            <w:vAlign w:val="top"/>
          </w:tcPr>
          <w:p>
            <w:pPr>
              <w:adjustRightInd w:val="0"/>
              <w:snapToGrid w:val="0"/>
              <w:spacing w:line="600" w:lineRule="exact"/>
              <w:ind w:firstLine="480"/>
              <w:rPr>
                <w:rFonts w:hint="default" w:eastAsia="仿宋_GB2312"/>
                <w:sz w:val="24"/>
                <w:lang w:val="en-US" w:eastAsia="zh-CN"/>
              </w:rPr>
            </w:pPr>
            <w:r>
              <w:rPr>
                <w:rFonts w:hint="eastAsia" w:eastAsia="仿宋_GB2312"/>
                <w:sz w:val="24"/>
                <w:lang w:val="en-US" w:eastAsia="zh-CN"/>
              </w:rPr>
              <w:t>3362</w:t>
            </w:r>
            <w:r>
              <w:rPr>
                <w:rFonts w:eastAsia="仿宋_GB2312"/>
                <w:sz w:val="24"/>
                <w:lang w:val="en-US"/>
              </w:rPr>
              <w:t>.</w:t>
            </w:r>
            <w:r>
              <w:rPr>
                <w:rFonts w:hint="eastAsia" w:eastAsia="仿宋_GB2312"/>
                <w:sz w:val="24"/>
                <w:lang w:val="en-US" w:eastAsia="zh-CN"/>
              </w:rPr>
              <w:t>57</w:t>
            </w:r>
          </w:p>
        </w:tc>
        <w:tc>
          <w:tcPr>
            <w:tcW w:w="2349" w:type="dxa"/>
            <w:noWrap w:val="0"/>
            <w:vAlign w:val="top"/>
          </w:tcPr>
          <w:p>
            <w:pPr>
              <w:adjustRightInd w:val="0"/>
              <w:snapToGrid w:val="0"/>
              <w:spacing w:line="600" w:lineRule="exact"/>
              <w:ind w:firstLine="480"/>
              <w:rPr>
                <w:rFonts w:hint="default" w:eastAsia="仿宋_GB2312"/>
                <w:sz w:val="24"/>
                <w:lang w:val="en-US" w:eastAsia="zh-CN"/>
              </w:rPr>
            </w:pPr>
            <w:r>
              <w:rPr>
                <w:rFonts w:hint="eastAsia" w:eastAsia="仿宋_GB2312"/>
                <w:sz w:val="24"/>
                <w:lang w:val="en-US" w:eastAsia="zh-CN"/>
              </w:rPr>
              <w:t>504</w:t>
            </w:r>
            <w:r>
              <w:rPr>
                <w:rFonts w:eastAsia="仿宋_GB2312"/>
                <w:sz w:val="24"/>
                <w:lang w:val="en-US"/>
              </w:rPr>
              <w:t>.</w:t>
            </w:r>
            <w:r>
              <w:rPr>
                <w:rFonts w:hint="eastAsia" w:eastAsia="仿宋_GB2312"/>
                <w:sz w:val="24"/>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noWrap w:val="0"/>
            <w:vAlign w:val="top"/>
          </w:tcPr>
          <w:p>
            <w:pPr>
              <w:widowControl/>
              <w:ind w:firstLine="0" w:firstLineChars="0"/>
              <w:rPr>
                <w:rFonts w:ascii="仿宋_GB2312" w:eastAsia="仿宋_GB2312"/>
                <w:sz w:val="24"/>
                <w:lang w:val="en-US"/>
              </w:rPr>
            </w:pPr>
            <w:r>
              <w:rPr>
                <w:rFonts w:ascii="宋体" w:hAnsi="宋体" w:cs="宋体"/>
                <w:sz w:val="24"/>
                <w:lang w:val="en-US" w:bidi="ar"/>
              </w:rPr>
              <w:t>养分供给量（</w:t>
            </w:r>
            <w:r>
              <w:rPr>
                <w:rFonts w:hint="default"/>
                <w:sz w:val="24"/>
                <w:lang w:val="en-US" w:bidi="ar"/>
              </w:rPr>
              <w:t>kg/</w:t>
            </w:r>
            <w:r>
              <w:rPr>
                <w:rFonts w:ascii="宋体" w:hAnsi="宋体" w:cs="宋体"/>
                <w:sz w:val="24"/>
                <w:lang w:val="en-US" w:bidi="ar"/>
              </w:rPr>
              <w:t>猪当量）</w:t>
            </w:r>
          </w:p>
        </w:tc>
        <w:tc>
          <w:tcPr>
            <w:tcW w:w="2557" w:type="dxa"/>
            <w:noWrap w:val="0"/>
            <w:vAlign w:val="top"/>
          </w:tcPr>
          <w:p>
            <w:pPr>
              <w:adjustRightInd w:val="0"/>
              <w:snapToGrid w:val="0"/>
              <w:spacing w:line="600" w:lineRule="exact"/>
              <w:ind w:firstLine="480"/>
              <w:rPr>
                <w:rFonts w:hint="default" w:eastAsia="仿宋_GB2312"/>
                <w:sz w:val="24"/>
                <w:lang w:val="en-US"/>
              </w:rPr>
            </w:pPr>
            <w:r>
              <w:rPr>
                <w:rFonts w:eastAsia="仿宋_GB2312"/>
                <w:sz w:val="24"/>
                <w:lang w:val="en-US"/>
              </w:rPr>
              <w:t>7</w:t>
            </w:r>
          </w:p>
        </w:tc>
        <w:tc>
          <w:tcPr>
            <w:tcW w:w="2349" w:type="dxa"/>
            <w:noWrap w:val="0"/>
            <w:vAlign w:val="top"/>
          </w:tcPr>
          <w:p>
            <w:pPr>
              <w:adjustRightInd w:val="0"/>
              <w:snapToGrid w:val="0"/>
              <w:spacing w:line="600" w:lineRule="exact"/>
              <w:ind w:firstLine="480"/>
              <w:rPr>
                <w:rFonts w:hint="default" w:eastAsia="仿宋_GB2312"/>
                <w:sz w:val="24"/>
                <w:lang w:val="en-US"/>
              </w:rPr>
            </w:pPr>
            <w:r>
              <w:rPr>
                <w:rFonts w:eastAsia="仿宋_GB2312"/>
                <w:sz w:val="24"/>
                <w:lang w:val="en-US"/>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noWrap w:val="0"/>
            <w:vAlign w:val="top"/>
          </w:tcPr>
          <w:p>
            <w:pPr>
              <w:widowControl/>
              <w:ind w:firstLine="0" w:firstLineChars="0"/>
              <w:rPr>
                <w:rFonts w:ascii="仿宋_GB2312" w:eastAsia="仿宋_GB2312"/>
                <w:sz w:val="24"/>
                <w:lang w:val="en-US"/>
              </w:rPr>
            </w:pPr>
            <w:r>
              <w:rPr>
                <w:rFonts w:ascii="宋体" w:hAnsi="宋体" w:cs="宋体"/>
                <w:sz w:val="24"/>
                <w:lang w:val="en-US" w:bidi="ar"/>
              </w:rPr>
              <w:t>粪污收集处理过程中养分留存率（</w:t>
            </w:r>
            <w:r>
              <w:rPr>
                <w:rFonts w:hint="default"/>
                <w:sz w:val="24"/>
                <w:lang w:val="en-US" w:bidi="ar"/>
              </w:rPr>
              <w:t>%</w:t>
            </w:r>
            <w:r>
              <w:rPr>
                <w:rFonts w:ascii="宋体" w:hAnsi="宋体" w:cs="宋体"/>
                <w:sz w:val="24"/>
                <w:lang w:val="en-US" w:bidi="ar"/>
              </w:rPr>
              <w:t xml:space="preserve">） </w:t>
            </w:r>
          </w:p>
        </w:tc>
        <w:tc>
          <w:tcPr>
            <w:tcW w:w="2557" w:type="dxa"/>
            <w:noWrap w:val="0"/>
            <w:vAlign w:val="top"/>
          </w:tcPr>
          <w:p>
            <w:pPr>
              <w:adjustRightInd w:val="0"/>
              <w:snapToGrid w:val="0"/>
              <w:spacing w:line="600" w:lineRule="exact"/>
              <w:ind w:firstLine="480"/>
              <w:rPr>
                <w:rFonts w:hint="default" w:eastAsia="仿宋_GB2312"/>
                <w:sz w:val="24"/>
                <w:lang w:val="en-US"/>
              </w:rPr>
            </w:pPr>
            <w:r>
              <w:rPr>
                <w:rFonts w:eastAsia="仿宋_GB2312"/>
                <w:sz w:val="24"/>
                <w:lang w:val="en-US"/>
              </w:rPr>
              <w:t>62%</w:t>
            </w:r>
          </w:p>
        </w:tc>
        <w:tc>
          <w:tcPr>
            <w:tcW w:w="2349" w:type="dxa"/>
            <w:noWrap w:val="0"/>
            <w:vAlign w:val="top"/>
          </w:tcPr>
          <w:p>
            <w:pPr>
              <w:adjustRightInd w:val="0"/>
              <w:snapToGrid w:val="0"/>
              <w:spacing w:line="600" w:lineRule="exact"/>
              <w:ind w:firstLine="480"/>
              <w:rPr>
                <w:rFonts w:hint="default" w:eastAsia="仿宋_GB2312"/>
                <w:sz w:val="24"/>
                <w:lang w:val="en-US"/>
              </w:rPr>
            </w:pPr>
            <w:r>
              <w:rPr>
                <w:rFonts w:eastAsia="仿宋_GB2312"/>
                <w:sz w:val="24"/>
                <w:lang w:val="en-US"/>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94" w:type="dxa"/>
            <w:noWrap w:val="0"/>
            <w:vAlign w:val="top"/>
          </w:tcPr>
          <w:p>
            <w:pPr>
              <w:widowControl/>
              <w:ind w:firstLine="0" w:firstLineChars="0"/>
              <w:rPr>
                <w:rFonts w:ascii="仿宋_GB2312" w:eastAsia="仿宋_GB2312"/>
                <w:sz w:val="24"/>
                <w:lang w:val="en-US"/>
              </w:rPr>
            </w:pPr>
            <w:r>
              <w:rPr>
                <w:rFonts w:ascii="宋体" w:hAnsi="宋体" w:cs="宋体"/>
                <w:sz w:val="24"/>
                <w:lang w:val="en-US" w:bidi="ar"/>
              </w:rPr>
              <w:t>畜禽粪肥供给量</w:t>
            </w:r>
            <w:r>
              <w:rPr>
                <w:rFonts w:hint="default"/>
                <w:sz w:val="24"/>
                <w:lang w:val="en-US" w:bidi="ar"/>
              </w:rPr>
              <w:t xml:space="preserve">(t/a) </w:t>
            </w:r>
          </w:p>
        </w:tc>
        <w:tc>
          <w:tcPr>
            <w:tcW w:w="2557" w:type="dxa"/>
            <w:noWrap w:val="0"/>
            <w:vAlign w:val="top"/>
          </w:tcPr>
          <w:p>
            <w:pPr>
              <w:adjustRightInd w:val="0"/>
              <w:snapToGrid w:val="0"/>
              <w:spacing w:line="600" w:lineRule="exact"/>
              <w:ind w:firstLine="480"/>
              <w:rPr>
                <w:rFonts w:hint="eastAsia" w:eastAsia="仿宋_GB2312"/>
                <w:sz w:val="24"/>
                <w:lang w:val="en-US" w:eastAsia="zh-CN"/>
              </w:rPr>
            </w:pPr>
            <w:r>
              <w:rPr>
                <w:rFonts w:eastAsia="仿宋_GB2312"/>
                <w:sz w:val="24"/>
                <w:lang w:val="en-US"/>
              </w:rPr>
              <w:t>1</w:t>
            </w:r>
            <w:r>
              <w:rPr>
                <w:rFonts w:hint="eastAsia" w:eastAsia="仿宋_GB2312"/>
                <w:sz w:val="24"/>
                <w:lang w:val="en-US" w:eastAsia="zh-CN"/>
              </w:rPr>
              <w:t>326</w:t>
            </w:r>
            <w:r>
              <w:rPr>
                <w:rFonts w:eastAsia="仿宋_GB2312"/>
                <w:sz w:val="24"/>
                <w:lang w:val="en-US"/>
              </w:rPr>
              <w:t>.</w:t>
            </w:r>
            <w:r>
              <w:rPr>
                <w:rFonts w:hint="eastAsia" w:eastAsia="仿宋_GB2312"/>
                <w:sz w:val="24"/>
                <w:lang w:val="en-US" w:eastAsia="zh-CN"/>
              </w:rPr>
              <w:t>6</w:t>
            </w:r>
          </w:p>
        </w:tc>
        <w:tc>
          <w:tcPr>
            <w:tcW w:w="2349" w:type="dxa"/>
            <w:noWrap w:val="0"/>
            <w:vAlign w:val="top"/>
          </w:tcPr>
          <w:p>
            <w:pPr>
              <w:adjustRightInd w:val="0"/>
              <w:snapToGrid w:val="0"/>
              <w:spacing w:line="600" w:lineRule="exact"/>
              <w:ind w:firstLine="480"/>
              <w:rPr>
                <w:rFonts w:hint="eastAsia" w:eastAsia="仿宋_GB2312"/>
                <w:sz w:val="24"/>
                <w:lang w:val="en-US" w:eastAsia="zh-CN"/>
              </w:rPr>
            </w:pPr>
            <w:r>
              <w:rPr>
                <w:rFonts w:eastAsia="仿宋_GB2312"/>
                <w:sz w:val="24"/>
                <w:lang w:val="en-US"/>
              </w:rPr>
              <w:t>2</w:t>
            </w:r>
            <w:r>
              <w:rPr>
                <w:rFonts w:hint="eastAsia" w:eastAsia="仿宋_GB2312"/>
                <w:sz w:val="24"/>
                <w:lang w:val="en-US" w:eastAsia="zh-CN"/>
              </w:rPr>
              <w:t>64</w:t>
            </w:r>
            <w:r>
              <w:rPr>
                <w:rFonts w:eastAsia="仿宋_GB2312"/>
                <w:sz w:val="24"/>
                <w:lang w:val="en-US"/>
              </w:rPr>
              <w:t>.</w:t>
            </w:r>
            <w:r>
              <w:rPr>
                <w:rFonts w:hint="eastAsia" w:eastAsia="仿宋_GB2312"/>
                <w:sz w:val="24"/>
                <w:lang w:val="en-US" w:eastAsia="zh-CN"/>
              </w:rPr>
              <w:t>2</w:t>
            </w:r>
          </w:p>
        </w:tc>
      </w:tr>
    </w:tbl>
    <w:p>
      <w:pPr>
        <w:adjustRightInd w:val="0"/>
        <w:snapToGrid w:val="0"/>
        <w:spacing w:line="600" w:lineRule="exact"/>
        <w:ind w:firstLine="560"/>
        <w:rPr>
          <w:rFonts w:eastAsia="仿宋_GB2312"/>
          <w:szCs w:val="28"/>
          <w:lang w:val="en-US"/>
        </w:rPr>
      </w:pPr>
      <w:r>
        <w:rPr>
          <w:rFonts w:ascii="仿宋_GB2312" w:eastAsia="仿宋_GB2312"/>
          <w:szCs w:val="28"/>
          <w:lang w:val="en-US"/>
        </w:rPr>
        <w:t>建宁县畜禽粪污土地承载力计</w:t>
      </w:r>
      <w:r>
        <w:rPr>
          <w:rFonts w:eastAsia="仿宋_GB2312"/>
          <w:szCs w:val="28"/>
          <w:lang w:val="en-US"/>
        </w:rPr>
        <w:t xml:space="preserve">算结果见表8，养殖场产生的粪肥全部就地还田利用，畜禽粪污土地承载力（以猪当量计）以氮为基础计算为 </w:t>
      </w:r>
      <w:r>
        <w:rPr>
          <w:rFonts w:hint="default" w:eastAsia="仿宋_GB2312"/>
          <w:szCs w:val="28"/>
          <w:lang w:val="en-US"/>
        </w:rPr>
        <w:t>54.29</w:t>
      </w:r>
      <w:r>
        <w:rPr>
          <w:rFonts w:eastAsia="仿宋_GB2312"/>
          <w:szCs w:val="28"/>
          <w:lang w:val="en-US"/>
        </w:rPr>
        <w:t>万猪当量，以磷为计算为 67</w:t>
      </w:r>
      <w:r>
        <w:rPr>
          <w:rFonts w:hint="default" w:eastAsia="仿宋_GB2312"/>
          <w:szCs w:val="28"/>
          <w:lang w:val="en-US"/>
        </w:rPr>
        <w:t>.</w:t>
      </w:r>
      <w:r>
        <w:rPr>
          <w:rFonts w:eastAsia="仿宋_GB2312"/>
          <w:szCs w:val="28"/>
          <w:lang w:val="en-US"/>
        </w:rPr>
        <w:t>05</w:t>
      </w:r>
      <w:r>
        <w:rPr>
          <w:rFonts w:hint="default" w:eastAsia="仿宋_GB2312"/>
          <w:szCs w:val="28"/>
          <w:lang w:val="en-US"/>
        </w:rPr>
        <w:t xml:space="preserve"> </w:t>
      </w:r>
      <w:r>
        <w:rPr>
          <w:rFonts w:eastAsia="仿宋_GB2312"/>
          <w:szCs w:val="28"/>
          <w:lang w:val="en-US"/>
        </w:rPr>
        <w:t xml:space="preserve">万猪当量。建宁县现有畜禽折算成猪当量合计 </w:t>
      </w:r>
      <w:r>
        <w:rPr>
          <w:rFonts w:hint="eastAsia" w:eastAsia="仿宋_GB2312"/>
          <w:szCs w:val="28"/>
          <w:lang w:val="en-US" w:eastAsia="zh-CN"/>
        </w:rPr>
        <w:t>30</w:t>
      </w:r>
      <w:r>
        <w:rPr>
          <w:rFonts w:hint="default" w:eastAsia="仿宋_GB2312"/>
          <w:szCs w:val="28"/>
          <w:lang w:val="en-US"/>
        </w:rPr>
        <w:t>.</w:t>
      </w:r>
      <w:r>
        <w:rPr>
          <w:rFonts w:eastAsia="仿宋_GB2312"/>
          <w:szCs w:val="28"/>
          <w:lang w:val="en-US"/>
        </w:rPr>
        <w:t>5</w:t>
      </w:r>
      <w:r>
        <w:rPr>
          <w:rFonts w:hint="eastAsia" w:eastAsia="仿宋_GB2312"/>
          <w:szCs w:val="28"/>
          <w:lang w:val="en-US" w:eastAsia="zh-CN"/>
        </w:rPr>
        <w:t>7</w:t>
      </w:r>
      <w:r>
        <w:rPr>
          <w:rFonts w:hint="default" w:eastAsia="仿宋_GB2312"/>
          <w:szCs w:val="28"/>
          <w:lang w:val="en-US"/>
        </w:rPr>
        <w:t xml:space="preserve"> </w:t>
      </w:r>
      <w:r>
        <w:rPr>
          <w:rFonts w:eastAsia="仿宋_GB2312"/>
          <w:szCs w:val="28"/>
          <w:lang w:val="en-US"/>
        </w:rPr>
        <w:t xml:space="preserve">万，建宁县现有足够的土地畜禽粪污承载空间发展畜禽养殖业。 </w:t>
      </w:r>
    </w:p>
    <w:p>
      <w:pPr>
        <w:adjustRightInd w:val="0"/>
        <w:snapToGrid w:val="0"/>
        <w:spacing w:line="600" w:lineRule="exact"/>
        <w:ind w:firstLine="560"/>
        <w:rPr>
          <w:rFonts w:hint="default" w:eastAsia="仿宋_GB2312"/>
          <w:szCs w:val="28"/>
          <w:lang w:val="en-US"/>
        </w:rPr>
      </w:pPr>
      <w:r>
        <w:rPr>
          <w:rFonts w:eastAsia="仿宋_GB2312"/>
          <w:szCs w:val="28"/>
          <w:lang w:val="en-US"/>
        </w:rPr>
        <w:t xml:space="preserve">建宁县规划 </w:t>
      </w:r>
      <w:r>
        <w:rPr>
          <w:rFonts w:hint="default" w:eastAsia="仿宋_GB2312"/>
          <w:szCs w:val="28"/>
          <w:lang w:val="en-US"/>
        </w:rPr>
        <w:t xml:space="preserve">2025 </w:t>
      </w:r>
      <w:r>
        <w:rPr>
          <w:rFonts w:eastAsia="仿宋_GB2312"/>
          <w:szCs w:val="28"/>
          <w:lang w:val="en-US"/>
        </w:rPr>
        <w:t>年畜禽粪肥氮、磷养分供给量为 1</w:t>
      </w:r>
      <w:r>
        <w:rPr>
          <w:rFonts w:hint="eastAsia" w:eastAsia="仿宋_GB2312"/>
          <w:szCs w:val="28"/>
          <w:lang w:val="en-US" w:eastAsia="zh-CN"/>
        </w:rPr>
        <w:t>326</w:t>
      </w:r>
      <w:r>
        <w:rPr>
          <w:rFonts w:eastAsia="仿宋_GB2312"/>
          <w:szCs w:val="28"/>
          <w:lang w:val="en-US"/>
        </w:rPr>
        <w:t>.</w:t>
      </w:r>
      <w:r>
        <w:rPr>
          <w:rFonts w:hint="eastAsia" w:eastAsia="仿宋_GB2312"/>
          <w:szCs w:val="28"/>
          <w:lang w:val="en-US" w:eastAsia="zh-CN"/>
        </w:rPr>
        <w:t>6</w:t>
      </w:r>
      <w:r>
        <w:rPr>
          <w:rFonts w:hint="default" w:eastAsia="仿宋_GB2312"/>
          <w:szCs w:val="28"/>
          <w:lang w:val="en-US"/>
        </w:rPr>
        <w:t>t</w:t>
      </w:r>
      <w:r>
        <w:rPr>
          <w:rFonts w:eastAsia="仿宋_GB2312"/>
          <w:szCs w:val="28"/>
          <w:lang w:val="en-US"/>
        </w:rPr>
        <w:t>、2</w:t>
      </w:r>
      <w:r>
        <w:rPr>
          <w:rFonts w:hint="eastAsia" w:eastAsia="仿宋_GB2312"/>
          <w:szCs w:val="28"/>
          <w:lang w:val="en-US" w:eastAsia="zh-CN"/>
        </w:rPr>
        <w:t>64</w:t>
      </w:r>
      <w:r>
        <w:rPr>
          <w:rFonts w:eastAsia="仿宋_GB2312"/>
          <w:szCs w:val="28"/>
          <w:lang w:val="en-US"/>
        </w:rPr>
        <w:t>.</w:t>
      </w:r>
      <w:r>
        <w:rPr>
          <w:rFonts w:hint="eastAsia" w:eastAsia="仿宋_GB2312"/>
          <w:szCs w:val="28"/>
          <w:lang w:val="en-US" w:eastAsia="zh-CN"/>
        </w:rPr>
        <w:t>2</w:t>
      </w:r>
      <w:r>
        <w:rPr>
          <w:rFonts w:hint="default" w:eastAsia="仿宋_GB2312"/>
          <w:szCs w:val="28"/>
          <w:lang w:val="en-US"/>
        </w:rPr>
        <w:t>t</w:t>
      </w:r>
      <w:r>
        <w:rPr>
          <w:rFonts w:eastAsia="仿宋_GB2312"/>
          <w:szCs w:val="28"/>
          <w:lang w:val="en-US"/>
        </w:rPr>
        <w:t xml:space="preserve">，需求量为 </w:t>
      </w:r>
      <w:r>
        <w:rPr>
          <w:rFonts w:hint="default" w:eastAsia="仿宋_GB2312"/>
          <w:szCs w:val="28"/>
          <w:lang w:val="en-US"/>
        </w:rPr>
        <w:t>3800.5t</w:t>
      </w:r>
      <w:r>
        <w:rPr>
          <w:rFonts w:eastAsia="仿宋_GB2312"/>
          <w:szCs w:val="28"/>
          <w:lang w:val="en-US"/>
        </w:rPr>
        <w:t>、</w:t>
      </w:r>
      <w:r>
        <w:rPr>
          <w:rFonts w:hint="default" w:eastAsia="仿宋_GB2312"/>
          <w:szCs w:val="28"/>
          <w:lang w:val="en-US"/>
        </w:rPr>
        <w:t>8047.1t</w:t>
      </w:r>
      <w:r>
        <w:rPr>
          <w:rFonts w:eastAsia="仿宋_GB2312"/>
          <w:szCs w:val="28"/>
          <w:lang w:val="en-US"/>
        </w:rPr>
        <w:t>，无论是从氮还是磷养分分析，建宁县作物粪肥养分需求量均大于畜禽粪污的排泄量和供给量，畜禽粪肥氮的供给量是需求量的</w:t>
      </w:r>
      <w:r>
        <w:rPr>
          <w:rFonts w:hint="eastAsia" w:eastAsia="仿宋_GB2312"/>
          <w:szCs w:val="28"/>
          <w:lang w:val="en-US" w:eastAsia="zh-CN"/>
        </w:rPr>
        <w:t>34</w:t>
      </w:r>
      <w:r>
        <w:rPr>
          <w:rFonts w:eastAsia="仿宋_GB2312"/>
          <w:szCs w:val="28"/>
          <w:lang w:val="en-US"/>
        </w:rPr>
        <w:t>.</w:t>
      </w:r>
      <w:r>
        <w:rPr>
          <w:rFonts w:hint="eastAsia" w:eastAsia="仿宋_GB2312"/>
          <w:szCs w:val="28"/>
          <w:lang w:val="en-US" w:eastAsia="zh-CN"/>
        </w:rPr>
        <w:t>90</w:t>
      </w:r>
      <w:r>
        <w:rPr>
          <w:rFonts w:eastAsia="仿宋_GB2312"/>
          <w:szCs w:val="28"/>
          <w:lang w:val="en-US"/>
        </w:rPr>
        <w:t>%。所以建宁县规划的畜禽养殖规模产生的畜禽粪污可以在当地消纳，且粪肥的利用可有效提升土壤土质、提高作物产量，实现畜禽粪污的资源化利用。</w:t>
      </w:r>
    </w:p>
    <w:p>
      <w:pPr>
        <w:adjustRightInd w:val="0"/>
        <w:snapToGrid w:val="0"/>
        <w:spacing w:line="600" w:lineRule="exact"/>
        <w:ind w:firstLine="560"/>
        <w:rPr>
          <w:rFonts w:eastAsia="仿宋_GB2312"/>
          <w:szCs w:val="28"/>
          <w:lang w:val="en-US"/>
        </w:rPr>
      </w:pPr>
      <w:r>
        <w:rPr>
          <w:rFonts w:eastAsia="仿宋_GB2312"/>
          <w:szCs w:val="28"/>
          <w:lang w:val="en-US"/>
        </w:rPr>
        <w:t>建宁县畜禽粪污土地承载力理论畜禽承载量为</w:t>
      </w:r>
      <w:r>
        <w:rPr>
          <w:rFonts w:hint="default" w:eastAsia="仿宋_GB2312"/>
          <w:szCs w:val="28"/>
          <w:lang w:val="en-US"/>
        </w:rPr>
        <w:t xml:space="preserve">54.29 </w:t>
      </w:r>
      <w:r>
        <w:rPr>
          <w:rFonts w:eastAsia="仿宋_GB2312"/>
          <w:szCs w:val="28"/>
          <w:lang w:val="en-US"/>
        </w:rPr>
        <w:t>万个猪当量，</w:t>
      </w:r>
      <w:r>
        <w:rPr>
          <w:rFonts w:hint="default" w:eastAsia="仿宋_GB2312"/>
          <w:szCs w:val="28"/>
          <w:lang w:val="en-US"/>
        </w:rPr>
        <w:t xml:space="preserve">2020 </w:t>
      </w:r>
      <w:r>
        <w:rPr>
          <w:rFonts w:eastAsia="仿宋_GB2312"/>
          <w:szCs w:val="28"/>
          <w:lang w:val="en-US"/>
        </w:rPr>
        <w:t>年猪当量</w:t>
      </w:r>
      <w:r>
        <w:rPr>
          <w:rFonts w:hint="default" w:eastAsia="仿宋_GB2312"/>
          <w:szCs w:val="28"/>
          <w:lang w:val="en-US"/>
        </w:rPr>
        <w:t>1</w:t>
      </w:r>
      <w:r>
        <w:rPr>
          <w:rFonts w:eastAsia="仿宋_GB2312"/>
          <w:szCs w:val="28"/>
          <w:lang w:val="en-US"/>
        </w:rPr>
        <w:t>1</w:t>
      </w:r>
      <w:r>
        <w:rPr>
          <w:rFonts w:hint="default" w:eastAsia="仿宋_GB2312"/>
          <w:szCs w:val="28"/>
          <w:lang w:val="en-US"/>
        </w:rPr>
        <w:t>.</w:t>
      </w:r>
      <w:r>
        <w:rPr>
          <w:rFonts w:eastAsia="仿宋_GB2312"/>
          <w:szCs w:val="28"/>
          <w:lang w:val="en-US"/>
        </w:rPr>
        <w:t>5</w:t>
      </w:r>
      <w:r>
        <w:rPr>
          <w:rFonts w:hint="default" w:eastAsia="仿宋_GB2312"/>
          <w:szCs w:val="28"/>
          <w:lang w:val="en-US"/>
        </w:rPr>
        <w:t>5</w:t>
      </w:r>
      <w:r>
        <w:rPr>
          <w:rFonts w:eastAsia="仿宋_GB2312"/>
          <w:szCs w:val="28"/>
          <w:lang w:val="en-US"/>
        </w:rPr>
        <w:t xml:space="preserve">万个，规划 </w:t>
      </w:r>
      <w:r>
        <w:rPr>
          <w:rFonts w:hint="default" w:eastAsia="仿宋_GB2312"/>
          <w:szCs w:val="28"/>
          <w:lang w:val="en-US"/>
        </w:rPr>
        <w:t xml:space="preserve">2025 </w:t>
      </w:r>
      <w:r>
        <w:rPr>
          <w:rFonts w:eastAsia="仿宋_GB2312"/>
          <w:szCs w:val="28"/>
          <w:lang w:val="en-US"/>
        </w:rPr>
        <w:t>年猪当量</w:t>
      </w:r>
      <w:r>
        <w:rPr>
          <w:rFonts w:hint="eastAsia" w:eastAsia="仿宋_GB2312"/>
          <w:szCs w:val="28"/>
          <w:lang w:val="en-US" w:eastAsia="zh-CN"/>
        </w:rPr>
        <w:t>30</w:t>
      </w:r>
      <w:r>
        <w:rPr>
          <w:rFonts w:hint="default" w:eastAsia="仿宋_GB2312"/>
          <w:szCs w:val="28"/>
          <w:lang w:val="en-US"/>
        </w:rPr>
        <w:t>.</w:t>
      </w:r>
      <w:r>
        <w:rPr>
          <w:rFonts w:hint="eastAsia" w:eastAsia="仿宋_GB2312"/>
          <w:szCs w:val="28"/>
          <w:lang w:val="en-US" w:eastAsia="zh-CN"/>
        </w:rPr>
        <w:t>57</w:t>
      </w:r>
      <w:r>
        <w:rPr>
          <w:rFonts w:eastAsia="仿宋_GB2312"/>
          <w:szCs w:val="28"/>
          <w:lang w:val="en-US"/>
        </w:rPr>
        <w:t>万个，计算见</w:t>
      </w:r>
      <w:r>
        <w:rPr>
          <w:rFonts w:hint="default" w:eastAsia="仿宋_GB2312"/>
          <w:szCs w:val="28"/>
        </w:rPr>
        <w:t>表</w:t>
      </w:r>
      <w:r>
        <w:rPr>
          <w:rFonts w:eastAsia="仿宋_GB2312"/>
          <w:szCs w:val="28"/>
          <w:lang w:val="en-US"/>
        </w:rPr>
        <w:t>8。</w:t>
      </w:r>
    </w:p>
    <w:p>
      <w:pPr>
        <w:pStyle w:val="22"/>
        <w:spacing w:line="240" w:lineRule="auto"/>
        <w:ind w:firstLine="0" w:firstLineChars="0"/>
        <w:jc w:val="center"/>
        <w:rPr>
          <w:rFonts w:hint="default" w:eastAsia="仿宋"/>
          <w:b/>
          <w:bCs/>
          <w:szCs w:val="28"/>
          <w:lang w:val="en-US"/>
        </w:rPr>
      </w:pPr>
      <w:bookmarkStart w:id="519" w:name="_Toc31324"/>
      <w:bookmarkStart w:id="520" w:name="_Toc1586"/>
      <w:bookmarkStart w:id="521" w:name="_Toc32040"/>
      <w:r>
        <w:rPr>
          <w:rFonts w:hint="default" w:eastAsia="仿宋"/>
          <w:b/>
          <w:bCs/>
          <w:szCs w:val="28"/>
        </w:rPr>
        <w:t>表</w:t>
      </w:r>
      <w:r>
        <w:rPr>
          <w:rFonts w:eastAsia="仿宋"/>
          <w:b/>
          <w:bCs/>
          <w:szCs w:val="28"/>
          <w:lang w:val="en-US"/>
        </w:rPr>
        <w:t>8建宁县畜禽粪污土地承载力计算表</w:t>
      </w:r>
    </w:p>
    <w:tbl>
      <w:tblPr>
        <w:tblStyle w:val="18"/>
        <w:tblW w:w="492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665"/>
        <w:gridCol w:w="863"/>
        <w:gridCol w:w="683"/>
        <w:gridCol w:w="728"/>
        <w:gridCol w:w="890"/>
        <w:gridCol w:w="929"/>
        <w:gridCol w:w="848"/>
        <w:gridCol w:w="801"/>
        <w:gridCol w:w="967"/>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trPr>
        <w:tc>
          <w:tcPr>
            <w:tcW w:w="415" w:type="pct"/>
            <w:vMerge w:val="restar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作物类别</w:t>
            </w:r>
          </w:p>
        </w:tc>
        <w:tc>
          <w:tcPr>
            <w:tcW w:w="364" w:type="pct"/>
            <w:vMerge w:val="restar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作物品种 </w:t>
            </w:r>
          </w:p>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474" w:type="pct"/>
            <w:vMerge w:val="restar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产量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（t、m</w:t>
            </w:r>
            <w:r>
              <w:rPr>
                <w:rFonts w:hint="default"/>
                <w:b/>
                <w:sz w:val="21"/>
                <w:szCs w:val="21"/>
                <w:vertAlign w:val="superscript"/>
                <w:lang w:val="en-US" w:bidi="ar"/>
              </w:rPr>
              <w:t>3</w:t>
            </w:r>
            <w:r>
              <w:rPr>
                <w:rFonts w:hint="default"/>
                <w:b/>
                <w:sz w:val="21"/>
                <w:szCs w:val="21"/>
                <w:lang w:val="en-US" w:bidi="ar"/>
              </w:rPr>
              <w:t xml:space="preserve">） </w:t>
            </w:r>
          </w:p>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375" w:type="pct"/>
            <w:vMerge w:val="restar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不同植物形成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100kg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产量所需氮 （kg） </w:t>
            </w:r>
          </w:p>
        </w:tc>
        <w:tc>
          <w:tcPr>
            <w:tcW w:w="399" w:type="pct"/>
            <w:vMerge w:val="restar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不同植物形成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100kg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产量所需磷（kg）</w:t>
            </w:r>
          </w:p>
        </w:tc>
        <w:tc>
          <w:tcPr>
            <w:tcW w:w="998" w:type="pct"/>
            <w:gridSpan w:val="2"/>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年氮/磷养分需求量（t）</w:t>
            </w:r>
          </w:p>
        </w:tc>
        <w:tc>
          <w:tcPr>
            <w:tcW w:w="906" w:type="pct"/>
            <w:gridSpan w:val="2"/>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区域植物粪肥养分需求量（t）</w:t>
            </w:r>
          </w:p>
        </w:tc>
        <w:tc>
          <w:tcPr>
            <w:tcW w:w="1065" w:type="pct"/>
            <w:gridSpan w:val="2"/>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土地承载力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（猪当量/个）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15"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364"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474"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375"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399"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489"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以氮为基础 </w:t>
            </w:r>
          </w:p>
        </w:tc>
        <w:tc>
          <w:tcPr>
            <w:tcW w:w="509"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以磷为基础</w:t>
            </w:r>
          </w:p>
        </w:tc>
        <w:tc>
          <w:tcPr>
            <w:tcW w:w="466"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以氮为基础 </w:t>
            </w:r>
          </w:p>
        </w:tc>
        <w:tc>
          <w:tcPr>
            <w:tcW w:w="439"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以磷为基础</w:t>
            </w:r>
          </w:p>
        </w:tc>
        <w:tc>
          <w:tcPr>
            <w:tcW w:w="531"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以氮为基础</w:t>
            </w:r>
          </w:p>
        </w:tc>
        <w:tc>
          <w:tcPr>
            <w:tcW w:w="534"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以磷为基础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5" w:hRule="atLeast"/>
        </w:trPr>
        <w:tc>
          <w:tcPr>
            <w:tcW w:w="415"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364"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474"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375"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399" w:type="pct"/>
            <w:vMerge w:val="continue"/>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422"/>
              <w:textAlignment w:val="auto"/>
              <w:rPr>
                <w:rFonts w:hint="default"/>
                <w:b/>
                <w:sz w:val="21"/>
                <w:szCs w:val="21"/>
                <w:lang w:val="en-US" w:bidi="ar"/>
              </w:rPr>
            </w:pPr>
          </w:p>
        </w:tc>
        <w:tc>
          <w:tcPr>
            <w:tcW w:w="489"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粪肥全部就地还田利用</w:t>
            </w:r>
          </w:p>
        </w:tc>
        <w:tc>
          <w:tcPr>
            <w:tcW w:w="509"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粪肥全部就地还田利用</w:t>
            </w:r>
          </w:p>
        </w:tc>
        <w:tc>
          <w:tcPr>
            <w:tcW w:w="466"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 </w:t>
            </w:r>
          </w:p>
        </w:tc>
        <w:tc>
          <w:tcPr>
            <w:tcW w:w="439"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 </w:t>
            </w:r>
          </w:p>
        </w:tc>
        <w:tc>
          <w:tcPr>
            <w:tcW w:w="531"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7.0kg/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猪当量</w:t>
            </w:r>
          </w:p>
        </w:tc>
        <w:tc>
          <w:tcPr>
            <w:tcW w:w="534" w:type="pct"/>
            <w:noWrap w:val="0"/>
            <w:vAlign w:val="top"/>
          </w:tcPr>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 xml:space="preserve">1.2kg/ </w:t>
            </w:r>
          </w:p>
          <w:p>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auto"/>
              <w:rPr>
                <w:rFonts w:hint="default"/>
                <w:b/>
                <w:sz w:val="21"/>
                <w:szCs w:val="21"/>
                <w:lang w:val="en-US" w:bidi="ar"/>
              </w:rPr>
            </w:pPr>
            <w:r>
              <w:rPr>
                <w:rFonts w:hint="default"/>
                <w:b/>
                <w:sz w:val="21"/>
                <w:szCs w:val="21"/>
                <w:lang w:val="en-US" w:bidi="ar"/>
              </w:rPr>
              <w:t>猪当量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15" w:type="pct"/>
            <w:vMerge w:val="restart"/>
            <w:noWrap w:val="0"/>
            <w:vAlign w:val="top"/>
          </w:tcPr>
          <w:p>
            <w:pPr>
              <w:widowControl/>
              <w:ind w:firstLine="0" w:firstLineChars="0"/>
              <w:rPr>
                <w:rFonts w:hint="default"/>
                <w:b/>
                <w:sz w:val="21"/>
                <w:szCs w:val="21"/>
                <w:lang w:val="en-US" w:bidi="ar"/>
              </w:rPr>
            </w:pPr>
            <w:r>
              <w:rPr>
                <w:rFonts w:hint="default"/>
                <w:b/>
                <w:sz w:val="21"/>
                <w:szCs w:val="21"/>
                <w:lang w:val="en-US" w:bidi="ar"/>
              </w:rPr>
              <w:t>粮食作物</w:t>
            </w: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稻谷</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85929</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2.2</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0.8</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1890.4</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687.4</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1701.4</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515.6</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243056</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429645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15" w:type="pct"/>
            <w:vMerge w:val="continue"/>
            <w:noWrap w:val="0"/>
            <w:vAlign w:val="top"/>
          </w:tcPr>
          <w:p>
            <w:pPr>
              <w:widowControl/>
              <w:ind w:firstLine="422"/>
              <w:rPr>
                <w:rFonts w:hint="default"/>
                <w:b/>
                <w:sz w:val="21"/>
                <w:szCs w:val="21"/>
                <w:lang w:val="en-US" w:bidi="ar"/>
              </w:rPr>
            </w:pP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杂粮</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2813</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2.7</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0.9</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75.9</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25.3</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68.4</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19.0</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9765.1</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15823.1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415" w:type="pct"/>
            <w:vMerge w:val="restart"/>
            <w:noWrap w:val="0"/>
            <w:vAlign w:val="top"/>
          </w:tcPr>
          <w:p>
            <w:pPr>
              <w:widowControl/>
              <w:ind w:firstLine="0" w:firstLineChars="0"/>
              <w:rPr>
                <w:rFonts w:hint="default"/>
                <w:b/>
                <w:sz w:val="21"/>
                <w:szCs w:val="21"/>
                <w:lang w:val="en-US" w:bidi="ar"/>
              </w:rPr>
            </w:pPr>
            <w:r>
              <w:rPr>
                <w:rFonts w:hint="default"/>
                <w:b/>
                <w:sz w:val="21"/>
                <w:szCs w:val="21"/>
                <w:lang w:val="en-US" w:bidi="ar"/>
              </w:rPr>
              <w:t>经济作物</w:t>
            </w: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油料</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289</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7.2</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0.9</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20.8</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2.6 </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18.7 </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1.9</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2671.6 </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1602.1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15" w:type="pct"/>
            <w:vMerge w:val="continue"/>
            <w:noWrap w:val="0"/>
            <w:vAlign w:val="top"/>
          </w:tcPr>
          <w:p>
            <w:pPr>
              <w:widowControl/>
              <w:ind w:firstLine="422"/>
              <w:rPr>
                <w:rFonts w:hint="default"/>
                <w:b/>
                <w:sz w:val="21"/>
                <w:szCs w:val="21"/>
                <w:lang w:val="en-US" w:bidi="ar"/>
              </w:rPr>
            </w:pP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甘蔗</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866</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0.18</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0.02</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1.56</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0.1</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1.4 </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0.1</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200.4</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415" w:type="pct"/>
            <w:vMerge w:val="continue"/>
            <w:noWrap w:val="0"/>
            <w:vAlign w:val="top"/>
          </w:tcPr>
          <w:p>
            <w:pPr>
              <w:widowControl/>
              <w:ind w:firstLine="422"/>
              <w:rPr>
                <w:rFonts w:hint="default"/>
                <w:b/>
                <w:sz w:val="21"/>
                <w:szCs w:val="21"/>
                <w:lang w:val="en-US" w:bidi="ar"/>
              </w:rPr>
            </w:pP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烟叶</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3306 </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3.85</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0.5</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127.3</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17.6</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114.6</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13.2</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16364.7</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10992.5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415" w:type="pct"/>
            <w:vMerge w:val="continue"/>
            <w:noWrap w:val="0"/>
            <w:vAlign w:val="top"/>
          </w:tcPr>
          <w:p>
            <w:pPr>
              <w:widowControl/>
              <w:ind w:firstLine="422"/>
              <w:rPr>
                <w:rFonts w:hint="default"/>
                <w:b/>
                <w:sz w:val="21"/>
                <w:szCs w:val="21"/>
                <w:lang w:val="en-US" w:bidi="ar"/>
              </w:rPr>
            </w:pP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蔬菜</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80788</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0.36</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0.09</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292.9</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71.3</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263.6</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53.5</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37653.0</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44559.6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415" w:type="pct"/>
            <w:vMerge w:val="continue"/>
            <w:noWrap w:val="0"/>
            <w:vAlign w:val="top"/>
          </w:tcPr>
          <w:p>
            <w:pPr>
              <w:widowControl/>
              <w:ind w:firstLine="422"/>
              <w:rPr>
                <w:rFonts w:hint="default"/>
                <w:b/>
                <w:sz w:val="21"/>
                <w:szCs w:val="21"/>
                <w:lang w:val="en-US" w:bidi="ar"/>
              </w:rPr>
            </w:pP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食用菌</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7404</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0.9</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1.8</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66.6</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133.3</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59.9 </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99.9</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8567.5</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83295.0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415" w:type="pct"/>
            <w:vMerge w:val="continue"/>
            <w:noWrap w:val="0"/>
            <w:vAlign w:val="top"/>
          </w:tcPr>
          <w:p>
            <w:pPr>
              <w:widowControl/>
              <w:ind w:firstLine="422"/>
              <w:rPr>
                <w:rFonts w:hint="default"/>
                <w:b/>
                <w:sz w:val="21"/>
                <w:szCs w:val="21"/>
                <w:lang w:val="en-US" w:bidi="ar"/>
              </w:rPr>
            </w:pP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茶叶</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1660</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0.28 </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0.09 </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4.65 </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1.49</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4.2 </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1.12 </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597.6 </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933.8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415" w:type="pct"/>
            <w:vMerge w:val="continue"/>
            <w:noWrap w:val="0"/>
            <w:vAlign w:val="top"/>
          </w:tcPr>
          <w:p>
            <w:pPr>
              <w:widowControl/>
              <w:ind w:firstLine="422"/>
              <w:rPr>
                <w:rFonts w:hint="default"/>
                <w:b/>
                <w:sz w:val="21"/>
                <w:szCs w:val="21"/>
                <w:lang w:val="en-US" w:bidi="ar"/>
              </w:rPr>
            </w:pPr>
          </w:p>
        </w:tc>
        <w:tc>
          <w:tcPr>
            <w:tcW w:w="364" w:type="pct"/>
            <w:noWrap w:val="0"/>
            <w:vAlign w:val="top"/>
          </w:tcPr>
          <w:p>
            <w:pPr>
              <w:widowControl/>
              <w:ind w:firstLine="0" w:firstLineChars="0"/>
              <w:rPr>
                <w:rFonts w:hint="default"/>
                <w:b/>
                <w:sz w:val="21"/>
                <w:szCs w:val="21"/>
                <w:lang w:val="en-US" w:bidi="ar"/>
              </w:rPr>
            </w:pPr>
            <w:r>
              <w:rPr>
                <w:rFonts w:hint="default"/>
                <w:b/>
                <w:sz w:val="21"/>
                <w:szCs w:val="21"/>
                <w:lang w:val="en-US" w:bidi="ar"/>
              </w:rPr>
              <w:t>水果</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129649</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0.6</w:t>
            </w: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0.11</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777.9 </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142.6</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700.1</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107.0</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100015</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89133.7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0" w:type="pct"/>
            <w:gridSpan w:val="2"/>
            <w:noWrap w:val="0"/>
            <w:vAlign w:val="top"/>
          </w:tcPr>
          <w:p>
            <w:pPr>
              <w:widowControl/>
              <w:ind w:firstLine="0" w:firstLineChars="0"/>
              <w:rPr>
                <w:rFonts w:hint="default"/>
                <w:b/>
                <w:sz w:val="21"/>
                <w:szCs w:val="21"/>
                <w:lang w:val="en-US" w:bidi="ar"/>
              </w:rPr>
            </w:pPr>
            <w:r>
              <w:rPr>
                <w:rFonts w:hint="default"/>
                <w:b/>
                <w:sz w:val="21"/>
                <w:szCs w:val="21"/>
                <w:lang w:val="en-US" w:bidi="ar"/>
              </w:rPr>
              <w:t>人工林 289432 亩</w:t>
            </w:r>
          </w:p>
        </w:tc>
        <w:tc>
          <w:tcPr>
            <w:tcW w:w="474" w:type="pct"/>
            <w:noWrap w:val="0"/>
            <w:vAlign w:val="top"/>
          </w:tcPr>
          <w:p>
            <w:pPr>
              <w:widowControl/>
              <w:ind w:firstLine="0" w:firstLineChars="0"/>
              <w:rPr>
                <w:rFonts w:hint="default"/>
                <w:b/>
                <w:sz w:val="21"/>
                <w:szCs w:val="21"/>
                <w:lang w:val="en-US" w:bidi="ar"/>
              </w:rPr>
            </w:pPr>
            <w:r>
              <w:rPr>
                <w:rFonts w:hint="default"/>
                <w:b/>
                <w:sz w:val="21"/>
                <w:szCs w:val="21"/>
                <w:lang w:val="en-US" w:bidi="ar"/>
              </w:rPr>
              <w:t>385912</w:t>
            </w:r>
          </w:p>
        </w:tc>
        <w:tc>
          <w:tcPr>
            <w:tcW w:w="375"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2.5 </w:t>
            </w:r>
          </w:p>
          <w:p>
            <w:pPr>
              <w:widowControl/>
              <w:ind w:firstLine="422"/>
              <w:rPr>
                <w:rFonts w:hint="default"/>
                <w:b/>
                <w:sz w:val="21"/>
                <w:szCs w:val="21"/>
                <w:lang w:val="en-US" w:bidi="ar"/>
              </w:rPr>
            </w:pPr>
          </w:p>
        </w:tc>
        <w:tc>
          <w:tcPr>
            <w:tcW w:w="39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2.5 </w:t>
            </w:r>
          </w:p>
          <w:p>
            <w:pPr>
              <w:widowControl/>
              <w:ind w:firstLine="422"/>
              <w:rPr>
                <w:rFonts w:hint="default"/>
                <w:b/>
                <w:sz w:val="21"/>
                <w:szCs w:val="21"/>
                <w:lang w:val="en-US" w:bidi="ar"/>
              </w:rPr>
            </w:pP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964.8 </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9647.2 </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868.3 </w:t>
            </w:r>
          </w:p>
          <w:p>
            <w:pPr>
              <w:widowControl/>
              <w:ind w:firstLine="422"/>
              <w:rPr>
                <w:rFonts w:hint="default"/>
                <w:b/>
                <w:sz w:val="21"/>
                <w:szCs w:val="21"/>
                <w:lang w:val="en-US" w:bidi="ar"/>
              </w:rPr>
            </w:pP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7235.8 </w:t>
            </w:r>
          </w:p>
          <w:p>
            <w:pPr>
              <w:widowControl/>
              <w:ind w:firstLine="422"/>
              <w:rPr>
                <w:rFonts w:hint="default"/>
                <w:b/>
                <w:sz w:val="21"/>
                <w:szCs w:val="21"/>
                <w:lang w:val="en-US" w:bidi="ar"/>
              </w:rPr>
            </w:pP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1240430 </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6029871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2029" w:type="pct"/>
            <w:gridSpan w:val="5"/>
            <w:noWrap w:val="0"/>
            <w:vAlign w:val="top"/>
          </w:tcPr>
          <w:p>
            <w:pPr>
              <w:widowControl/>
              <w:ind w:firstLine="422"/>
              <w:rPr>
                <w:rFonts w:hint="default"/>
                <w:b/>
                <w:sz w:val="21"/>
                <w:szCs w:val="21"/>
                <w:lang w:val="en-US" w:bidi="ar"/>
              </w:rPr>
            </w:pPr>
            <w:r>
              <w:rPr>
                <w:rFonts w:hint="default"/>
                <w:b/>
                <w:sz w:val="21"/>
                <w:szCs w:val="21"/>
                <w:lang w:val="en-US" w:bidi="ar"/>
              </w:rPr>
              <w:t>合计</w:t>
            </w:r>
          </w:p>
        </w:tc>
        <w:tc>
          <w:tcPr>
            <w:tcW w:w="489" w:type="pct"/>
            <w:noWrap w:val="0"/>
            <w:vAlign w:val="top"/>
          </w:tcPr>
          <w:p>
            <w:pPr>
              <w:widowControl/>
              <w:ind w:firstLine="0" w:firstLineChars="0"/>
              <w:rPr>
                <w:rFonts w:hint="default"/>
                <w:b/>
                <w:sz w:val="21"/>
                <w:szCs w:val="21"/>
                <w:lang w:val="en-US" w:bidi="ar"/>
              </w:rPr>
            </w:pPr>
            <w:r>
              <w:rPr>
                <w:rFonts w:hint="default"/>
                <w:b/>
                <w:sz w:val="21"/>
                <w:szCs w:val="21"/>
                <w:lang w:val="en-US" w:bidi="ar"/>
              </w:rPr>
              <w:t>4222.8</w:t>
            </w:r>
          </w:p>
        </w:tc>
        <w:tc>
          <w:tcPr>
            <w:tcW w:w="509" w:type="pct"/>
            <w:noWrap w:val="0"/>
            <w:vAlign w:val="top"/>
          </w:tcPr>
          <w:p>
            <w:pPr>
              <w:widowControl/>
              <w:ind w:firstLine="0" w:firstLineChars="0"/>
              <w:rPr>
                <w:rFonts w:hint="default"/>
                <w:b/>
                <w:sz w:val="21"/>
                <w:szCs w:val="21"/>
                <w:lang w:val="en-US" w:bidi="ar"/>
              </w:rPr>
            </w:pPr>
            <w:r>
              <w:rPr>
                <w:rFonts w:hint="default"/>
                <w:b/>
                <w:sz w:val="21"/>
                <w:szCs w:val="21"/>
                <w:lang w:val="en-US" w:bidi="ar"/>
              </w:rPr>
              <w:t xml:space="preserve">10729.5 </w:t>
            </w:r>
          </w:p>
        </w:tc>
        <w:tc>
          <w:tcPr>
            <w:tcW w:w="466" w:type="pct"/>
            <w:noWrap w:val="0"/>
            <w:vAlign w:val="top"/>
          </w:tcPr>
          <w:p>
            <w:pPr>
              <w:widowControl/>
              <w:ind w:firstLine="0" w:firstLineChars="0"/>
              <w:rPr>
                <w:rFonts w:hint="default"/>
                <w:b/>
                <w:sz w:val="21"/>
                <w:szCs w:val="21"/>
                <w:lang w:val="en-US" w:bidi="ar"/>
              </w:rPr>
            </w:pPr>
            <w:r>
              <w:rPr>
                <w:rFonts w:hint="default"/>
                <w:b/>
                <w:sz w:val="21"/>
                <w:szCs w:val="21"/>
                <w:lang w:val="en-US" w:bidi="ar"/>
              </w:rPr>
              <w:t>3800.5</w:t>
            </w:r>
          </w:p>
        </w:tc>
        <w:tc>
          <w:tcPr>
            <w:tcW w:w="439" w:type="pct"/>
            <w:noWrap w:val="0"/>
            <w:vAlign w:val="top"/>
          </w:tcPr>
          <w:p>
            <w:pPr>
              <w:widowControl/>
              <w:ind w:firstLine="0" w:firstLineChars="0"/>
              <w:rPr>
                <w:rFonts w:hint="default"/>
                <w:b/>
                <w:sz w:val="21"/>
                <w:szCs w:val="21"/>
                <w:lang w:val="en-US" w:bidi="ar"/>
              </w:rPr>
            </w:pPr>
            <w:r>
              <w:rPr>
                <w:rFonts w:hint="default"/>
                <w:b/>
                <w:sz w:val="21"/>
                <w:szCs w:val="21"/>
                <w:lang w:val="en-US" w:bidi="ar"/>
              </w:rPr>
              <w:t>8047.1</w:t>
            </w:r>
          </w:p>
        </w:tc>
        <w:tc>
          <w:tcPr>
            <w:tcW w:w="531" w:type="pct"/>
            <w:noWrap w:val="0"/>
            <w:vAlign w:val="top"/>
          </w:tcPr>
          <w:p>
            <w:pPr>
              <w:widowControl/>
              <w:ind w:firstLine="0" w:firstLineChars="0"/>
              <w:rPr>
                <w:rFonts w:hint="default"/>
                <w:b/>
                <w:sz w:val="21"/>
                <w:szCs w:val="21"/>
                <w:lang w:val="en-US" w:bidi="ar"/>
              </w:rPr>
            </w:pPr>
            <w:r>
              <w:rPr>
                <w:rFonts w:hint="default"/>
                <w:b/>
                <w:sz w:val="21"/>
                <w:szCs w:val="21"/>
                <w:lang w:val="en-US" w:bidi="ar"/>
              </w:rPr>
              <w:t>542934</w:t>
            </w:r>
          </w:p>
        </w:tc>
        <w:tc>
          <w:tcPr>
            <w:tcW w:w="534" w:type="pct"/>
            <w:noWrap w:val="0"/>
            <w:vAlign w:val="top"/>
          </w:tcPr>
          <w:p>
            <w:pPr>
              <w:widowControl/>
              <w:ind w:firstLine="0" w:firstLineChars="0"/>
              <w:rPr>
                <w:rFonts w:hint="default"/>
                <w:b/>
                <w:sz w:val="21"/>
                <w:szCs w:val="21"/>
                <w:lang w:val="en-US" w:bidi="ar"/>
              </w:rPr>
            </w:pPr>
            <w:r>
              <w:rPr>
                <w:rFonts w:hint="default"/>
                <w:b/>
                <w:sz w:val="21"/>
                <w:szCs w:val="21"/>
                <w:lang w:val="en-US" w:bidi="ar"/>
              </w:rPr>
              <w:t>6705942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3028" w:type="pct"/>
            <w:gridSpan w:val="7"/>
            <w:noWrap w:val="0"/>
            <w:vAlign w:val="top"/>
          </w:tcPr>
          <w:p>
            <w:pPr>
              <w:widowControl/>
              <w:ind w:firstLine="422"/>
              <w:rPr>
                <w:rFonts w:hint="default"/>
                <w:b/>
                <w:sz w:val="21"/>
                <w:szCs w:val="21"/>
                <w:lang w:val="en-US" w:bidi="ar"/>
              </w:rPr>
            </w:pPr>
            <w:r>
              <w:rPr>
                <w:rFonts w:hint="default"/>
                <w:b/>
                <w:sz w:val="21"/>
                <w:szCs w:val="21"/>
                <w:lang w:val="en-US" w:bidi="ar"/>
              </w:rPr>
              <w:t>理论畜禽承载量（猪当量/万个）</w:t>
            </w:r>
          </w:p>
        </w:tc>
        <w:tc>
          <w:tcPr>
            <w:tcW w:w="466" w:type="pct"/>
            <w:noWrap w:val="0"/>
            <w:vAlign w:val="top"/>
          </w:tcPr>
          <w:p>
            <w:pPr>
              <w:widowControl/>
              <w:ind w:firstLine="422"/>
              <w:rPr>
                <w:rFonts w:hint="default"/>
                <w:b/>
                <w:sz w:val="21"/>
                <w:szCs w:val="21"/>
                <w:lang w:val="en-US" w:bidi="ar"/>
              </w:rPr>
            </w:pPr>
          </w:p>
        </w:tc>
        <w:tc>
          <w:tcPr>
            <w:tcW w:w="439" w:type="pct"/>
            <w:noWrap w:val="0"/>
            <w:vAlign w:val="top"/>
          </w:tcPr>
          <w:p>
            <w:pPr>
              <w:widowControl/>
              <w:ind w:firstLine="422"/>
              <w:rPr>
                <w:rFonts w:hint="default"/>
                <w:b/>
                <w:sz w:val="21"/>
                <w:szCs w:val="21"/>
                <w:lang w:val="en-US" w:bidi="ar"/>
              </w:rPr>
            </w:pPr>
          </w:p>
        </w:tc>
        <w:tc>
          <w:tcPr>
            <w:tcW w:w="1065" w:type="pct"/>
            <w:gridSpan w:val="2"/>
            <w:noWrap w:val="0"/>
            <w:vAlign w:val="top"/>
          </w:tcPr>
          <w:p>
            <w:pPr>
              <w:widowControl/>
              <w:ind w:firstLine="422"/>
              <w:rPr>
                <w:rFonts w:hint="default"/>
                <w:b/>
                <w:sz w:val="21"/>
                <w:szCs w:val="21"/>
                <w:lang w:val="en-US" w:bidi="ar"/>
              </w:rPr>
            </w:pPr>
            <w:r>
              <w:rPr>
                <w:rFonts w:hint="default"/>
                <w:b/>
                <w:sz w:val="21"/>
                <w:szCs w:val="21"/>
                <w:lang w:val="en-US" w:bidi="ar"/>
              </w:rPr>
              <w:t xml:space="preserve">54.29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3028" w:type="pct"/>
            <w:gridSpan w:val="7"/>
            <w:noWrap w:val="0"/>
            <w:vAlign w:val="top"/>
          </w:tcPr>
          <w:p>
            <w:pPr>
              <w:widowControl/>
              <w:ind w:firstLine="422"/>
              <w:rPr>
                <w:rFonts w:hint="default"/>
                <w:b/>
                <w:sz w:val="21"/>
                <w:szCs w:val="21"/>
                <w:lang w:val="en-US" w:bidi="ar"/>
              </w:rPr>
            </w:pPr>
            <w:r>
              <w:rPr>
                <w:rFonts w:hint="default"/>
                <w:b/>
                <w:sz w:val="21"/>
                <w:szCs w:val="21"/>
                <w:lang w:val="en-US" w:bidi="ar"/>
              </w:rPr>
              <w:t>2020 年现状猪当量（猪当量/万个）</w:t>
            </w:r>
          </w:p>
        </w:tc>
        <w:tc>
          <w:tcPr>
            <w:tcW w:w="466" w:type="pct"/>
            <w:noWrap w:val="0"/>
            <w:vAlign w:val="top"/>
          </w:tcPr>
          <w:p>
            <w:pPr>
              <w:widowControl/>
              <w:ind w:firstLine="422"/>
              <w:rPr>
                <w:rFonts w:hint="default"/>
                <w:b/>
                <w:sz w:val="21"/>
                <w:szCs w:val="21"/>
                <w:lang w:val="en-US" w:bidi="ar"/>
              </w:rPr>
            </w:pPr>
          </w:p>
        </w:tc>
        <w:tc>
          <w:tcPr>
            <w:tcW w:w="439" w:type="pct"/>
            <w:noWrap w:val="0"/>
            <w:vAlign w:val="top"/>
          </w:tcPr>
          <w:p>
            <w:pPr>
              <w:widowControl/>
              <w:ind w:firstLine="422"/>
              <w:rPr>
                <w:rFonts w:hint="default"/>
                <w:b/>
                <w:sz w:val="21"/>
                <w:szCs w:val="21"/>
                <w:lang w:val="en-US" w:bidi="ar"/>
              </w:rPr>
            </w:pPr>
          </w:p>
        </w:tc>
        <w:tc>
          <w:tcPr>
            <w:tcW w:w="1065" w:type="pct"/>
            <w:gridSpan w:val="2"/>
            <w:noWrap w:val="0"/>
            <w:vAlign w:val="top"/>
          </w:tcPr>
          <w:p>
            <w:pPr>
              <w:widowControl/>
              <w:ind w:firstLine="422"/>
              <w:rPr>
                <w:rFonts w:hint="default"/>
                <w:b/>
                <w:sz w:val="21"/>
                <w:szCs w:val="21"/>
                <w:lang w:val="en-US" w:bidi="ar"/>
              </w:rPr>
            </w:pPr>
            <w:r>
              <w:rPr>
                <w:rFonts w:hint="default"/>
                <w:b/>
                <w:sz w:val="21"/>
                <w:szCs w:val="21"/>
                <w:lang w:val="en-US" w:bidi="ar"/>
              </w:rPr>
              <w:t>11.55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28" w:type="pct"/>
            <w:gridSpan w:val="7"/>
            <w:noWrap w:val="0"/>
            <w:vAlign w:val="top"/>
          </w:tcPr>
          <w:p>
            <w:pPr>
              <w:widowControl/>
              <w:ind w:firstLine="422"/>
              <w:rPr>
                <w:rFonts w:hint="default"/>
                <w:b/>
                <w:sz w:val="21"/>
                <w:szCs w:val="21"/>
                <w:lang w:val="en-US" w:bidi="ar"/>
              </w:rPr>
            </w:pPr>
            <w:r>
              <w:rPr>
                <w:rFonts w:hint="default"/>
                <w:b/>
                <w:sz w:val="21"/>
                <w:szCs w:val="21"/>
                <w:lang w:val="en-US" w:bidi="ar"/>
              </w:rPr>
              <w:t>规划 2025 年猪当量（猪当量/万个）</w:t>
            </w:r>
          </w:p>
        </w:tc>
        <w:tc>
          <w:tcPr>
            <w:tcW w:w="466" w:type="pct"/>
            <w:noWrap w:val="0"/>
            <w:vAlign w:val="top"/>
          </w:tcPr>
          <w:p>
            <w:pPr>
              <w:widowControl/>
              <w:ind w:firstLine="422"/>
              <w:rPr>
                <w:rFonts w:hint="default"/>
                <w:b/>
                <w:sz w:val="21"/>
                <w:szCs w:val="21"/>
                <w:lang w:val="en-US" w:bidi="ar"/>
              </w:rPr>
            </w:pPr>
          </w:p>
        </w:tc>
        <w:tc>
          <w:tcPr>
            <w:tcW w:w="439" w:type="pct"/>
            <w:noWrap w:val="0"/>
            <w:vAlign w:val="top"/>
          </w:tcPr>
          <w:p>
            <w:pPr>
              <w:widowControl/>
              <w:ind w:firstLine="422"/>
              <w:rPr>
                <w:rFonts w:hint="default"/>
                <w:b/>
                <w:sz w:val="21"/>
                <w:szCs w:val="21"/>
                <w:lang w:val="en-US" w:bidi="ar"/>
              </w:rPr>
            </w:pPr>
          </w:p>
        </w:tc>
        <w:tc>
          <w:tcPr>
            <w:tcW w:w="1065" w:type="pct"/>
            <w:gridSpan w:val="2"/>
            <w:noWrap w:val="0"/>
            <w:vAlign w:val="top"/>
          </w:tcPr>
          <w:p>
            <w:pPr>
              <w:widowControl/>
              <w:ind w:firstLine="422"/>
              <w:rPr>
                <w:rFonts w:hint="default" w:eastAsia="宋体"/>
                <w:b/>
                <w:sz w:val="21"/>
                <w:szCs w:val="21"/>
                <w:lang w:val="en-US" w:eastAsia="zh-CN" w:bidi="ar"/>
              </w:rPr>
            </w:pPr>
            <w:r>
              <w:rPr>
                <w:rFonts w:hint="eastAsia"/>
                <w:b/>
                <w:sz w:val="21"/>
                <w:szCs w:val="21"/>
                <w:lang w:val="en-US" w:eastAsia="zh-CN" w:bidi="ar"/>
              </w:rPr>
              <w:t>30</w:t>
            </w:r>
            <w:r>
              <w:rPr>
                <w:rFonts w:hint="default"/>
                <w:b/>
                <w:sz w:val="21"/>
                <w:szCs w:val="21"/>
                <w:lang w:val="en-US" w:bidi="ar"/>
              </w:rPr>
              <w:t>.</w:t>
            </w:r>
            <w:r>
              <w:rPr>
                <w:rFonts w:hint="eastAsia"/>
                <w:b/>
                <w:sz w:val="21"/>
                <w:szCs w:val="21"/>
                <w:lang w:val="en-US" w:eastAsia="zh-CN" w:bidi="ar"/>
              </w:rPr>
              <w:t>57</w:t>
            </w:r>
          </w:p>
        </w:tc>
      </w:tr>
    </w:tbl>
    <w:p>
      <w:pPr>
        <w:widowControl/>
        <w:ind w:firstLine="0" w:firstLineChars="0"/>
        <w:rPr>
          <w:rFonts w:hint="default"/>
          <w:b/>
          <w:sz w:val="21"/>
          <w:szCs w:val="21"/>
          <w:lang w:val="en-US" w:bidi="ar"/>
        </w:rPr>
      </w:pPr>
      <w:r>
        <w:rPr>
          <w:rFonts w:hint="default"/>
          <w:b/>
          <w:sz w:val="21"/>
          <w:szCs w:val="21"/>
          <w:lang w:val="en-US" w:bidi="ar"/>
        </w:rPr>
        <w:t xml:space="preserve">  注：以氮为基础， 施肥供给养分占比45% ，粪肥占施肥比例 50% ，粪肥当季利用率 25%；</w:t>
      </w:r>
    </w:p>
    <w:p>
      <w:pPr>
        <w:widowControl/>
        <w:ind w:firstLine="0" w:firstLineChars="0"/>
      </w:pPr>
      <w:r>
        <w:rPr>
          <w:rFonts w:hint="default"/>
          <w:b/>
          <w:sz w:val="21"/>
          <w:szCs w:val="21"/>
          <w:lang w:val="en-US" w:bidi="ar"/>
        </w:rPr>
        <w:t>以磷为基础，施肥供给养分占比 45%，粪肥占施肥比例 50%，粪肥当季利用率 30%</w:t>
      </w:r>
    </w:p>
    <w:p>
      <w:pPr>
        <w:pStyle w:val="6"/>
        <w:numPr>
          <w:ilvl w:val="1"/>
          <w:numId w:val="0"/>
        </w:numPr>
        <w:spacing w:before="156" w:beforeLines="50" w:after="156" w:afterLines="50"/>
        <w:ind w:left="560" w:leftChars="200"/>
        <w:rPr>
          <w:rFonts w:ascii="黑体" w:hAnsi="黑体" w:eastAsia="黑体"/>
          <w:b w:val="0"/>
          <w:bCs w:val="0"/>
          <w:sz w:val="30"/>
          <w:szCs w:val="30"/>
        </w:rPr>
      </w:pPr>
      <w:bookmarkStart w:id="522" w:name="_Toc3932"/>
      <w:r>
        <w:rPr>
          <w:rFonts w:hint="eastAsia" w:ascii="黑体" w:hAnsi="黑体" w:eastAsia="黑体"/>
          <w:b w:val="0"/>
          <w:bCs w:val="0"/>
          <w:sz w:val="30"/>
          <w:szCs w:val="30"/>
        </w:rPr>
        <w:t>四、主要畜产品市场需求</w:t>
      </w:r>
      <w:bookmarkEnd w:id="512"/>
      <w:bookmarkEnd w:id="519"/>
      <w:bookmarkEnd w:id="520"/>
      <w:bookmarkEnd w:id="521"/>
      <w:bookmarkEnd w:id="522"/>
    </w:p>
    <w:p>
      <w:pPr>
        <w:spacing w:line="360" w:lineRule="auto"/>
        <w:ind w:firstLine="602"/>
        <w:outlineLvl w:val="1"/>
        <w:rPr>
          <w:rFonts w:hint="default" w:ascii="仿宋_GB2312" w:eastAsia="仿宋_GB2312"/>
          <w:szCs w:val="28"/>
          <w:lang w:val="en-US"/>
        </w:rPr>
      </w:pPr>
      <w:bookmarkStart w:id="523" w:name="_Toc59656443"/>
      <w:bookmarkStart w:id="524" w:name="_Toc18911"/>
      <w:bookmarkStart w:id="525" w:name="_Toc14787"/>
      <w:bookmarkStart w:id="526" w:name="_Toc3919"/>
      <w:bookmarkStart w:id="527" w:name="_Toc16657"/>
      <w:r>
        <w:rPr>
          <w:rFonts w:ascii="仿宋_GB2312" w:eastAsia="仿宋_GB2312"/>
          <w:b/>
          <w:sz w:val="30"/>
          <w:szCs w:val="30"/>
        </w:rPr>
        <w:t>（一）猪肉市场需求预测</w:t>
      </w:r>
      <w:bookmarkEnd w:id="523"/>
      <w:bookmarkStart w:id="528" w:name="_Toc59656444"/>
      <w:r>
        <w:rPr>
          <w:rFonts w:ascii="仿宋_GB2312" w:eastAsia="仿宋_GB2312"/>
          <w:b/>
          <w:sz w:val="30"/>
          <w:szCs w:val="30"/>
          <w:lang w:val="en-US"/>
        </w:rPr>
        <w:t xml:space="preserve">  </w:t>
      </w:r>
      <w:r>
        <w:rPr>
          <w:rFonts w:ascii="仿宋_GB2312" w:eastAsia="仿宋_GB2312"/>
          <w:szCs w:val="28"/>
        </w:rPr>
        <w:t>根据</w:t>
      </w:r>
      <w:r>
        <w:rPr>
          <w:rFonts w:eastAsia="仿宋_GB2312"/>
          <w:szCs w:val="28"/>
          <w:lang w:val="en-US"/>
        </w:rPr>
        <w:t>2020年全县总人口15.5万人，需要消费猪肉量为6539.45吨，折合生猪6.98万头。根据省政府要求和全县实际，“十四五”规划期末全县生猪出栏量达到10</w:t>
      </w:r>
      <w:r>
        <w:rPr>
          <w:rFonts w:ascii="仿宋_GB2312" w:eastAsia="仿宋_GB2312"/>
          <w:szCs w:val="28"/>
        </w:rPr>
        <w:t>万头，</w:t>
      </w:r>
      <w:r>
        <w:rPr>
          <w:rFonts w:ascii="仿宋_GB2312" w:eastAsia="仿宋_GB2312"/>
          <w:szCs w:val="28"/>
          <w:lang w:val="en-US"/>
        </w:rPr>
        <w:t>可满足全县居民对肉类的需求</w:t>
      </w:r>
      <w:r>
        <w:rPr>
          <w:rFonts w:ascii="仿宋_GB2312" w:eastAsia="仿宋_GB2312"/>
          <w:szCs w:val="28"/>
        </w:rPr>
        <w:t>。</w:t>
      </w:r>
      <w:bookmarkEnd w:id="524"/>
      <w:bookmarkEnd w:id="525"/>
      <w:bookmarkEnd w:id="526"/>
      <w:bookmarkEnd w:id="527"/>
      <w:bookmarkEnd w:id="528"/>
      <w:bookmarkStart w:id="529" w:name="_Toc59656445"/>
      <w:bookmarkStart w:id="530" w:name="_Toc17123"/>
      <w:bookmarkStart w:id="531" w:name="_Toc15542"/>
      <w:bookmarkStart w:id="532" w:name="_Toc25016"/>
    </w:p>
    <w:p>
      <w:pPr>
        <w:spacing w:line="360" w:lineRule="auto"/>
        <w:ind w:firstLine="602"/>
        <w:outlineLvl w:val="1"/>
        <w:rPr>
          <w:rFonts w:ascii="仿宋_GB2312" w:eastAsia="仿宋_GB2312"/>
          <w:szCs w:val="28"/>
        </w:rPr>
      </w:pPr>
      <w:bookmarkStart w:id="533" w:name="_Toc11060"/>
      <w:r>
        <w:rPr>
          <w:rFonts w:ascii="仿宋_GB2312" w:eastAsia="仿宋_GB2312"/>
          <w:b/>
          <w:sz w:val="30"/>
          <w:szCs w:val="30"/>
        </w:rPr>
        <w:t>（二）</w:t>
      </w:r>
      <w:r>
        <w:rPr>
          <w:rFonts w:hint="eastAsia" w:ascii="仿宋_GB2312" w:eastAsia="仿宋_GB2312"/>
          <w:b/>
          <w:sz w:val="30"/>
          <w:szCs w:val="30"/>
          <w:lang w:val="en-US" w:eastAsia="zh-CN"/>
        </w:rPr>
        <w:t>禽</w:t>
      </w:r>
      <w:r>
        <w:rPr>
          <w:rFonts w:ascii="仿宋_GB2312" w:eastAsia="仿宋_GB2312"/>
          <w:b/>
          <w:sz w:val="30"/>
          <w:szCs w:val="30"/>
        </w:rPr>
        <w:t>蛋市场需求预测</w:t>
      </w:r>
      <w:bookmarkEnd w:id="529"/>
      <w:bookmarkStart w:id="534" w:name="_Toc59656446"/>
      <w:r>
        <w:rPr>
          <w:rFonts w:ascii="仿宋_GB2312" w:eastAsia="仿宋_GB2312"/>
          <w:b/>
          <w:sz w:val="30"/>
          <w:szCs w:val="30"/>
          <w:lang w:val="en-US"/>
        </w:rPr>
        <w:t xml:space="preserve">  </w:t>
      </w:r>
      <w:r>
        <w:rPr>
          <w:rFonts w:ascii="仿宋_GB2312" w:eastAsia="仿宋_GB2312"/>
          <w:szCs w:val="28"/>
        </w:rPr>
        <w:t>按居民年</w:t>
      </w:r>
      <w:r>
        <w:rPr>
          <w:rFonts w:eastAsia="仿宋_GB2312"/>
          <w:szCs w:val="28"/>
          <w:lang w:val="en-US"/>
        </w:rPr>
        <w:t>人均消费</w:t>
      </w:r>
      <w:r>
        <w:rPr>
          <w:rFonts w:hint="eastAsia" w:eastAsia="仿宋_GB2312"/>
          <w:szCs w:val="28"/>
          <w:lang w:val="en-US" w:eastAsia="zh-CN"/>
        </w:rPr>
        <w:t>禽</w:t>
      </w:r>
      <w:r>
        <w:rPr>
          <w:rFonts w:eastAsia="仿宋_GB2312"/>
          <w:szCs w:val="28"/>
          <w:lang w:val="en-US"/>
        </w:rPr>
        <w:t>蛋17公斤，全县年消费</w:t>
      </w:r>
      <w:r>
        <w:rPr>
          <w:rFonts w:hint="eastAsia" w:eastAsia="仿宋_GB2312"/>
          <w:szCs w:val="28"/>
          <w:lang w:val="en-US" w:eastAsia="zh-CN"/>
        </w:rPr>
        <w:t>禽</w:t>
      </w:r>
      <w:r>
        <w:rPr>
          <w:rFonts w:eastAsia="仿宋_GB2312"/>
          <w:szCs w:val="28"/>
          <w:lang w:val="en-US"/>
        </w:rPr>
        <w:t>蛋需求为2635吨。按照自给率70%计算，全县年产</w:t>
      </w:r>
      <w:r>
        <w:rPr>
          <w:rFonts w:hint="eastAsia" w:eastAsia="仿宋_GB2312"/>
          <w:szCs w:val="28"/>
          <w:lang w:val="en-US" w:eastAsia="zh-CN"/>
        </w:rPr>
        <w:t>禽</w:t>
      </w:r>
      <w:r>
        <w:rPr>
          <w:rFonts w:eastAsia="仿宋_GB2312"/>
          <w:szCs w:val="28"/>
          <w:lang w:val="en-US"/>
        </w:rPr>
        <w:t>蛋应达到1850吨。“十四五”规划期末蛋</w:t>
      </w:r>
      <w:r>
        <w:rPr>
          <w:rFonts w:hint="eastAsia" w:eastAsia="仿宋_GB2312"/>
          <w:szCs w:val="28"/>
          <w:lang w:val="en-US" w:eastAsia="zh-CN"/>
        </w:rPr>
        <w:t>禽</w:t>
      </w:r>
      <w:r>
        <w:rPr>
          <w:rFonts w:eastAsia="仿宋_GB2312"/>
          <w:szCs w:val="28"/>
          <w:lang w:val="en-US"/>
        </w:rPr>
        <w:t>最低存栏量应达到10万</w:t>
      </w:r>
      <w:r>
        <w:rPr>
          <w:rFonts w:ascii="仿宋_GB2312" w:eastAsia="仿宋_GB2312"/>
          <w:szCs w:val="28"/>
        </w:rPr>
        <w:t>羽。</w:t>
      </w:r>
      <w:bookmarkEnd w:id="530"/>
      <w:bookmarkEnd w:id="531"/>
      <w:bookmarkEnd w:id="532"/>
      <w:bookmarkEnd w:id="533"/>
      <w:bookmarkEnd w:id="534"/>
    </w:p>
    <w:p>
      <w:pPr>
        <w:spacing w:line="360" w:lineRule="auto"/>
        <w:ind w:firstLine="602"/>
        <w:outlineLvl w:val="1"/>
        <w:rPr>
          <w:rFonts w:eastAsia="仿宋_GB2312"/>
          <w:szCs w:val="28"/>
          <w:lang w:val="en-US"/>
        </w:rPr>
      </w:pPr>
      <w:bookmarkStart w:id="535" w:name="_Toc59656447"/>
      <w:bookmarkStart w:id="536" w:name="_Toc3727"/>
      <w:bookmarkStart w:id="537" w:name="_Toc29232"/>
      <w:bookmarkStart w:id="538" w:name="_Toc17558"/>
      <w:bookmarkStart w:id="539" w:name="_Toc9719"/>
      <w:r>
        <w:rPr>
          <w:rFonts w:ascii="仿宋_GB2312" w:eastAsia="仿宋_GB2312"/>
          <w:b/>
          <w:sz w:val="30"/>
          <w:szCs w:val="30"/>
        </w:rPr>
        <w:t>（三）禽肉市场需求预测</w:t>
      </w:r>
      <w:bookmarkEnd w:id="535"/>
      <w:bookmarkStart w:id="540" w:name="_Toc59656448"/>
      <w:r>
        <w:rPr>
          <w:rFonts w:ascii="仿宋_GB2312" w:eastAsia="仿宋_GB2312"/>
          <w:b/>
          <w:sz w:val="30"/>
          <w:szCs w:val="30"/>
          <w:lang w:val="en-US"/>
        </w:rPr>
        <w:t xml:space="preserve">  </w:t>
      </w:r>
      <w:r>
        <w:rPr>
          <w:rFonts w:ascii="仿宋_GB2312" w:eastAsia="仿宋_GB2312"/>
          <w:szCs w:val="28"/>
        </w:rPr>
        <w:t>按居民年人均消</w:t>
      </w:r>
      <w:r>
        <w:rPr>
          <w:rFonts w:eastAsia="仿宋_GB2312"/>
          <w:szCs w:val="28"/>
          <w:lang w:val="en-US"/>
        </w:rPr>
        <w:t>费禽肉5.7公斤，2020年全县禽肉年消费需求为883.5吨。2020年全县出栏家禽 150万羽，年产禽肉2117吨，禽肉自给率达到240%；“十四五”规划期末家禽出栏量稳定在150万羽左右，自给率达到240%。</w:t>
      </w:r>
      <w:bookmarkEnd w:id="536"/>
      <w:bookmarkEnd w:id="537"/>
      <w:bookmarkEnd w:id="538"/>
      <w:bookmarkEnd w:id="539"/>
      <w:bookmarkEnd w:id="540"/>
    </w:p>
    <w:p>
      <w:pPr>
        <w:spacing w:line="360" w:lineRule="auto"/>
        <w:ind w:firstLine="602"/>
        <w:outlineLvl w:val="1"/>
        <w:rPr>
          <w:rFonts w:ascii="仿宋_GB2312" w:eastAsia="仿宋_GB2312"/>
          <w:szCs w:val="28"/>
        </w:rPr>
      </w:pPr>
      <w:bookmarkStart w:id="541" w:name="_Toc59656449"/>
      <w:bookmarkStart w:id="542" w:name="_Toc15928"/>
      <w:bookmarkStart w:id="543" w:name="_Toc9560"/>
      <w:bookmarkStart w:id="544" w:name="_Toc11773"/>
      <w:bookmarkStart w:id="545" w:name="_Toc30433"/>
      <w:r>
        <w:rPr>
          <w:rFonts w:ascii="仿宋_GB2312" w:eastAsia="仿宋_GB2312"/>
          <w:b/>
          <w:sz w:val="30"/>
          <w:szCs w:val="30"/>
        </w:rPr>
        <w:t>（四）牛羊肉市场需求预测</w:t>
      </w:r>
      <w:bookmarkEnd w:id="541"/>
      <w:bookmarkStart w:id="546" w:name="_Toc59656450"/>
      <w:r>
        <w:rPr>
          <w:rFonts w:ascii="仿宋_GB2312" w:eastAsia="仿宋_GB2312"/>
          <w:b/>
          <w:sz w:val="30"/>
          <w:szCs w:val="30"/>
          <w:lang w:val="en-US"/>
        </w:rPr>
        <w:t xml:space="preserve">  </w:t>
      </w:r>
      <w:r>
        <w:rPr>
          <w:rFonts w:ascii="仿宋_GB2312" w:eastAsia="仿宋_GB2312"/>
          <w:szCs w:val="28"/>
        </w:rPr>
        <w:t>按居民</w:t>
      </w:r>
      <w:r>
        <w:rPr>
          <w:rFonts w:eastAsia="仿宋_GB2312"/>
          <w:szCs w:val="28"/>
          <w:lang w:val="en-US"/>
        </w:rPr>
        <w:t>年人均消费牛羊肉5.6公斤，全县年消费牛羊肉868吨。2020年全县产牛羊肉411吨，牛羊肉自给率为47.4%。“十四五”规划期末全县产牛羊肉500吨，自给率保持在57.4%。</w:t>
      </w:r>
      <w:bookmarkEnd w:id="542"/>
      <w:bookmarkEnd w:id="543"/>
      <w:bookmarkEnd w:id="544"/>
      <w:bookmarkEnd w:id="545"/>
      <w:bookmarkEnd w:id="546"/>
    </w:p>
    <w:p>
      <w:pPr>
        <w:pStyle w:val="22"/>
        <w:spacing w:line="240" w:lineRule="auto"/>
        <w:ind w:firstLine="0" w:firstLineChars="0"/>
        <w:jc w:val="center"/>
        <w:rPr>
          <w:rFonts w:hint="default" w:eastAsia="仿宋"/>
          <w:b/>
          <w:bCs/>
          <w:szCs w:val="28"/>
        </w:rPr>
      </w:pPr>
      <w:r>
        <w:rPr>
          <w:rFonts w:eastAsia="仿宋"/>
          <w:b/>
          <w:bCs/>
          <w:szCs w:val="28"/>
        </w:rPr>
        <w:t>表</w:t>
      </w:r>
      <w:r>
        <w:rPr>
          <w:rFonts w:eastAsia="仿宋"/>
          <w:b/>
          <w:bCs/>
          <w:szCs w:val="28"/>
          <w:lang w:val="en-US"/>
        </w:rPr>
        <w:t>9</w:t>
      </w:r>
      <w:r>
        <w:rPr>
          <w:rFonts w:eastAsia="仿宋"/>
          <w:b/>
          <w:bCs/>
          <w:szCs w:val="28"/>
        </w:rPr>
        <w:t xml:space="preserve">   建宁县主要畜禽产品消费需求情况表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4"/>
        <w:gridCol w:w="1093"/>
        <w:gridCol w:w="771"/>
        <w:gridCol w:w="1229"/>
        <w:gridCol w:w="836"/>
        <w:gridCol w:w="871"/>
        <w:gridCol w:w="1200"/>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844" w:type="dxa"/>
            <w:vMerge w:val="restart"/>
            <w:noWrap w:val="0"/>
            <w:vAlign w:val="center"/>
          </w:tcPr>
          <w:p>
            <w:pPr>
              <w:snapToGrid w:val="0"/>
              <w:ind w:firstLine="0" w:firstLineChars="0"/>
              <w:jc w:val="both"/>
              <w:rPr>
                <w:rFonts w:ascii="宋体" w:hAnsi="宋体" w:cs="宋体"/>
                <w:b/>
                <w:bCs/>
                <w:sz w:val="24"/>
              </w:rPr>
            </w:pPr>
            <w:r>
              <w:rPr>
                <w:rFonts w:ascii="宋体" w:hAnsi="宋体" w:cs="宋体"/>
                <w:b/>
                <w:bCs/>
                <w:sz w:val="24"/>
              </w:rPr>
              <w:t>畜禽品种</w:t>
            </w:r>
          </w:p>
        </w:tc>
        <w:tc>
          <w:tcPr>
            <w:tcW w:w="1093" w:type="dxa"/>
            <w:vMerge w:val="restart"/>
            <w:noWrap w:val="0"/>
            <w:vAlign w:val="center"/>
          </w:tcPr>
          <w:p>
            <w:pPr>
              <w:snapToGrid w:val="0"/>
              <w:spacing w:line="300" w:lineRule="auto"/>
              <w:ind w:firstLine="0" w:firstLineChars="0"/>
              <w:jc w:val="both"/>
              <w:rPr>
                <w:rFonts w:ascii="宋体" w:hAnsi="宋体" w:cs="宋体"/>
                <w:b/>
                <w:spacing w:val="-24"/>
                <w:w w:val="80"/>
                <w:sz w:val="24"/>
              </w:rPr>
            </w:pPr>
            <w:r>
              <w:rPr>
                <w:rFonts w:ascii="宋体" w:hAnsi="宋体" w:cs="宋体"/>
                <w:b/>
                <w:bCs/>
                <w:spacing w:val="-24"/>
                <w:sz w:val="24"/>
              </w:rPr>
              <w:t>常住居民年人均消费量</w:t>
            </w:r>
          </w:p>
        </w:tc>
        <w:tc>
          <w:tcPr>
            <w:tcW w:w="2836" w:type="dxa"/>
            <w:gridSpan w:val="3"/>
            <w:noWrap w:val="0"/>
            <w:vAlign w:val="center"/>
          </w:tcPr>
          <w:p>
            <w:pPr>
              <w:snapToGrid w:val="0"/>
              <w:ind w:firstLine="388"/>
              <w:jc w:val="center"/>
              <w:rPr>
                <w:rFonts w:hint="default"/>
                <w:b/>
                <w:w w:val="80"/>
                <w:sz w:val="24"/>
              </w:rPr>
            </w:pPr>
            <w:r>
              <w:rPr>
                <w:rFonts w:hint="default"/>
                <w:b/>
                <w:w w:val="80"/>
                <w:sz w:val="24"/>
              </w:rPr>
              <w:t>2020年</w:t>
            </w:r>
          </w:p>
        </w:tc>
        <w:tc>
          <w:tcPr>
            <w:tcW w:w="3045" w:type="dxa"/>
            <w:gridSpan w:val="3"/>
            <w:noWrap w:val="0"/>
            <w:vAlign w:val="center"/>
          </w:tcPr>
          <w:p>
            <w:pPr>
              <w:snapToGrid w:val="0"/>
              <w:ind w:firstLine="388"/>
              <w:jc w:val="center"/>
              <w:rPr>
                <w:rFonts w:hint="default"/>
                <w:b/>
                <w:w w:val="80"/>
                <w:sz w:val="24"/>
              </w:rPr>
            </w:pPr>
            <w:r>
              <w:rPr>
                <w:rFonts w:hint="default"/>
                <w:b/>
                <w:w w:val="80"/>
                <w:sz w:val="24"/>
              </w:rPr>
              <w:t>2025年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844" w:type="dxa"/>
            <w:vMerge w:val="continue"/>
            <w:noWrap w:val="0"/>
            <w:vAlign w:val="center"/>
          </w:tcPr>
          <w:p>
            <w:pPr>
              <w:snapToGrid w:val="0"/>
              <w:ind w:firstLine="482"/>
              <w:jc w:val="center"/>
              <w:rPr>
                <w:rFonts w:ascii="宋体" w:hAnsi="宋体" w:cs="宋体"/>
                <w:b/>
                <w:bCs/>
                <w:sz w:val="24"/>
              </w:rPr>
            </w:pPr>
          </w:p>
        </w:tc>
        <w:tc>
          <w:tcPr>
            <w:tcW w:w="1093" w:type="dxa"/>
            <w:vMerge w:val="continue"/>
            <w:noWrap w:val="0"/>
            <w:vAlign w:val="center"/>
          </w:tcPr>
          <w:p>
            <w:pPr>
              <w:snapToGrid w:val="0"/>
              <w:ind w:firstLine="388"/>
              <w:jc w:val="center"/>
              <w:rPr>
                <w:rFonts w:ascii="宋体" w:hAnsi="宋体" w:cs="宋体"/>
                <w:b/>
                <w:w w:val="80"/>
                <w:sz w:val="24"/>
              </w:rPr>
            </w:pPr>
          </w:p>
        </w:tc>
        <w:tc>
          <w:tcPr>
            <w:tcW w:w="771" w:type="dxa"/>
            <w:noWrap w:val="0"/>
            <w:vAlign w:val="center"/>
          </w:tcPr>
          <w:p>
            <w:pPr>
              <w:snapToGrid w:val="0"/>
              <w:ind w:firstLine="0" w:firstLineChars="0"/>
              <w:jc w:val="both"/>
              <w:rPr>
                <w:rFonts w:hint="default"/>
                <w:b/>
                <w:spacing w:val="-20"/>
                <w:w w:val="80"/>
                <w:sz w:val="24"/>
              </w:rPr>
            </w:pPr>
            <w:r>
              <w:rPr>
                <w:rFonts w:hint="default"/>
                <w:b/>
                <w:spacing w:val="-20"/>
                <w:sz w:val="24"/>
              </w:rPr>
              <w:t>需求</w:t>
            </w:r>
            <w:r>
              <w:rPr>
                <w:rFonts w:hint="default"/>
                <w:b/>
                <w:spacing w:val="-20"/>
                <w:w w:val="80"/>
                <w:sz w:val="24"/>
              </w:rPr>
              <w:t>量</w:t>
            </w:r>
          </w:p>
        </w:tc>
        <w:tc>
          <w:tcPr>
            <w:tcW w:w="1229" w:type="dxa"/>
            <w:noWrap w:val="0"/>
            <w:vAlign w:val="center"/>
          </w:tcPr>
          <w:p>
            <w:pPr>
              <w:snapToGrid w:val="0"/>
              <w:ind w:firstLine="0" w:firstLineChars="0"/>
              <w:jc w:val="both"/>
              <w:rPr>
                <w:rFonts w:hint="default"/>
                <w:b/>
                <w:w w:val="80"/>
                <w:sz w:val="24"/>
              </w:rPr>
            </w:pPr>
            <w:r>
              <w:rPr>
                <w:rFonts w:hint="default"/>
                <w:b/>
                <w:sz w:val="24"/>
              </w:rPr>
              <w:t>实际产量</w:t>
            </w:r>
          </w:p>
        </w:tc>
        <w:tc>
          <w:tcPr>
            <w:tcW w:w="836" w:type="dxa"/>
            <w:noWrap w:val="0"/>
            <w:vAlign w:val="center"/>
          </w:tcPr>
          <w:p>
            <w:pPr>
              <w:snapToGrid w:val="0"/>
              <w:ind w:firstLine="0" w:firstLineChars="0"/>
              <w:jc w:val="both"/>
              <w:rPr>
                <w:rFonts w:hint="default"/>
                <w:b/>
                <w:w w:val="80"/>
                <w:sz w:val="24"/>
              </w:rPr>
            </w:pPr>
            <w:r>
              <w:rPr>
                <w:rFonts w:hint="default"/>
                <w:b/>
                <w:spacing w:val="-20"/>
                <w:sz w:val="24"/>
              </w:rPr>
              <w:t>自给率</w:t>
            </w:r>
          </w:p>
        </w:tc>
        <w:tc>
          <w:tcPr>
            <w:tcW w:w="871" w:type="dxa"/>
            <w:noWrap w:val="0"/>
            <w:vAlign w:val="center"/>
          </w:tcPr>
          <w:p>
            <w:pPr>
              <w:snapToGrid w:val="0"/>
              <w:ind w:firstLine="0" w:firstLineChars="0"/>
              <w:jc w:val="both"/>
              <w:rPr>
                <w:rFonts w:hint="default"/>
                <w:b/>
                <w:w w:val="80"/>
                <w:sz w:val="24"/>
              </w:rPr>
            </w:pPr>
            <w:r>
              <w:rPr>
                <w:rFonts w:hint="default"/>
                <w:b/>
                <w:spacing w:val="-20"/>
                <w:sz w:val="24"/>
              </w:rPr>
              <w:t>需求量</w:t>
            </w:r>
          </w:p>
        </w:tc>
        <w:tc>
          <w:tcPr>
            <w:tcW w:w="1200" w:type="dxa"/>
            <w:noWrap w:val="0"/>
            <w:vAlign w:val="center"/>
          </w:tcPr>
          <w:p>
            <w:pPr>
              <w:snapToGrid w:val="0"/>
              <w:ind w:firstLine="0" w:firstLineChars="0"/>
              <w:jc w:val="both"/>
              <w:rPr>
                <w:rFonts w:hint="default"/>
                <w:b/>
                <w:w w:val="80"/>
                <w:sz w:val="24"/>
              </w:rPr>
            </w:pPr>
            <w:r>
              <w:rPr>
                <w:rFonts w:hint="default"/>
                <w:b/>
                <w:bCs/>
                <w:sz w:val="24"/>
              </w:rPr>
              <w:t>规划产量</w:t>
            </w:r>
          </w:p>
        </w:tc>
        <w:tc>
          <w:tcPr>
            <w:tcW w:w="974" w:type="dxa"/>
            <w:noWrap w:val="0"/>
            <w:vAlign w:val="center"/>
          </w:tcPr>
          <w:p>
            <w:pPr>
              <w:snapToGrid w:val="0"/>
              <w:ind w:firstLine="0" w:firstLineChars="0"/>
              <w:jc w:val="both"/>
              <w:rPr>
                <w:rFonts w:hint="default"/>
                <w:b/>
                <w:w w:val="80"/>
                <w:sz w:val="24"/>
              </w:rPr>
            </w:pPr>
            <w:r>
              <w:rPr>
                <w:rFonts w:hint="default"/>
                <w:b/>
                <w:bCs/>
                <w:sz w:val="24"/>
              </w:rPr>
              <w:t>自给率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844" w:type="dxa"/>
            <w:noWrap w:val="0"/>
            <w:vAlign w:val="center"/>
          </w:tcPr>
          <w:p>
            <w:pPr>
              <w:snapToGrid w:val="0"/>
              <w:ind w:firstLine="0" w:firstLineChars="0"/>
              <w:jc w:val="both"/>
              <w:rPr>
                <w:rFonts w:ascii="仿宋_GB2312" w:hAnsi="仿宋_GB2312" w:eastAsia="仿宋_GB2312" w:cs="仿宋_GB2312"/>
                <w:bCs/>
                <w:sz w:val="24"/>
              </w:rPr>
            </w:pPr>
            <w:r>
              <w:rPr>
                <w:rFonts w:ascii="仿宋_GB2312" w:hAnsi="仿宋_GB2312" w:eastAsia="仿宋_GB2312" w:cs="仿宋_GB2312"/>
                <w:bCs/>
                <w:sz w:val="24"/>
              </w:rPr>
              <w:t>生猪(出栏，万头)</w:t>
            </w:r>
          </w:p>
        </w:tc>
        <w:tc>
          <w:tcPr>
            <w:tcW w:w="1093" w:type="dxa"/>
            <w:noWrap w:val="0"/>
            <w:vAlign w:val="center"/>
          </w:tcPr>
          <w:p>
            <w:pPr>
              <w:snapToGrid w:val="0"/>
              <w:ind w:firstLine="0" w:firstLineChars="0"/>
              <w:jc w:val="both"/>
              <w:rPr>
                <w:rFonts w:hint="default" w:eastAsia="仿宋_GB2312"/>
                <w:bCs/>
                <w:spacing w:val="-10"/>
                <w:sz w:val="24"/>
              </w:rPr>
            </w:pPr>
            <w:r>
              <w:rPr>
                <w:rFonts w:hint="default" w:eastAsia="仿宋_GB2312"/>
                <w:bCs/>
                <w:spacing w:val="-10"/>
                <w:sz w:val="24"/>
              </w:rPr>
              <w:t>0.</w:t>
            </w:r>
            <w:r>
              <w:rPr>
                <w:rFonts w:hint="default" w:eastAsia="仿宋_GB2312"/>
                <w:bCs/>
                <w:spacing w:val="-10"/>
                <w:sz w:val="24"/>
                <w:lang w:val="en-US"/>
              </w:rPr>
              <w:t>45</w:t>
            </w:r>
            <w:r>
              <w:rPr>
                <w:rFonts w:hint="default" w:eastAsia="仿宋_GB2312"/>
                <w:bCs/>
                <w:spacing w:val="-10"/>
                <w:sz w:val="24"/>
              </w:rPr>
              <w:t>头</w:t>
            </w:r>
          </w:p>
        </w:tc>
        <w:tc>
          <w:tcPr>
            <w:tcW w:w="771"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6.98</w:t>
            </w:r>
          </w:p>
        </w:tc>
        <w:tc>
          <w:tcPr>
            <w:tcW w:w="1229"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11.5</w:t>
            </w:r>
          </w:p>
        </w:tc>
        <w:tc>
          <w:tcPr>
            <w:tcW w:w="836"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165%</w:t>
            </w:r>
          </w:p>
        </w:tc>
        <w:tc>
          <w:tcPr>
            <w:tcW w:w="871"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7.0</w:t>
            </w:r>
          </w:p>
        </w:tc>
        <w:tc>
          <w:tcPr>
            <w:tcW w:w="1200"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10</w:t>
            </w:r>
          </w:p>
        </w:tc>
        <w:tc>
          <w:tcPr>
            <w:tcW w:w="974"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4" w:type="dxa"/>
            <w:noWrap w:val="0"/>
            <w:vAlign w:val="center"/>
          </w:tcPr>
          <w:p>
            <w:pPr>
              <w:snapToGrid w:val="0"/>
              <w:ind w:firstLine="0" w:firstLineChars="0"/>
              <w:jc w:val="both"/>
              <w:rPr>
                <w:rFonts w:ascii="仿宋_GB2312" w:hAnsi="仿宋_GB2312" w:eastAsia="仿宋_GB2312" w:cs="仿宋_GB2312"/>
                <w:bCs/>
                <w:sz w:val="24"/>
              </w:rPr>
            </w:pPr>
            <w:r>
              <w:rPr>
                <w:rFonts w:ascii="仿宋_GB2312" w:hAnsi="仿宋_GB2312" w:eastAsia="仿宋_GB2312" w:cs="仿宋_GB2312"/>
                <w:bCs/>
                <w:sz w:val="24"/>
              </w:rPr>
              <w:t>牛羊(出栏，吨)</w:t>
            </w:r>
          </w:p>
        </w:tc>
        <w:tc>
          <w:tcPr>
            <w:tcW w:w="1093" w:type="dxa"/>
            <w:noWrap w:val="0"/>
            <w:vAlign w:val="center"/>
          </w:tcPr>
          <w:p>
            <w:pPr>
              <w:snapToGrid w:val="0"/>
              <w:ind w:firstLine="0" w:firstLineChars="0"/>
              <w:jc w:val="both"/>
              <w:rPr>
                <w:rFonts w:hint="default" w:eastAsia="仿宋_GB2312"/>
                <w:bCs/>
                <w:spacing w:val="-18"/>
                <w:sz w:val="24"/>
              </w:rPr>
            </w:pPr>
            <w:r>
              <w:rPr>
                <w:rFonts w:hint="default" w:eastAsia="仿宋_GB2312"/>
                <w:bCs/>
                <w:spacing w:val="-18"/>
                <w:sz w:val="24"/>
              </w:rPr>
              <w:t>5.6公斤</w:t>
            </w:r>
          </w:p>
        </w:tc>
        <w:tc>
          <w:tcPr>
            <w:tcW w:w="771"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868</w:t>
            </w:r>
          </w:p>
        </w:tc>
        <w:tc>
          <w:tcPr>
            <w:tcW w:w="1229"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411</w:t>
            </w:r>
          </w:p>
        </w:tc>
        <w:tc>
          <w:tcPr>
            <w:tcW w:w="836"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47.4%</w:t>
            </w:r>
          </w:p>
        </w:tc>
        <w:tc>
          <w:tcPr>
            <w:tcW w:w="871"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871</w:t>
            </w:r>
          </w:p>
        </w:tc>
        <w:tc>
          <w:tcPr>
            <w:tcW w:w="1200"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500</w:t>
            </w:r>
          </w:p>
        </w:tc>
        <w:tc>
          <w:tcPr>
            <w:tcW w:w="974"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4" w:type="dxa"/>
            <w:noWrap w:val="0"/>
            <w:vAlign w:val="center"/>
          </w:tcPr>
          <w:p>
            <w:pPr>
              <w:snapToGrid w:val="0"/>
              <w:ind w:firstLine="0" w:firstLineChars="0"/>
              <w:jc w:val="both"/>
              <w:rPr>
                <w:rFonts w:hint="default" w:ascii="仿宋_GB2312" w:hAnsi="仿宋_GB2312" w:eastAsia="仿宋_GB2312" w:cs="仿宋_GB2312"/>
                <w:bCs/>
                <w:sz w:val="24"/>
                <w:lang w:val="en-US"/>
              </w:rPr>
            </w:pPr>
            <w:r>
              <w:rPr>
                <w:rFonts w:ascii="仿宋_GB2312" w:hAnsi="仿宋_GB2312" w:eastAsia="仿宋_GB2312" w:cs="仿宋_GB2312"/>
                <w:bCs/>
                <w:sz w:val="24"/>
                <w:lang w:val="en-US"/>
              </w:rPr>
              <w:t>禽蛋（</w:t>
            </w:r>
            <w:r>
              <w:rPr>
                <w:rFonts w:hint="eastAsia" w:ascii="仿宋_GB2312" w:hAnsi="仿宋_GB2312" w:eastAsia="仿宋_GB2312" w:cs="仿宋_GB2312"/>
                <w:bCs/>
                <w:sz w:val="24"/>
                <w:lang w:val="en-US" w:eastAsia="zh-CN"/>
              </w:rPr>
              <w:t>产量，</w:t>
            </w:r>
            <w:r>
              <w:rPr>
                <w:rFonts w:ascii="仿宋_GB2312" w:hAnsi="仿宋_GB2312" w:eastAsia="仿宋_GB2312" w:cs="仿宋_GB2312"/>
                <w:bCs/>
                <w:sz w:val="24"/>
                <w:lang w:val="en-US"/>
              </w:rPr>
              <w:t>吨）</w:t>
            </w:r>
          </w:p>
        </w:tc>
        <w:tc>
          <w:tcPr>
            <w:tcW w:w="1093" w:type="dxa"/>
            <w:noWrap w:val="0"/>
            <w:vAlign w:val="center"/>
          </w:tcPr>
          <w:p>
            <w:pPr>
              <w:snapToGrid w:val="0"/>
              <w:ind w:firstLine="0" w:firstLineChars="0"/>
              <w:jc w:val="both"/>
              <w:rPr>
                <w:rFonts w:hint="default" w:eastAsia="仿宋_GB2312"/>
                <w:bCs/>
                <w:spacing w:val="-18"/>
                <w:sz w:val="24"/>
                <w:lang w:val="en-US"/>
              </w:rPr>
            </w:pPr>
            <w:r>
              <w:rPr>
                <w:rFonts w:hint="default" w:eastAsia="仿宋_GB2312"/>
                <w:bCs/>
                <w:spacing w:val="-18"/>
                <w:sz w:val="24"/>
                <w:lang w:val="en-US"/>
              </w:rPr>
              <w:t>17</w:t>
            </w:r>
            <w:r>
              <w:rPr>
                <w:rFonts w:hint="default" w:eastAsia="仿宋_GB2312"/>
                <w:bCs/>
                <w:spacing w:val="-18"/>
                <w:sz w:val="24"/>
              </w:rPr>
              <w:t>公斤</w:t>
            </w:r>
          </w:p>
        </w:tc>
        <w:tc>
          <w:tcPr>
            <w:tcW w:w="771"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2635</w:t>
            </w:r>
          </w:p>
        </w:tc>
        <w:tc>
          <w:tcPr>
            <w:tcW w:w="1229"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1610</w:t>
            </w:r>
          </w:p>
        </w:tc>
        <w:tc>
          <w:tcPr>
            <w:tcW w:w="836"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61.1%</w:t>
            </w:r>
          </w:p>
        </w:tc>
        <w:tc>
          <w:tcPr>
            <w:tcW w:w="871"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2644</w:t>
            </w:r>
          </w:p>
        </w:tc>
        <w:tc>
          <w:tcPr>
            <w:tcW w:w="1200"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1850</w:t>
            </w:r>
          </w:p>
        </w:tc>
        <w:tc>
          <w:tcPr>
            <w:tcW w:w="974"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844" w:type="dxa"/>
            <w:noWrap w:val="0"/>
            <w:vAlign w:val="center"/>
          </w:tcPr>
          <w:p>
            <w:pPr>
              <w:snapToGrid w:val="0"/>
              <w:ind w:firstLine="0" w:firstLineChars="0"/>
              <w:jc w:val="both"/>
              <w:rPr>
                <w:rFonts w:ascii="仿宋_GB2312" w:hAnsi="仿宋_GB2312" w:eastAsia="仿宋_GB2312" w:cs="仿宋_GB2312"/>
                <w:bCs/>
                <w:sz w:val="24"/>
              </w:rPr>
            </w:pPr>
            <w:r>
              <w:rPr>
                <w:rFonts w:ascii="仿宋_GB2312" w:hAnsi="仿宋_GB2312" w:eastAsia="仿宋_GB2312" w:cs="仿宋_GB2312"/>
                <w:bCs/>
                <w:sz w:val="24"/>
              </w:rPr>
              <w:t>肉禽(出栏，吨)</w:t>
            </w:r>
          </w:p>
        </w:tc>
        <w:tc>
          <w:tcPr>
            <w:tcW w:w="1093" w:type="dxa"/>
            <w:noWrap w:val="0"/>
            <w:vAlign w:val="center"/>
          </w:tcPr>
          <w:p>
            <w:pPr>
              <w:snapToGrid w:val="0"/>
              <w:ind w:firstLine="0" w:firstLineChars="0"/>
              <w:jc w:val="both"/>
              <w:rPr>
                <w:rFonts w:hint="default" w:eastAsia="仿宋_GB2312"/>
                <w:bCs/>
                <w:spacing w:val="-18"/>
                <w:sz w:val="24"/>
              </w:rPr>
            </w:pPr>
            <w:r>
              <w:rPr>
                <w:rFonts w:hint="default" w:eastAsia="仿宋_GB2312"/>
                <w:bCs/>
                <w:spacing w:val="-18"/>
                <w:sz w:val="24"/>
              </w:rPr>
              <w:t>5.7公斤</w:t>
            </w:r>
          </w:p>
        </w:tc>
        <w:tc>
          <w:tcPr>
            <w:tcW w:w="771" w:type="dxa"/>
            <w:noWrap w:val="0"/>
            <w:vAlign w:val="center"/>
          </w:tcPr>
          <w:p>
            <w:pPr>
              <w:snapToGrid w:val="0"/>
              <w:ind w:firstLine="0" w:firstLineChars="0"/>
              <w:jc w:val="both"/>
              <w:rPr>
                <w:rFonts w:hint="default" w:eastAsia="仿宋_GB2312"/>
                <w:bCs/>
                <w:spacing w:val="-18"/>
                <w:sz w:val="24"/>
                <w:lang w:val="en-US"/>
              </w:rPr>
            </w:pPr>
            <w:r>
              <w:rPr>
                <w:rFonts w:hint="default" w:eastAsia="仿宋_GB2312"/>
                <w:bCs/>
                <w:spacing w:val="-18"/>
                <w:sz w:val="24"/>
                <w:lang w:val="en-US"/>
              </w:rPr>
              <w:t>883.5</w:t>
            </w:r>
          </w:p>
        </w:tc>
        <w:tc>
          <w:tcPr>
            <w:tcW w:w="1229" w:type="dxa"/>
            <w:noWrap w:val="0"/>
            <w:vAlign w:val="center"/>
          </w:tcPr>
          <w:p>
            <w:pPr>
              <w:snapToGrid w:val="0"/>
              <w:ind w:firstLine="0" w:firstLineChars="0"/>
              <w:jc w:val="both"/>
              <w:rPr>
                <w:rFonts w:hint="default" w:eastAsia="仿宋_GB2312"/>
                <w:bCs/>
                <w:spacing w:val="-18"/>
                <w:sz w:val="24"/>
                <w:lang w:val="en-US"/>
              </w:rPr>
            </w:pPr>
            <w:r>
              <w:rPr>
                <w:rFonts w:hint="default" w:eastAsia="仿宋_GB2312"/>
                <w:bCs/>
                <w:spacing w:val="-18"/>
                <w:sz w:val="24"/>
                <w:lang w:val="en-US"/>
              </w:rPr>
              <w:t>2117</w:t>
            </w:r>
          </w:p>
        </w:tc>
        <w:tc>
          <w:tcPr>
            <w:tcW w:w="836"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240%</w:t>
            </w:r>
          </w:p>
        </w:tc>
        <w:tc>
          <w:tcPr>
            <w:tcW w:w="871"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886</w:t>
            </w:r>
          </w:p>
        </w:tc>
        <w:tc>
          <w:tcPr>
            <w:tcW w:w="1200"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2187</w:t>
            </w:r>
          </w:p>
        </w:tc>
        <w:tc>
          <w:tcPr>
            <w:tcW w:w="974" w:type="dxa"/>
            <w:noWrap w:val="0"/>
            <w:vAlign w:val="center"/>
          </w:tcPr>
          <w:p>
            <w:pPr>
              <w:snapToGrid w:val="0"/>
              <w:ind w:firstLine="0" w:firstLineChars="0"/>
              <w:jc w:val="both"/>
              <w:rPr>
                <w:rFonts w:hint="default" w:eastAsia="仿宋_GB2312"/>
                <w:bCs/>
                <w:spacing w:val="-10"/>
                <w:sz w:val="24"/>
                <w:lang w:val="en-US"/>
              </w:rPr>
            </w:pPr>
            <w:r>
              <w:rPr>
                <w:rFonts w:hint="default" w:eastAsia="仿宋_GB2312"/>
                <w:bCs/>
                <w:spacing w:val="-10"/>
                <w:sz w:val="24"/>
                <w:lang w:val="en-US"/>
              </w:rPr>
              <w:t>240%</w:t>
            </w:r>
          </w:p>
        </w:tc>
      </w:tr>
    </w:tbl>
    <w:p>
      <w:pPr>
        <w:spacing w:line="360" w:lineRule="auto"/>
        <w:ind w:firstLine="560"/>
        <w:outlineLvl w:val="1"/>
        <w:rPr>
          <w:rFonts w:hint="default" w:eastAsia="仿宋"/>
          <w:sz w:val="24"/>
          <w:shd w:val="clear" w:color="auto" w:fill="FFFFFF"/>
        </w:rPr>
      </w:pPr>
      <w:bookmarkStart w:id="547" w:name="_Toc18091"/>
      <w:bookmarkStart w:id="548" w:name="_Toc16923"/>
      <w:bookmarkStart w:id="549" w:name="_Toc32296"/>
      <w:bookmarkStart w:id="550" w:name="_Toc13070"/>
      <w:bookmarkStart w:id="551" w:name="_Toc7916"/>
      <w:bookmarkStart w:id="552" w:name="_Toc4927"/>
      <w:bookmarkStart w:id="553" w:name="_Toc7071"/>
      <w:r>
        <w:rPr>
          <w:rFonts w:ascii="仿宋_GB2312" w:hAnsi="仿宋_GB2312" w:eastAsia="仿宋_GB2312" w:cs="仿宋_GB2312"/>
          <w:szCs w:val="28"/>
          <w:shd w:val="clear" w:color="auto" w:fill="FFFFFF"/>
        </w:rPr>
        <w:t>注</w:t>
      </w:r>
      <w:r>
        <w:rPr>
          <w:rFonts w:hint="default" w:eastAsia="仿宋_GB2312"/>
          <w:szCs w:val="28"/>
          <w:shd w:val="clear" w:color="auto" w:fill="FFFFFF"/>
        </w:rPr>
        <w:t>：2020年全县</w:t>
      </w:r>
      <w:r>
        <w:rPr>
          <w:rFonts w:hint="default" w:eastAsia="仿宋_GB2312"/>
          <w:szCs w:val="28"/>
          <w:shd w:val="clear" w:color="auto" w:fill="FFFFFF"/>
          <w:lang w:val="en-US"/>
        </w:rPr>
        <w:t>总</w:t>
      </w:r>
      <w:r>
        <w:rPr>
          <w:rFonts w:hint="default" w:eastAsia="仿宋_GB2312"/>
          <w:szCs w:val="28"/>
          <w:shd w:val="clear" w:color="auto" w:fill="FFFFFF"/>
        </w:rPr>
        <w:t>人口为</w:t>
      </w:r>
      <w:r>
        <w:rPr>
          <w:rFonts w:hint="default" w:eastAsia="仿宋_GB2312"/>
          <w:szCs w:val="28"/>
          <w:shd w:val="clear" w:color="auto" w:fill="FFFFFF"/>
          <w:lang w:val="en-US"/>
        </w:rPr>
        <w:t>15.5万</w:t>
      </w:r>
      <w:r>
        <w:rPr>
          <w:rFonts w:hint="default" w:eastAsia="仿宋_GB2312"/>
          <w:szCs w:val="28"/>
          <w:shd w:val="clear" w:color="auto" w:fill="FFFFFF"/>
        </w:rPr>
        <w:t>人，</w:t>
      </w:r>
      <w:r>
        <w:rPr>
          <w:rFonts w:hint="default" w:eastAsia="仿宋_GB2312"/>
          <w:szCs w:val="28"/>
          <w:shd w:val="clear" w:color="auto" w:fill="FFFFFF"/>
          <w:lang w:val="en-US"/>
        </w:rPr>
        <w:t>按</w:t>
      </w:r>
      <w:r>
        <w:rPr>
          <w:rFonts w:hint="default" w:eastAsia="仿宋_GB2312"/>
          <w:szCs w:val="28"/>
          <w:shd w:val="clear" w:color="auto" w:fill="FFFFFF"/>
        </w:rPr>
        <w:t>自然增长率6.3‰，2025年全县常住人口预测为</w:t>
      </w:r>
      <w:r>
        <w:rPr>
          <w:rFonts w:hint="default" w:eastAsia="仿宋_GB2312"/>
          <w:szCs w:val="28"/>
          <w:shd w:val="clear" w:color="auto" w:fill="FFFFFF"/>
          <w:lang w:val="en-US"/>
        </w:rPr>
        <w:t>15.55万</w:t>
      </w:r>
      <w:r>
        <w:rPr>
          <w:rFonts w:hint="default" w:eastAsia="仿宋_GB2312"/>
          <w:szCs w:val="28"/>
          <w:shd w:val="clear" w:color="auto" w:fill="FFFFFF"/>
        </w:rPr>
        <w:t>人。生猪：平均125公斤/头×0.75%=93.75公斤肉/头，猪肉93.75公斤×0.45=42.19公斤/年·人。</w:t>
      </w:r>
      <w:bookmarkEnd w:id="547"/>
      <w:bookmarkEnd w:id="548"/>
      <w:bookmarkEnd w:id="549"/>
      <w:bookmarkEnd w:id="550"/>
      <w:bookmarkEnd w:id="551"/>
      <w:bookmarkEnd w:id="552"/>
      <w:bookmarkEnd w:id="553"/>
    </w:p>
    <w:p>
      <w:pPr>
        <w:spacing w:line="360" w:lineRule="auto"/>
        <w:ind w:firstLine="480"/>
        <w:rPr>
          <w:rFonts w:hint="default" w:eastAsia="仿宋"/>
          <w:sz w:val="24"/>
          <w:shd w:val="clear" w:color="auto" w:fill="FFFFFF"/>
        </w:rPr>
      </w:pPr>
    </w:p>
    <w:p>
      <w:pPr>
        <w:pStyle w:val="14"/>
        <w:tabs>
          <w:tab w:val="right" w:leader="dot" w:pos="8296"/>
        </w:tabs>
        <w:spacing w:before="468" w:beforeLines="150" w:after="312" w:afterLines="100" w:line="240" w:lineRule="auto"/>
        <w:ind w:firstLine="560"/>
        <w:jc w:val="center"/>
        <w:outlineLvl w:val="0"/>
        <w:rPr>
          <w:rFonts w:hint="default"/>
        </w:rPr>
        <w:sectPr>
          <w:headerReference r:id="rId11" w:type="default"/>
          <w:footerReference r:id="rId12" w:type="default"/>
          <w:pgSz w:w="11906" w:h="16838"/>
          <w:pgMar w:top="1418" w:right="1440" w:bottom="1418" w:left="1440" w:header="851" w:footer="992" w:gutter="0"/>
          <w:cols w:space="720" w:num="1"/>
          <w:docGrid w:type="lines" w:linePitch="312" w:charSpace="0"/>
        </w:sect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6"/>
          <w:szCs w:val="36"/>
          <w:lang w:val="en-US"/>
        </w:rPr>
      </w:pPr>
      <w:bookmarkStart w:id="554" w:name="_Toc32277"/>
      <w:bookmarkStart w:id="555" w:name="_Toc30976"/>
      <w:bookmarkStart w:id="556" w:name="_Toc20674"/>
      <w:bookmarkStart w:id="557" w:name="_Toc58780959"/>
      <w:bookmarkStart w:id="558" w:name="_Toc55807960"/>
      <w:r>
        <w:rPr>
          <w:rFonts w:ascii="黑体" w:hAnsi="黑体" w:eastAsia="黑体"/>
          <w:kern w:val="2"/>
          <w:sz w:val="32"/>
          <w:szCs w:val="32"/>
          <w:lang w:val="en-US"/>
        </w:rPr>
        <w:t>第四章 　区域布局</w:t>
      </w:r>
      <w:bookmarkEnd w:id="554"/>
      <w:bookmarkEnd w:id="555"/>
      <w:bookmarkEnd w:id="556"/>
    </w:p>
    <w:p>
      <w:pPr>
        <w:spacing w:line="540" w:lineRule="exact"/>
        <w:ind w:firstLine="560"/>
        <w:rPr>
          <w:rFonts w:eastAsia="仿宋"/>
          <w:szCs w:val="28"/>
          <w:shd w:val="clear" w:color="auto" w:fill="FFFFFF"/>
        </w:rPr>
      </w:pPr>
      <w:bookmarkStart w:id="559" w:name="_Toc26119"/>
      <w:r>
        <w:rPr>
          <w:rFonts w:eastAsia="仿宋"/>
          <w:szCs w:val="28"/>
          <w:shd w:val="clear" w:color="auto" w:fill="FFFFFF"/>
        </w:rPr>
        <w:t>统筹考虑土地资源、生态环境、产业基础，消费习惯和屠宰加工等因素，综合平衡本地市场供需和产业自身优势情况，根据土地承载能力、主导产业发展、畜产品保供和农民增收要求，科学规划畜禽养殖总量和空间布局。加快推进畜牧业结构调整，促进畜禽养殖与资源环境承载力相匹配、与种植业布局相协调，确保畜牧产业发展与生态环境保护、农牧循环利用、动物防疫安全协调发展。</w:t>
      </w:r>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560" w:name="_Toc25568"/>
      <w:bookmarkStart w:id="561" w:name="_Toc24894"/>
      <w:bookmarkStart w:id="562" w:name="_Toc257"/>
      <w:r>
        <w:rPr>
          <w:rFonts w:hint="eastAsia" w:ascii="黑体" w:hAnsi="黑体" w:eastAsia="黑体"/>
          <w:b w:val="0"/>
          <w:bCs w:val="0"/>
          <w:sz w:val="30"/>
          <w:szCs w:val="30"/>
        </w:rPr>
        <w:t>一</w:t>
      </w:r>
      <w:r>
        <w:rPr>
          <w:rFonts w:hint="eastAsia" w:ascii="黑体" w:hAnsi="黑体" w:eastAsia="黑体"/>
          <w:b w:val="0"/>
          <w:bCs w:val="0"/>
          <w:sz w:val="30"/>
          <w:szCs w:val="30"/>
          <w:lang w:eastAsia="zh-CN"/>
        </w:rPr>
        <w:t>、</w:t>
      </w:r>
      <w:r>
        <w:rPr>
          <w:rFonts w:hint="eastAsia" w:ascii="黑体" w:hAnsi="黑体" w:eastAsia="黑体"/>
          <w:b w:val="0"/>
          <w:bCs w:val="0"/>
          <w:sz w:val="30"/>
          <w:szCs w:val="30"/>
        </w:rPr>
        <w:t>养殖区布局</w:t>
      </w:r>
      <w:bookmarkEnd w:id="559"/>
      <w:bookmarkEnd w:id="560"/>
      <w:bookmarkEnd w:id="561"/>
      <w:bookmarkEnd w:id="562"/>
    </w:p>
    <w:p>
      <w:pPr>
        <w:spacing w:line="540" w:lineRule="exact"/>
        <w:ind w:firstLine="560"/>
        <w:rPr>
          <w:rFonts w:eastAsia="仿宋"/>
          <w:szCs w:val="28"/>
          <w:shd w:val="clear" w:color="auto" w:fill="FFFFFF"/>
          <w:lang w:val="en-US"/>
        </w:rPr>
      </w:pPr>
      <w:r>
        <w:rPr>
          <w:rFonts w:eastAsia="仿宋"/>
          <w:szCs w:val="28"/>
          <w:shd w:val="clear" w:color="auto" w:fill="FFFFFF"/>
        </w:rPr>
        <w:t>根据生态环境部办公厅和农业农村部办公厅关于进一步规范畜禽养殖禁养区划定和管理促进生猪生产发展的通知要求，依照《中华人民共和国畜牧法》《畜禽规模养殖污染防治条例》《福建省农业生态环境保护条例》等法律法规，结合建宁县各县（县、区）实际，重新调整划定畜禽养殖禁养区和可养区范围。禁养区和可养区范围</w:t>
      </w:r>
      <w:r>
        <w:rPr>
          <w:rFonts w:eastAsia="仿宋"/>
          <w:szCs w:val="28"/>
          <w:shd w:val="clear" w:color="auto" w:fill="FFFFFF"/>
          <w:lang w:val="en-US"/>
        </w:rPr>
        <w:t>参照</w:t>
      </w:r>
      <w:r>
        <w:rPr>
          <w:rFonts w:hint="eastAsia" w:eastAsia="仿宋"/>
          <w:szCs w:val="28"/>
          <w:shd w:val="clear" w:color="auto" w:fill="FFFFFF"/>
        </w:rPr>
        <w:t>建宁县人民政府办公室关于印发 建宁县畜禽养殖禁养区重新划分方案的通知建政办〔2019〕58号</w:t>
      </w:r>
      <w:r>
        <w:rPr>
          <w:rFonts w:eastAsia="仿宋"/>
          <w:szCs w:val="28"/>
          <w:shd w:val="clear" w:color="auto" w:fill="FFFFFF"/>
          <w:lang w:val="en-US"/>
        </w:rPr>
        <w:t>。</w:t>
      </w:r>
    </w:p>
    <w:p>
      <w:pPr>
        <w:widowControl/>
        <w:shd w:val="clear" w:color="auto" w:fill="FFFFFF"/>
        <w:spacing w:line="580" w:lineRule="atLeast"/>
        <w:ind w:firstLine="600"/>
        <w:rPr>
          <w:rFonts w:ascii="宋体" w:hAnsi="宋体" w:cs="宋体"/>
          <w:color w:val="333333"/>
          <w:sz w:val="30"/>
          <w:szCs w:val="30"/>
        </w:rPr>
      </w:pPr>
      <w:r>
        <w:rPr>
          <w:rFonts w:ascii="楷体_GB2312" w:hAnsi="宋体" w:eastAsia="楷体_GB2312" w:cs="楷体_GB2312"/>
          <w:sz w:val="30"/>
          <w:szCs w:val="30"/>
          <w:shd w:val="clear" w:color="auto" w:fill="FFFFFF"/>
          <w:lang w:val="en-US" w:bidi="ar"/>
        </w:rPr>
        <w:t>（一）禁养区范围</w:t>
      </w:r>
    </w:p>
    <w:p>
      <w:pPr>
        <w:spacing w:line="540" w:lineRule="exact"/>
        <w:ind w:firstLine="560"/>
        <w:rPr>
          <w:rFonts w:hint="eastAsia" w:eastAsia="仿宋"/>
          <w:szCs w:val="28"/>
          <w:shd w:val="clear" w:color="auto" w:fill="FFFFFF"/>
        </w:rPr>
      </w:pPr>
      <w:r>
        <w:rPr>
          <w:rFonts w:eastAsia="仿宋"/>
          <w:szCs w:val="28"/>
          <w:shd w:val="clear" w:color="auto" w:fill="FFFFFF"/>
          <w:lang w:val="en-US"/>
        </w:rPr>
        <w:t>1．</w:t>
      </w:r>
      <w:r>
        <w:rPr>
          <w:rFonts w:hint="eastAsia" w:eastAsia="仿宋"/>
          <w:szCs w:val="28"/>
          <w:shd w:val="clear" w:color="auto" w:fill="FFFFFF"/>
          <w:lang w:val="en-US" w:eastAsia="zh-CN"/>
        </w:rPr>
        <w:t>县城和各乡镇集中式饮用水源保护区及周边500米（具体为：建宁县王坪栋水库饮用水水源保护区、坑井水库水源保护区、里心镇幸福桥水源保护区、均口镇三排山水源保护区、伊家乡际下坑水源保护区、黄埠乡银厂水源保护区、客坊乡柴根岭水源保护区、黄坊乡尾子岭水源保护区、溪源乡七里坑水源保护区）；（依据《中华人民共和国畜牧法》第四十条禁止在下列区域内建设畜禽养殖场、养殖小区：（1）生活饮用水的水源保护区，风景名胜区，以及自然保护区的核心区和缓冲区；）</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2010年1月农业部发布的《动物防疫条件审查办法》第五条 动物饲养场、养殖小区选址应当符合下列条件：（一）距离生活饮用水源地、动物屠宰加工场所、动物和动物产品集贸市场500米以上。</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2．</w:t>
      </w:r>
      <w:r>
        <w:rPr>
          <w:rFonts w:hint="eastAsia" w:eastAsia="仿宋"/>
          <w:szCs w:val="28"/>
          <w:shd w:val="clear" w:color="auto" w:fill="FFFFFF"/>
          <w:lang w:val="en-US" w:eastAsia="zh-CN"/>
        </w:rPr>
        <w:t>福建闽江源国家级自然保护区核心区和缓冲区；（依据《中华人民共和国畜牧法》第四十条禁止在下列区域内建设畜禽养殖场、养殖小区：（1）生活饮用水的水源保护区，风景名胜区，以及自然保护区的核心区和缓冲区；</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《环境保护法》第二十九条  国家在重点生态功能区、生态环境敏感区和脆弱区等区域划定生态保护红线，实行严格保护。</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各级人民政府对具有代表性的各种类型的自然生态系统区域，珍稀、濒危的野生动植物自然分布区域，重要的水源涵养区域，具有重大科学文化价值的地质构造、著名溶洞和化石分布区、冰川、火山、温泉等自然遗迹，以及人文遗迹、古树名木，应当采取措施予以保护，严禁破坏。</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3．距离金溪干流（建宁段）及其一级支流（包含宁溪、都溪、里沙溪、澜溪、杨林溪、黄坊溪、开山溪、楚溪）河岸线500米以内区域；（依据：《福建省农业生态环境保护条例》第二十一条规定禁止在主要水系、饮用水水源保护区、风景名胜区，自然保护区的核心区和缓冲区，城镇居民区、文化教育科学研究区等人口集中区域和其他需要保护的区域及周边建设畜禽养殖场、养殖小区。）</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4．城镇居民区、文化教育科学研究区等人口集中区域及其周边500米；（依据《中华人民共和国畜牧法》第四十条 禁止在下列区域内建设畜禽养殖场、养殖小区：（二）城镇居民区、文化教育科学研究区等人口集中区域；</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《中华人民共和国动物防疫法》第十九条 （一）场所的位置与居民生活区、生活饮用水源地、学校、医院等公共场所的距离符合国务院兽医主管部门规定的标准。</w:t>
      </w:r>
    </w:p>
    <w:p>
      <w:pPr>
        <w:spacing w:line="540" w:lineRule="exact"/>
        <w:ind w:firstLine="560"/>
        <w:rPr>
          <w:rFonts w:hint="eastAsia" w:eastAsia="仿宋"/>
          <w:szCs w:val="28"/>
          <w:shd w:val="clear" w:color="auto" w:fill="FFFFFF"/>
          <w:lang w:val="en-US" w:eastAsia="zh-CN"/>
        </w:rPr>
      </w:pPr>
      <w:r>
        <w:rPr>
          <w:rFonts w:hint="default" w:eastAsia="仿宋"/>
          <w:szCs w:val="28"/>
          <w:shd w:val="clear" w:color="auto" w:fill="FFFFFF"/>
          <w:lang w:val="en-US" w:eastAsia="zh-CN"/>
        </w:rPr>
        <w:t>2010年1月农业部发布的《动物防疫条件审查办法》第五条 动物饲养场、养殖小区选址应当符合下列条件：（三）距离城镇居民区、文化教育科研等人口集中区域500米以上。</w:t>
      </w:r>
    </w:p>
    <w:p>
      <w:pPr>
        <w:spacing w:line="540" w:lineRule="exact"/>
        <w:ind w:firstLine="560"/>
        <w:rPr>
          <w:rFonts w:hint="eastAsia" w:ascii="宋体" w:hAnsi="宋体" w:eastAsia="宋体" w:cs="宋体"/>
          <w:i w:val="0"/>
          <w:caps w:val="0"/>
          <w:color w:val="333333"/>
          <w:spacing w:val="0"/>
          <w:sz w:val="18"/>
          <w:szCs w:val="18"/>
        </w:rPr>
      </w:pPr>
      <w:r>
        <w:rPr>
          <w:rFonts w:hint="default" w:eastAsia="仿宋"/>
          <w:szCs w:val="28"/>
          <w:shd w:val="clear" w:color="auto" w:fill="FFFFFF"/>
          <w:lang w:val="en-US" w:eastAsia="zh-CN"/>
        </w:rPr>
        <w:t>5．法律、法规规定的其他禁养区域。</w:t>
      </w:r>
    </w:p>
    <w:p>
      <w:pPr>
        <w:widowControl/>
        <w:shd w:val="clear" w:color="auto" w:fill="FFFFFF"/>
        <w:spacing w:line="580" w:lineRule="atLeast"/>
        <w:ind w:firstLine="600"/>
        <w:rPr>
          <w:rFonts w:hint="default" w:ascii="仿宋_GB2312" w:hAnsi="宋体" w:eastAsia="仿宋_GB2312" w:cs="仿宋_GB2312"/>
          <w:szCs w:val="28"/>
          <w:shd w:val="clear" w:color="auto" w:fill="FFFFFF"/>
          <w:lang w:val="en-US" w:bidi="ar"/>
        </w:rPr>
      </w:pPr>
      <w:r>
        <w:rPr>
          <w:rFonts w:hint="default" w:ascii="楷体_GB2312" w:hAnsi="宋体" w:eastAsia="楷体_GB2312" w:cs="楷体_GB2312"/>
          <w:sz w:val="30"/>
          <w:szCs w:val="30"/>
          <w:shd w:val="clear" w:color="auto" w:fill="FFFFFF"/>
          <w:lang w:val="en-US" w:bidi="ar"/>
        </w:rPr>
        <w:t>（二）可养区</w:t>
      </w:r>
      <w:r>
        <w:rPr>
          <w:rFonts w:ascii="楷体_GB2312" w:hAnsi="宋体" w:eastAsia="楷体_GB2312" w:cs="楷体_GB2312"/>
          <w:sz w:val="30"/>
          <w:szCs w:val="30"/>
          <w:shd w:val="clear" w:color="auto" w:fill="FFFFFF"/>
          <w:lang w:val="en-US" w:bidi="ar"/>
        </w:rPr>
        <w:t xml:space="preserve"> </w:t>
      </w:r>
      <w:r>
        <w:rPr>
          <w:rFonts w:ascii="楷体_GB2312" w:hAnsi="宋体" w:eastAsia="楷体_GB2312" w:cs="楷体_GB2312"/>
          <w:szCs w:val="28"/>
          <w:shd w:val="clear" w:color="auto" w:fill="FFFFFF"/>
          <w:lang w:val="en-US" w:bidi="ar"/>
        </w:rPr>
        <w:t xml:space="preserve"> </w:t>
      </w:r>
      <w:r>
        <w:rPr>
          <w:rFonts w:hint="default" w:ascii="仿宋_GB2312" w:hAnsi="宋体" w:eastAsia="仿宋_GB2312" w:cs="仿宋_GB2312"/>
          <w:szCs w:val="28"/>
          <w:shd w:val="clear" w:color="auto" w:fill="FFFFFF"/>
          <w:lang w:val="en-US" w:bidi="ar"/>
        </w:rPr>
        <w:t>除禁养区之外的其他区域为可养殖区，可养区内符合生态功能区划的区域可作为优先发展的适养区。在畜禽养殖可养区内从事畜禽养殖的，应当遵守国家有关建设项目环境保护管理规定开展环境影响评价，其污染防治措施及畜禽排泄物综合利用措施必须与主体工程同时设计、同时施工、同时投产使用。其污染物排放不得超过国家和地方规定的排放标准和总量控制要求。</w:t>
      </w:r>
    </w:p>
    <w:p>
      <w:pPr>
        <w:widowControl/>
        <w:shd w:val="clear" w:color="auto" w:fill="FFFFFF"/>
        <w:spacing w:line="580" w:lineRule="atLeast"/>
        <w:ind w:firstLine="560"/>
        <w:rPr>
          <w:rFonts w:hint="default" w:ascii="仿宋_GB2312" w:hAnsi="宋体" w:eastAsia="仿宋_GB2312" w:cs="仿宋_GB2312"/>
          <w:szCs w:val="28"/>
          <w:shd w:val="clear" w:color="auto" w:fill="FFFFFF"/>
          <w:lang w:val="en-US" w:bidi="ar"/>
        </w:rPr>
      </w:pPr>
      <w:r>
        <w:rPr>
          <w:rFonts w:hint="default" w:ascii="仿宋_GB2312" w:hAnsi="宋体" w:eastAsia="仿宋_GB2312" w:cs="仿宋_GB2312"/>
          <w:szCs w:val="28"/>
          <w:shd w:val="clear" w:color="auto" w:fill="FFFFFF"/>
          <w:lang w:val="en-US" w:bidi="ar"/>
        </w:rPr>
        <w:t>当地政府并依法对可养区内畜禽养殖实施严格控制养殖规模。新建、改建和扩建各类畜禽养殖场，必须按有关规定要求，符合国家和地方法律法规，不得影响居住环境和生态环境。</w:t>
      </w:r>
    </w:p>
    <w:p>
      <w:pPr>
        <w:rPr>
          <w:rFonts w:hint="default" w:ascii="仿宋_GB2312" w:eastAsia="仿宋_GB2312"/>
          <w:sz w:val="32"/>
          <w:szCs w:val="32"/>
          <w:lang w:val="en-US"/>
        </w:rPr>
      </w:pPr>
    </w:p>
    <w:p>
      <w:pPr>
        <w:pStyle w:val="22"/>
        <w:spacing w:line="240" w:lineRule="auto"/>
        <w:ind w:firstLine="0" w:firstLineChars="0"/>
        <w:jc w:val="center"/>
        <w:rPr>
          <w:rFonts w:eastAsia="仿宋"/>
          <w:b/>
          <w:bCs/>
          <w:szCs w:val="28"/>
        </w:rPr>
      </w:pPr>
      <w:bookmarkStart w:id="563" w:name="_Toc59656470"/>
      <w:r>
        <w:rPr>
          <w:rFonts w:eastAsia="仿宋"/>
          <w:b/>
          <w:bCs/>
          <w:szCs w:val="28"/>
        </w:rPr>
        <w:t>表</w:t>
      </w:r>
      <w:r>
        <w:rPr>
          <w:rFonts w:eastAsia="仿宋"/>
          <w:b/>
          <w:bCs/>
          <w:szCs w:val="28"/>
          <w:lang w:val="en-US"/>
        </w:rPr>
        <w:t>1</w:t>
      </w:r>
      <w:r>
        <w:rPr>
          <w:rFonts w:hint="eastAsia" w:eastAsia="仿宋"/>
          <w:b/>
          <w:bCs/>
          <w:szCs w:val="28"/>
          <w:lang w:val="en-US" w:eastAsia="zh-CN"/>
        </w:rPr>
        <w:t>0</w:t>
      </w:r>
      <w:r>
        <w:rPr>
          <w:rFonts w:eastAsia="仿宋"/>
          <w:b/>
          <w:bCs/>
          <w:szCs w:val="28"/>
        </w:rPr>
        <w:t xml:space="preserve">  建宁县主要畜禽养殖重点乡镇分布表</w:t>
      </w:r>
      <w:bookmarkEnd w:id="563"/>
    </w:p>
    <w:tbl>
      <w:tblPr>
        <w:tblStyle w:val="18"/>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642"/>
        <w:gridCol w:w="2642"/>
        <w:gridCol w:w="26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1135" w:type="dxa"/>
            <w:tcBorders>
              <w:left w:val="single" w:color="auto" w:sz="4" w:space="0"/>
            </w:tcBorders>
            <w:noWrap w:val="0"/>
            <w:vAlign w:val="center"/>
          </w:tcPr>
          <w:p>
            <w:pPr>
              <w:spacing w:line="400" w:lineRule="exact"/>
              <w:ind w:firstLine="482"/>
              <w:jc w:val="center"/>
              <w:rPr>
                <w:rFonts w:ascii="宋体" w:hAnsi="宋体" w:cs="宋体"/>
                <w:b/>
                <w:snapToGrid w:val="0"/>
                <w:sz w:val="24"/>
              </w:rPr>
            </w:pPr>
          </w:p>
        </w:tc>
        <w:tc>
          <w:tcPr>
            <w:tcW w:w="2642" w:type="dxa"/>
            <w:noWrap w:val="0"/>
            <w:vAlign w:val="center"/>
          </w:tcPr>
          <w:p>
            <w:pPr>
              <w:spacing w:line="260" w:lineRule="atLeast"/>
              <w:ind w:firstLine="482"/>
              <w:jc w:val="center"/>
              <w:rPr>
                <w:rFonts w:ascii="宋体" w:hAnsi="宋体" w:cs="宋体"/>
                <w:b/>
                <w:snapToGrid w:val="0"/>
                <w:sz w:val="24"/>
              </w:rPr>
            </w:pPr>
            <w:r>
              <w:rPr>
                <w:rFonts w:ascii="宋体" w:hAnsi="宋体" w:cs="宋体"/>
                <w:b/>
                <w:snapToGrid w:val="0"/>
                <w:sz w:val="24"/>
              </w:rPr>
              <w:t>生猪</w:t>
            </w:r>
          </w:p>
        </w:tc>
        <w:tc>
          <w:tcPr>
            <w:tcW w:w="2642" w:type="dxa"/>
            <w:noWrap w:val="0"/>
            <w:vAlign w:val="center"/>
          </w:tcPr>
          <w:p>
            <w:pPr>
              <w:spacing w:line="260" w:lineRule="atLeast"/>
              <w:ind w:firstLine="482"/>
              <w:jc w:val="center"/>
              <w:rPr>
                <w:rFonts w:hint="default" w:ascii="宋体" w:hAnsi="宋体" w:cs="宋体"/>
                <w:b/>
                <w:snapToGrid w:val="0"/>
                <w:sz w:val="24"/>
                <w:lang w:val="en-US"/>
              </w:rPr>
            </w:pPr>
            <w:r>
              <w:rPr>
                <w:rFonts w:ascii="宋体" w:hAnsi="宋体" w:cs="宋体"/>
                <w:b/>
                <w:snapToGrid w:val="0"/>
                <w:sz w:val="24"/>
                <w:lang w:val="en-US"/>
              </w:rPr>
              <w:t>草食动物</w:t>
            </w:r>
          </w:p>
        </w:tc>
        <w:tc>
          <w:tcPr>
            <w:tcW w:w="2643" w:type="dxa"/>
            <w:noWrap w:val="0"/>
            <w:vAlign w:val="center"/>
          </w:tcPr>
          <w:p>
            <w:pPr>
              <w:spacing w:line="260" w:lineRule="atLeast"/>
              <w:ind w:firstLine="482"/>
              <w:jc w:val="center"/>
              <w:rPr>
                <w:rFonts w:ascii="宋体" w:hAnsi="宋体" w:cs="宋体"/>
                <w:b/>
                <w:snapToGrid w:val="0"/>
                <w:sz w:val="24"/>
              </w:rPr>
            </w:pPr>
            <w:r>
              <w:rPr>
                <w:rFonts w:ascii="宋体" w:hAnsi="宋体" w:cs="宋体"/>
                <w:b/>
                <w:snapToGrid w:val="0"/>
                <w:sz w:val="24"/>
              </w:rPr>
              <w:t>家禽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1135" w:type="dxa"/>
            <w:tcBorders>
              <w:left w:val="single" w:color="auto" w:sz="4" w:space="0"/>
            </w:tcBorders>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行政</w:t>
            </w:r>
          </w:p>
          <w:p>
            <w:pPr>
              <w:spacing w:line="400" w:lineRule="exact"/>
              <w:ind w:firstLine="0" w:firstLineChars="0"/>
              <w:jc w:val="both"/>
              <w:rPr>
                <w:rFonts w:eastAsia="仿宋_GB2312"/>
                <w:b/>
                <w:snapToGrid w:val="0"/>
                <w:sz w:val="24"/>
              </w:rPr>
            </w:pPr>
            <w:r>
              <w:rPr>
                <w:rFonts w:eastAsia="仿宋_GB2312"/>
                <w:b/>
                <w:snapToGrid w:val="0"/>
                <w:sz w:val="24"/>
              </w:rPr>
              <w:t>区域</w:t>
            </w:r>
          </w:p>
        </w:tc>
        <w:tc>
          <w:tcPr>
            <w:tcW w:w="2642" w:type="dxa"/>
            <w:noWrap w:val="0"/>
            <w:vAlign w:val="center"/>
          </w:tcPr>
          <w:p>
            <w:pPr>
              <w:spacing w:line="400" w:lineRule="exact"/>
              <w:ind w:firstLine="482"/>
              <w:jc w:val="center"/>
              <w:rPr>
                <w:rFonts w:eastAsia="仿宋_GB2312"/>
                <w:b/>
                <w:snapToGrid w:val="0"/>
                <w:sz w:val="24"/>
              </w:rPr>
            </w:pPr>
            <w:r>
              <w:rPr>
                <w:rFonts w:eastAsia="仿宋_GB2312"/>
                <w:b/>
                <w:snapToGrid w:val="0"/>
                <w:sz w:val="24"/>
              </w:rPr>
              <w:t>溪口</w:t>
            </w:r>
            <w:r>
              <w:rPr>
                <w:rFonts w:eastAsia="仿宋_GB2312"/>
                <w:b/>
                <w:snapToGrid w:val="0"/>
                <w:sz w:val="24"/>
                <w:lang w:val="en-US"/>
              </w:rPr>
              <w:t>镇</w:t>
            </w:r>
            <w:r>
              <w:rPr>
                <w:rFonts w:eastAsia="仿宋_GB2312"/>
                <w:b/>
                <w:snapToGrid w:val="0"/>
                <w:sz w:val="24"/>
              </w:rPr>
              <w:t>、黄坊乡、里心</w:t>
            </w:r>
            <w:r>
              <w:rPr>
                <w:rFonts w:eastAsia="仿宋_GB2312"/>
                <w:b/>
                <w:snapToGrid w:val="0"/>
                <w:sz w:val="24"/>
                <w:lang w:val="en-US"/>
              </w:rPr>
              <w:t>镇</w:t>
            </w:r>
            <w:r>
              <w:rPr>
                <w:rFonts w:eastAsia="仿宋_GB2312"/>
                <w:b/>
                <w:snapToGrid w:val="0"/>
                <w:sz w:val="24"/>
              </w:rPr>
              <w:t>、濉溪</w:t>
            </w:r>
            <w:r>
              <w:rPr>
                <w:rFonts w:eastAsia="仿宋_GB2312"/>
                <w:b/>
                <w:snapToGrid w:val="0"/>
                <w:sz w:val="24"/>
                <w:lang w:val="en-US"/>
              </w:rPr>
              <w:t>镇</w:t>
            </w:r>
            <w:r>
              <w:rPr>
                <w:rFonts w:eastAsia="仿宋_GB2312"/>
                <w:b/>
                <w:snapToGrid w:val="0"/>
                <w:sz w:val="24"/>
              </w:rPr>
              <w:t>等乡镇</w:t>
            </w:r>
          </w:p>
        </w:tc>
        <w:tc>
          <w:tcPr>
            <w:tcW w:w="2642" w:type="dxa"/>
            <w:noWrap w:val="0"/>
            <w:vAlign w:val="center"/>
          </w:tcPr>
          <w:p>
            <w:pPr>
              <w:widowControl/>
              <w:ind w:firstLine="482"/>
              <w:rPr>
                <w:rFonts w:eastAsia="仿宋_GB2312"/>
                <w:b/>
                <w:snapToGrid w:val="0"/>
                <w:sz w:val="24"/>
              </w:rPr>
            </w:pPr>
            <w:r>
              <w:rPr>
                <w:rFonts w:eastAsia="仿宋_GB2312"/>
                <w:b/>
                <w:snapToGrid w:val="0"/>
                <w:sz w:val="24"/>
              </w:rPr>
              <w:t>里心</w:t>
            </w:r>
            <w:r>
              <w:rPr>
                <w:rFonts w:eastAsia="仿宋_GB2312"/>
                <w:b/>
                <w:snapToGrid w:val="0"/>
                <w:sz w:val="24"/>
                <w:lang w:val="en-US"/>
              </w:rPr>
              <w:t>镇</w:t>
            </w:r>
            <w:r>
              <w:rPr>
                <w:rFonts w:eastAsia="仿宋_GB2312"/>
                <w:b/>
                <w:snapToGrid w:val="0"/>
                <w:sz w:val="24"/>
              </w:rPr>
              <w:t>、</w:t>
            </w:r>
            <w:r>
              <w:rPr>
                <w:rFonts w:eastAsia="仿宋_GB2312"/>
                <w:b/>
                <w:snapToGrid w:val="0"/>
                <w:sz w:val="24"/>
                <w:lang w:val="en-US"/>
              </w:rPr>
              <w:t>黄埠乡</w:t>
            </w:r>
          </w:p>
          <w:p>
            <w:pPr>
              <w:widowControl/>
              <w:ind w:firstLine="0" w:firstLineChars="0"/>
              <w:rPr>
                <w:rFonts w:eastAsia="仿宋_GB2312"/>
                <w:b/>
                <w:snapToGrid w:val="0"/>
                <w:sz w:val="24"/>
                <w:lang w:val="en-US"/>
              </w:rPr>
            </w:pPr>
            <w:r>
              <w:rPr>
                <w:rFonts w:eastAsia="仿宋_GB2312"/>
                <w:b/>
                <w:snapToGrid w:val="0"/>
                <w:sz w:val="24"/>
              </w:rPr>
              <w:t>黄坊乡、</w:t>
            </w:r>
            <w:r>
              <w:rPr>
                <w:rFonts w:eastAsia="仿宋_GB2312"/>
                <w:b/>
                <w:snapToGrid w:val="0"/>
                <w:sz w:val="24"/>
                <w:lang w:val="en-US"/>
              </w:rPr>
              <w:t>客</w:t>
            </w:r>
            <w:r>
              <w:rPr>
                <w:rFonts w:eastAsia="仿宋_GB2312"/>
                <w:b/>
                <w:snapToGrid w:val="0"/>
                <w:sz w:val="24"/>
              </w:rPr>
              <w:t>坊乡等乡镇</w:t>
            </w:r>
          </w:p>
        </w:tc>
        <w:tc>
          <w:tcPr>
            <w:tcW w:w="2643" w:type="dxa"/>
            <w:noWrap w:val="0"/>
            <w:vAlign w:val="center"/>
          </w:tcPr>
          <w:p>
            <w:pPr>
              <w:spacing w:line="400" w:lineRule="exact"/>
              <w:ind w:firstLine="482"/>
              <w:jc w:val="center"/>
              <w:rPr>
                <w:rFonts w:eastAsia="仿宋_GB2312"/>
                <w:b/>
                <w:snapToGrid w:val="0"/>
                <w:sz w:val="24"/>
                <w:lang w:val="en-US"/>
              </w:rPr>
            </w:pPr>
            <w:r>
              <w:rPr>
                <w:rFonts w:eastAsia="仿宋_GB2312"/>
                <w:b/>
                <w:snapToGrid w:val="0"/>
                <w:sz w:val="24"/>
              </w:rPr>
              <w:t>溪口</w:t>
            </w:r>
            <w:r>
              <w:rPr>
                <w:rFonts w:eastAsia="仿宋_GB2312"/>
                <w:b/>
                <w:snapToGrid w:val="0"/>
                <w:sz w:val="24"/>
                <w:lang w:val="en-US"/>
              </w:rPr>
              <w:t>镇</w:t>
            </w:r>
            <w:r>
              <w:rPr>
                <w:rFonts w:eastAsia="仿宋_GB2312"/>
                <w:b/>
                <w:snapToGrid w:val="0"/>
                <w:sz w:val="24"/>
              </w:rPr>
              <w:t>、里心</w:t>
            </w:r>
            <w:r>
              <w:rPr>
                <w:rFonts w:eastAsia="仿宋_GB2312"/>
                <w:b/>
                <w:snapToGrid w:val="0"/>
                <w:sz w:val="24"/>
                <w:lang w:val="en-US"/>
              </w:rPr>
              <w:t>镇</w:t>
            </w:r>
            <w:r>
              <w:rPr>
                <w:rFonts w:eastAsia="仿宋_GB2312"/>
                <w:b/>
                <w:snapToGrid w:val="0"/>
                <w:sz w:val="24"/>
              </w:rPr>
              <w:t>、均口</w:t>
            </w:r>
            <w:r>
              <w:rPr>
                <w:rFonts w:eastAsia="仿宋_GB2312"/>
                <w:b/>
                <w:snapToGrid w:val="0"/>
                <w:sz w:val="24"/>
                <w:lang w:val="en-US"/>
              </w:rPr>
              <w:t>镇</w:t>
            </w:r>
            <w:r>
              <w:rPr>
                <w:rFonts w:eastAsia="仿宋_GB2312"/>
                <w:b/>
                <w:snapToGrid w:val="0"/>
                <w:sz w:val="24"/>
              </w:rPr>
              <w:t>、濉溪</w:t>
            </w:r>
            <w:r>
              <w:rPr>
                <w:rFonts w:eastAsia="仿宋_GB2312"/>
                <w:b/>
                <w:snapToGrid w:val="0"/>
                <w:sz w:val="24"/>
                <w:lang w:val="en-US"/>
              </w:rPr>
              <w:t>镇</w:t>
            </w:r>
            <w:r>
              <w:rPr>
                <w:rFonts w:hint="eastAsia" w:eastAsia="仿宋_GB2312"/>
                <w:b/>
                <w:snapToGrid w:val="0"/>
                <w:sz w:val="24"/>
                <w:lang w:val="en-US" w:eastAsia="zh-CN"/>
              </w:rPr>
              <w:t>、</w:t>
            </w:r>
            <w:r>
              <w:rPr>
                <w:rFonts w:hint="eastAsia" w:eastAsia="仿宋_GB2312"/>
                <w:b/>
                <w:snapToGrid w:val="0"/>
                <w:sz w:val="24"/>
              </w:rPr>
              <w:t>溪源乡</w:t>
            </w:r>
            <w:r>
              <w:rPr>
                <w:rFonts w:eastAsia="仿宋_GB2312"/>
                <w:b/>
                <w:snapToGrid w:val="0"/>
                <w:sz w:val="24"/>
              </w:rPr>
              <w:t>等乡镇</w:t>
            </w:r>
          </w:p>
        </w:tc>
      </w:tr>
    </w:tbl>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564" w:name="_Toc9772"/>
      <w:bookmarkStart w:id="565" w:name="_Toc1927"/>
      <w:bookmarkStart w:id="566" w:name="_Toc59656471"/>
      <w:bookmarkStart w:id="567" w:name="_Toc29131"/>
      <w:bookmarkStart w:id="568" w:name="_Toc21576"/>
      <w:r>
        <w:rPr>
          <w:rFonts w:hint="eastAsia" w:ascii="黑体" w:hAnsi="黑体" w:eastAsia="黑体"/>
          <w:b w:val="0"/>
          <w:bCs w:val="0"/>
          <w:sz w:val="30"/>
          <w:szCs w:val="30"/>
          <w:lang w:eastAsia="zh-CN"/>
        </w:rPr>
        <w:t>二</w:t>
      </w:r>
      <w:r>
        <w:rPr>
          <w:rFonts w:hint="eastAsia" w:ascii="黑体" w:hAnsi="黑体" w:eastAsia="黑体"/>
          <w:b w:val="0"/>
          <w:bCs w:val="0"/>
          <w:sz w:val="30"/>
          <w:szCs w:val="30"/>
        </w:rPr>
        <w:t>、产业</w:t>
      </w:r>
      <w:r>
        <w:rPr>
          <w:rFonts w:hint="eastAsia" w:ascii="黑体" w:hAnsi="黑体" w:eastAsia="黑体"/>
          <w:b w:val="0"/>
          <w:bCs w:val="0"/>
          <w:sz w:val="30"/>
          <w:szCs w:val="30"/>
          <w:lang w:eastAsia="zh-CN"/>
        </w:rPr>
        <w:t>与区域</w:t>
      </w:r>
      <w:r>
        <w:rPr>
          <w:rFonts w:hint="eastAsia" w:ascii="黑体" w:hAnsi="黑体" w:eastAsia="黑体"/>
          <w:b w:val="0"/>
          <w:bCs w:val="0"/>
          <w:sz w:val="30"/>
          <w:szCs w:val="30"/>
        </w:rPr>
        <w:t>布局</w:t>
      </w:r>
      <w:bookmarkEnd w:id="564"/>
      <w:bookmarkEnd w:id="565"/>
      <w:bookmarkEnd w:id="566"/>
      <w:bookmarkEnd w:id="567"/>
      <w:bookmarkEnd w:id="568"/>
    </w:p>
    <w:p>
      <w:pPr>
        <w:widowControl/>
        <w:shd w:val="clear" w:color="auto" w:fill="FFFFFF"/>
        <w:spacing w:before="210" w:after="210" w:line="580" w:lineRule="atLeast"/>
        <w:ind w:firstLine="560"/>
        <w:rPr>
          <w:rFonts w:hint="default" w:ascii="仿宋_GB2312" w:hAnsi="宋体" w:eastAsia="仿宋_GB2312" w:cs="仿宋_GB2312"/>
          <w:szCs w:val="28"/>
          <w:shd w:val="clear" w:color="auto" w:fill="FFFFFF"/>
          <w:lang w:val="en-US" w:bidi="ar"/>
        </w:rPr>
      </w:pPr>
      <w:r>
        <w:rPr>
          <w:rFonts w:ascii="仿宋_GB2312" w:hAnsi="宋体" w:eastAsia="仿宋_GB2312" w:cs="仿宋_GB2312"/>
          <w:szCs w:val="28"/>
          <w:shd w:val="clear" w:color="auto" w:fill="FFFFFF"/>
          <w:lang w:bidi="ar"/>
        </w:rPr>
        <w:t>根据主导产业和农业循环经济发展资源优势及潜力，依据我县畜牧业</w:t>
      </w:r>
      <w:r>
        <w:rPr>
          <w:rFonts w:hint="default" w:ascii="仿宋_GB2312" w:hAnsi="宋体" w:eastAsia="仿宋_GB2312" w:cs="仿宋_GB2312"/>
          <w:szCs w:val="28"/>
          <w:shd w:val="clear" w:color="auto" w:fill="FFFFFF"/>
          <w:lang w:val="en-US" w:bidi="ar"/>
        </w:rPr>
        <w:t>高质量</w:t>
      </w:r>
      <w:r>
        <w:rPr>
          <w:rFonts w:ascii="仿宋_GB2312" w:hAnsi="宋体" w:eastAsia="仿宋_GB2312" w:cs="仿宋_GB2312"/>
          <w:szCs w:val="28"/>
          <w:shd w:val="clear" w:color="auto" w:fill="FFFFFF"/>
          <w:lang w:bidi="ar"/>
        </w:rPr>
        <w:t>发展思路，</w:t>
      </w:r>
      <w:r>
        <w:rPr>
          <w:rFonts w:hint="default" w:ascii="仿宋_GB2312" w:hAnsi="宋体" w:eastAsia="仿宋_GB2312" w:cs="仿宋_GB2312"/>
          <w:szCs w:val="28"/>
          <w:shd w:val="clear" w:color="auto" w:fill="FFFFFF"/>
          <w:lang w:val="en-US" w:bidi="ar"/>
        </w:rPr>
        <w:t>从农牧结合、生态养殖、三产融合等环节构建现代都市畜牧业产业体系。</w:t>
      </w:r>
      <w:r>
        <w:rPr>
          <w:rFonts w:ascii="仿宋_GB2312" w:hAnsi="宋体" w:eastAsia="仿宋_GB2312" w:cs="仿宋_GB2312"/>
          <w:szCs w:val="28"/>
          <w:shd w:val="clear" w:color="auto" w:fill="FFFFFF"/>
          <w:lang w:bidi="ar"/>
        </w:rPr>
        <w:t>结合各乡镇实际情况，本着因地制宜，发挥优势，突出重点的原则，确定我县畜牧业逐步形成了溪口</w:t>
      </w:r>
      <w:r>
        <w:rPr>
          <w:rFonts w:ascii="仿宋_GB2312" w:hAnsi="宋体" w:eastAsia="仿宋_GB2312" w:cs="仿宋_GB2312"/>
          <w:szCs w:val="28"/>
          <w:shd w:val="clear" w:color="auto" w:fill="FFFFFF"/>
          <w:lang w:val="en-US" w:bidi="ar"/>
        </w:rPr>
        <w:t>镇</w:t>
      </w:r>
      <w:r>
        <w:rPr>
          <w:rFonts w:ascii="仿宋_GB2312" w:hAnsi="宋体" w:eastAsia="仿宋_GB2312" w:cs="仿宋_GB2312"/>
          <w:szCs w:val="28"/>
          <w:shd w:val="clear" w:color="auto" w:fill="FFFFFF"/>
          <w:lang w:bidi="ar"/>
        </w:rPr>
        <w:t>、里心</w:t>
      </w:r>
      <w:r>
        <w:rPr>
          <w:rFonts w:ascii="仿宋_GB2312" w:hAnsi="宋体" w:eastAsia="仿宋_GB2312" w:cs="仿宋_GB2312"/>
          <w:szCs w:val="28"/>
          <w:shd w:val="clear" w:color="auto" w:fill="FFFFFF"/>
          <w:lang w:val="en-US" w:bidi="ar"/>
        </w:rPr>
        <w:t>镇</w:t>
      </w:r>
      <w:r>
        <w:rPr>
          <w:rFonts w:ascii="仿宋_GB2312" w:hAnsi="宋体" w:eastAsia="仿宋_GB2312" w:cs="仿宋_GB2312"/>
          <w:szCs w:val="28"/>
          <w:shd w:val="clear" w:color="auto" w:fill="FFFFFF"/>
          <w:lang w:bidi="ar"/>
        </w:rPr>
        <w:t>、濉溪</w:t>
      </w:r>
      <w:r>
        <w:rPr>
          <w:rFonts w:ascii="仿宋_GB2312" w:hAnsi="宋体" w:eastAsia="仿宋_GB2312" w:cs="仿宋_GB2312"/>
          <w:szCs w:val="28"/>
          <w:shd w:val="clear" w:color="auto" w:fill="FFFFFF"/>
          <w:lang w:val="en-US" w:bidi="ar"/>
        </w:rPr>
        <w:t>镇</w:t>
      </w:r>
      <w:r>
        <w:rPr>
          <w:rFonts w:ascii="仿宋_GB2312" w:hAnsi="宋体" w:eastAsia="仿宋_GB2312" w:cs="仿宋_GB2312"/>
          <w:szCs w:val="28"/>
          <w:shd w:val="clear" w:color="auto" w:fill="FFFFFF"/>
          <w:lang w:bidi="ar"/>
        </w:rPr>
        <w:t>、黄坊乡等乡镇的畜禽养殖主要集中地的空间布局结构。</w:t>
      </w:r>
      <w:r>
        <w:rPr>
          <w:rFonts w:ascii="仿宋_GB2312" w:hAnsi="宋体" w:eastAsia="仿宋_GB2312" w:cs="仿宋_GB2312"/>
          <w:szCs w:val="28"/>
          <w:shd w:val="clear" w:color="auto" w:fill="FFFFFF"/>
          <w:lang w:val="en-US" w:bidi="ar"/>
        </w:rPr>
        <w:t>畜牧产业</w:t>
      </w:r>
      <w:r>
        <w:rPr>
          <w:rFonts w:hint="default" w:ascii="仿宋_GB2312" w:hAnsi="宋体" w:eastAsia="仿宋_GB2312" w:cs="仿宋_GB2312"/>
          <w:szCs w:val="28"/>
          <w:shd w:val="clear" w:color="auto" w:fill="FFFFFF"/>
          <w:lang w:val="en-US" w:bidi="ar"/>
        </w:rPr>
        <w:t>改扩建及新建基地应不占用</w:t>
      </w:r>
      <w:r>
        <w:rPr>
          <w:rFonts w:ascii="仿宋_GB2312" w:hAnsi="宋体" w:eastAsia="仿宋_GB2312" w:cs="仿宋_GB2312"/>
          <w:szCs w:val="28"/>
          <w:shd w:val="clear" w:color="auto" w:fill="FFFFFF"/>
          <w:lang w:val="en-US" w:bidi="ar"/>
        </w:rPr>
        <w:t>基本农田</w:t>
      </w:r>
      <w:r>
        <w:rPr>
          <w:rFonts w:hint="default" w:ascii="仿宋_GB2312" w:hAnsi="宋体" w:eastAsia="仿宋_GB2312" w:cs="仿宋_GB2312"/>
          <w:szCs w:val="28"/>
          <w:shd w:val="clear" w:color="auto" w:fill="FFFFFF"/>
          <w:lang w:val="en-US" w:bidi="ar"/>
        </w:rPr>
        <w:t>，并充分考虑周边种植业对畜牧粪便的消纳吸收能力，发展融种养结合、生态循环于一体的生态畜牧业。</w:t>
      </w:r>
    </w:p>
    <w:p>
      <w:pPr>
        <w:spacing w:before="156" w:after="156" w:line="360" w:lineRule="auto"/>
        <w:ind w:firstLine="551" w:firstLineChars="196"/>
        <w:outlineLvl w:val="1"/>
        <w:rPr>
          <w:rFonts w:hint="default" w:ascii="仿宋_GB2312" w:eastAsia="仿宋_GB2312"/>
          <w:b/>
          <w:bCs/>
          <w:szCs w:val="28"/>
          <w:lang w:val="en-US"/>
        </w:rPr>
      </w:pPr>
      <w:bookmarkStart w:id="569" w:name="_Toc28818"/>
      <w:r>
        <w:rPr>
          <w:rFonts w:ascii="仿宋_GB2312" w:eastAsia="仿宋_GB2312"/>
          <w:b/>
          <w:bCs/>
          <w:szCs w:val="28"/>
          <w:lang w:val="en-US"/>
        </w:rPr>
        <w:t>（一）</w:t>
      </w:r>
      <w:r>
        <w:rPr>
          <w:rFonts w:hint="default" w:ascii="仿宋_GB2312" w:eastAsia="仿宋_GB2312"/>
          <w:b/>
          <w:bCs/>
          <w:szCs w:val="28"/>
          <w:lang w:val="en-US"/>
        </w:rPr>
        <w:t>生猪产业布局</w:t>
      </w:r>
      <w:bookmarkEnd w:id="569"/>
    </w:p>
    <w:p>
      <w:pPr>
        <w:spacing w:before="156" w:after="156" w:line="360" w:lineRule="auto"/>
        <w:ind w:firstLine="551" w:firstLineChars="196"/>
        <w:outlineLvl w:val="1"/>
        <w:rPr>
          <w:rFonts w:hint="default" w:eastAsia="仿宋_GB2312"/>
          <w:szCs w:val="28"/>
          <w:lang w:val="en-US"/>
        </w:rPr>
      </w:pPr>
      <w:bookmarkStart w:id="570" w:name="_Toc14221"/>
      <w:bookmarkStart w:id="571" w:name="_Toc13174"/>
      <w:bookmarkStart w:id="572" w:name="_Toc20315"/>
      <w:r>
        <w:rPr>
          <w:rFonts w:hint="default" w:ascii="仿宋_GB2312" w:eastAsia="仿宋_GB2312"/>
          <w:b/>
          <w:bCs/>
          <w:szCs w:val="28"/>
          <w:lang w:val="en-US"/>
        </w:rPr>
        <w:t>（1）产业规模：</w:t>
      </w:r>
      <w:r>
        <w:rPr>
          <w:rFonts w:hint="default" w:ascii="仿宋_GB2312" w:eastAsia="仿宋_GB2312"/>
          <w:szCs w:val="28"/>
          <w:lang w:val="en-US"/>
        </w:rPr>
        <w:t>规划生猪存</w:t>
      </w:r>
      <w:r>
        <w:rPr>
          <w:rFonts w:hint="default" w:eastAsia="仿宋_GB2312"/>
          <w:szCs w:val="28"/>
          <w:lang w:val="en-US"/>
        </w:rPr>
        <w:t>栏量</w:t>
      </w:r>
      <w:r>
        <w:rPr>
          <w:rFonts w:hint="eastAsia" w:eastAsia="仿宋_GB2312"/>
          <w:szCs w:val="28"/>
          <w:lang w:val="en-US" w:eastAsia="zh-CN"/>
        </w:rPr>
        <w:t>7</w:t>
      </w:r>
      <w:r>
        <w:rPr>
          <w:rFonts w:hint="default" w:eastAsia="仿宋_GB2312"/>
          <w:szCs w:val="28"/>
          <w:lang w:val="en-US"/>
        </w:rPr>
        <w:t>.</w:t>
      </w:r>
      <w:r>
        <w:rPr>
          <w:rFonts w:hint="eastAsia" w:eastAsia="仿宋_GB2312"/>
          <w:szCs w:val="28"/>
          <w:lang w:val="en-US" w:eastAsia="zh-CN"/>
        </w:rPr>
        <w:t>0</w:t>
      </w:r>
      <w:r>
        <w:rPr>
          <w:rFonts w:hint="default" w:eastAsia="仿宋_GB2312"/>
          <w:szCs w:val="28"/>
          <w:lang w:val="en-US"/>
        </w:rPr>
        <w:t>万头。</w:t>
      </w:r>
      <w:bookmarkEnd w:id="570"/>
      <w:bookmarkEnd w:id="571"/>
      <w:bookmarkEnd w:id="572"/>
    </w:p>
    <w:p>
      <w:pPr>
        <w:pStyle w:val="22"/>
        <w:spacing w:line="240" w:lineRule="auto"/>
        <w:ind w:firstLine="1124" w:firstLineChars="400"/>
        <w:jc w:val="both"/>
        <w:rPr>
          <w:rFonts w:ascii="仿宋_GB2312" w:hAnsi="宋体" w:eastAsia="仿宋_GB2312" w:cs="仿宋_GB2312"/>
          <w:szCs w:val="28"/>
          <w:shd w:val="clear" w:color="auto" w:fill="FFFFFF"/>
          <w:lang w:bidi="ar"/>
        </w:rPr>
      </w:pPr>
      <w:r>
        <w:rPr>
          <w:rFonts w:hint="default" w:eastAsia="仿宋_GB2312"/>
          <w:b/>
          <w:bCs/>
          <w:szCs w:val="28"/>
          <w:shd w:val="clear" w:color="auto" w:fill="FFFFFF"/>
          <w:lang w:val="en-US" w:bidi="ar"/>
        </w:rPr>
        <w:t>（2）区域布局：</w:t>
      </w:r>
      <w:r>
        <w:rPr>
          <w:rFonts w:hint="default" w:eastAsia="仿宋_GB2312"/>
          <w:szCs w:val="28"/>
          <w:shd w:val="clear" w:color="auto" w:fill="FFFFFF"/>
          <w:lang w:val="en-US" w:bidi="ar"/>
        </w:rPr>
        <w:t>根据生猪平稳发展原则，在2025年全县生猪年出栏控制在1</w:t>
      </w:r>
      <w:r>
        <w:rPr>
          <w:rFonts w:hint="eastAsia" w:eastAsia="仿宋_GB2312"/>
          <w:szCs w:val="28"/>
          <w:shd w:val="clear" w:color="auto" w:fill="FFFFFF"/>
          <w:lang w:val="en-US" w:eastAsia="zh-CN" w:bidi="ar"/>
        </w:rPr>
        <w:t>2.5</w:t>
      </w:r>
      <w:r>
        <w:rPr>
          <w:rFonts w:hint="default" w:eastAsia="仿宋_GB2312"/>
          <w:szCs w:val="28"/>
          <w:shd w:val="clear" w:color="auto" w:fill="FFFFFF"/>
          <w:lang w:val="en-US" w:bidi="ar"/>
        </w:rPr>
        <w:t>万头以内。</w:t>
      </w:r>
      <w:r>
        <w:rPr>
          <w:rFonts w:hint="default" w:eastAsia="仿宋_GB2312"/>
          <w:szCs w:val="28"/>
          <w:shd w:val="clear" w:color="auto" w:fill="FFFFFF"/>
          <w:lang w:bidi="ar"/>
        </w:rPr>
        <w:t>坚持以市场为导向、科技为动力、效</w:t>
      </w:r>
      <w:r>
        <w:rPr>
          <w:rFonts w:ascii="仿宋_GB2312" w:hAnsi="宋体" w:eastAsia="仿宋_GB2312" w:cs="仿宋_GB2312"/>
          <w:szCs w:val="28"/>
          <w:shd w:val="clear" w:color="auto" w:fill="FFFFFF"/>
          <w:lang w:bidi="ar"/>
        </w:rPr>
        <w:t>益为中心、龙头企业为带动，走生猪产业化发展道路，加大政策引导和项目扶持力度，加强标准化生产、疫病防治、环境控制、监督管理和社会化服务，调优品种结构，培植品牌产品，形成支柱产业，发展规模经营，以建立标准化、规模化、集约化养猪场为重点，逐步实现由数量型向质量型、传统养猪业向现代养猪业转变，提高产品质量和市场竞争力，保障本地市场有效供应，确保肉产品质量安全和人民身体健康，增加农民收入，促进农业和农村经济发展。</w:t>
      </w:r>
    </w:p>
    <w:p>
      <w:pPr>
        <w:pStyle w:val="22"/>
        <w:spacing w:line="240" w:lineRule="auto"/>
        <w:ind w:firstLine="1124" w:firstLineChars="400"/>
        <w:jc w:val="both"/>
        <w:rPr>
          <w:rFonts w:hint="default" w:eastAsia="仿宋"/>
          <w:b/>
          <w:bCs/>
          <w:sz w:val="24"/>
          <w:szCs w:val="24"/>
          <w:lang w:val="en-US"/>
        </w:rPr>
      </w:pPr>
      <w:r>
        <w:rPr>
          <w:rFonts w:hint="default" w:eastAsia="仿宋"/>
          <w:b/>
          <w:bCs/>
          <w:szCs w:val="28"/>
          <w:lang w:val="en-US"/>
        </w:rPr>
        <w:t>表</w:t>
      </w:r>
      <w:r>
        <w:rPr>
          <w:rFonts w:eastAsia="仿宋"/>
          <w:b/>
          <w:bCs/>
          <w:szCs w:val="28"/>
          <w:lang w:val="en-US"/>
        </w:rPr>
        <w:t>1</w:t>
      </w:r>
      <w:r>
        <w:rPr>
          <w:rFonts w:hint="eastAsia" w:eastAsia="仿宋"/>
          <w:b/>
          <w:bCs/>
          <w:szCs w:val="28"/>
          <w:lang w:val="en-US" w:eastAsia="zh-CN"/>
        </w:rPr>
        <w:t>1</w:t>
      </w:r>
      <w:r>
        <w:rPr>
          <w:rFonts w:hint="default" w:eastAsia="仿宋"/>
          <w:b/>
          <w:bCs/>
          <w:szCs w:val="28"/>
          <w:lang w:val="en-US"/>
        </w:rPr>
        <w:t>　生猪养殖量布局</w:t>
      </w:r>
      <w:r>
        <w:rPr>
          <w:rFonts w:eastAsia="仿宋"/>
          <w:b/>
          <w:bCs/>
          <w:szCs w:val="28"/>
          <w:lang w:val="en-US"/>
        </w:rPr>
        <w:t>（存栏）</w:t>
      </w:r>
      <w:r>
        <w:rPr>
          <w:rFonts w:hint="default" w:eastAsia="仿宋"/>
          <w:b/>
          <w:bCs/>
          <w:sz w:val="24"/>
          <w:szCs w:val="24"/>
          <w:lang w:val="en-US"/>
        </w:rPr>
        <w:t>单位：头</w:t>
      </w:r>
    </w:p>
    <w:p>
      <w:pPr>
        <w:pStyle w:val="22"/>
        <w:spacing w:line="240" w:lineRule="auto"/>
        <w:ind w:firstLine="0" w:firstLineChars="0"/>
        <w:jc w:val="right"/>
        <w:rPr>
          <w:rFonts w:hint="default" w:eastAsia="仿宋"/>
          <w:b/>
          <w:bCs/>
          <w:sz w:val="24"/>
          <w:szCs w:val="24"/>
          <w:lang w:val="en-US"/>
        </w:rPr>
      </w:pPr>
    </w:p>
    <w:tbl>
      <w:tblPr>
        <w:tblStyle w:val="18"/>
        <w:tblpPr w:leftFromText="180" w:rightFromText="180" w:vertAnchor="text" w:horzAnchor="page" w:tblpX="2744" w:tblpY="37"/>
        <w:tblOverlap w:val="never"/>
        <w:tblW w:w="55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26"/>
        <w:gridCol w:w="1151"/>
        <w:gridCol w:w="1104"/>
        <w:gridCol w:w="15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65" w:type="dxa"/>
            <w:tcBorders>
              <w:left w:val="single" w:color="auto" w:sz="4" w:space="0"/>
            </w:tcBorders>
            <w:noWrap w:val="0"/>
            <w:vAlign w:val="center"/>
          </w:tcPr>
          <w:p>
            <w:pPr>
              <w:spacing w:line="400" w:lineRule="exact"/>
              <w:ind w:firstLine="0" w:firstLineChars="0"/>
              <w:jc w:val="both"/>
              <w:rPr>
                <w:rFonts w:ascii="宋体" w:hAnsi="宋体" w:cs="宋体"/>
                <w:b/>
                <w:snapToGrid w:val="0"/>
                <w:sz w:val="24"/>
              </w:rPr>
            </w:pPr>
            <w:r>
              <w:rPr>
                <w:rFonts w:eastAsia="仿宋_GB2312"/>
                <w:b/>
                <w:snapToGrid w:val="0"/>
                <w:sz w:val="24"/>
              </w:rPr>
              <w:t>行政区域</w:t>
            </w:r>
          </w:p>
        </w:tc>
        <w:tc>
          <w:tcPr>
            <w:tcW w:w="1026"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溪口</w:t>
            </w:r>
            <w:r>
              <w:rPr>
                <w:rFonts w:eastAsia="仿宋_GB2312"/>
                <w:b/>
                <w:snapToGrid w:val="0"/>
                <w:sz w:val="24"/>
                <w:lang w:val="en-US"/>
              </w:rPr>
              <w:t>镇</w:t>
            </w:r>
          </w:p>
        </w:tc>
        <w:tc>
          <w:tcPr>
            <w:tcW w:w="1151"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黄坊乡</w:t>
            </w:r>
          </w:p>
        </w:tc>
        <w:tc>
          <w:tcPr>
            <w:tcW w:w="1104"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rPr>
              <w:t>里心</w:t>
            </w:r>
            <w:r>
              <w:rPr>
                <w:rFonts w:eastAsia="仿宋_GB2312"/>
                <w:b/>
                <w:snapToGrid w:val="0"/>
                <w:sz w:val="24"/>
                <w:lang w:val="en-US"/>
              </w:rPr>
              <w:t>镇</w:t>
            </w:r>
          </w:p>
        </w:tc>
        <w:tc>
          <w:tcPr>
            <w:tcW w:w="1543"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濉溪</w:t>
            </w:r>
            <w:r>
              <w:rPr>
                <w:rFonts w:eastAsia="仿宋_GB2312"/>
                <w:b/>
                <w:snapToGrid w:val="0"/>
                <w:sz w:val="24"/>
                <w:lang w:val="en-US"/>
              </w:rPr>
              <w:t>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65" w:type="dxa"/>
            <w:tcBorders>
              <w:left w:val="single" w:color="auto" w:sz="4" w:space="0"/>
            </w:tcBorders>
            <w:noWrap w:val="0"/>
            <w:vAlign w:val="center"/>
          </w:tcPr>
          <w:p>
            <w:pPr>
              <w:spacing w:line="400" w:lineRule="exact"/>
              <w:ind w:firstLine="0" w:firstLineChars="0"/>
              <w:jc w:val="both"/>
              <w:rPr>
                <w:rFonts w:eastAsia="仿宋_GB2312"/>
                <w:b/>
                <w:snapToGrid w:val="0"/>
                <w:sz w:val="24"/>
              </w:rPr>
            </w:pPr>
          </w:p>
        </w:tc>
        <w:tc>
          <w:tcPr>
            <w:tcW w:w="1026"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5</w:t>
            </w:r>
            <w:r>
              <w:rPr>
                <w:rFonts w:hint="eastAsia" w:eastAsia="仿宋_GB2312"/>
                <w:b/>
                <w:snapToGrid w:val="0"/>
                <w:sz w:val="24"/>
                <w:lang w:val="en-US" w:eastAsia="zh-CN"/>
              </w:rPr>
              <w:t>9</w:t>
            </w:r>
            <w:r>
              <w:rPr>
                <w:rFonts w:eastAsia="仿宋_GB2312"/>
                <w:b/>
                <w:snapToGrid w:val="0"/>
                <w:sz w:val="24"/>
                <w:lang w:val="en-US"/>
              </w:rPr>
              <w:t>000</w:t>
            </w:r>
          </w:p>
        </w:tc>
        <w:tc>
          <w:tcPr>
            <w:tcW w:w="1151" w:type="dxa"/>
            <w:noWrap w:val="0"/>
            <w:vAlign w:val="center"/>
          </w:tcPr>
          <w:p>
            <w:pPr>
              <w:spacing w:line="400" w:lineRule="exact"/>
              <w:ind w:firstLine="0" w:firstLineChars="0"/>
              <w:jc w:val="both"/>
              <w:rPr>
                <w:rFonts w:hint="default" w:eastAsia="仿宋_GB2312"/>
                <w:b/>
                <w:snapToGrid w:val="0"/>
                <w:sz w:val="24"/>
                <w:lang w:val="en-US"/>
              </w:rPr>
            </w:pPr>
            <w:r>
              <w:rPr>
                <w:rFonts w:hint="eastAsia" w:eastAsia="仿宋_GB2312"/>
                <w:b/>
                <w:snapToGrid w:val="0"/>
                <w:sz w:val="24"/>
                <w:lang w:val="en-US" w:eastAsia="zh-CN"/>
              </w:rPr>
              <w:t>9</w:t>
            </w:r>
            <w:r>
              <w:rPr>
                <w:rFonts w:eastAsia="仿宋_GB2312"/>
                <w:b/>
                <w:snapToGrid w:val="0"/>
                <w:sz w:val="24"/>
                <w:lang w:val="en-US"/>
              </w:rPr>
              <w:t>000</w:t>
            </w:r>
          </w:p>
        </w:tc>
        <w:tc>
          <w:tcPr>
            <w:tcW w:w="1104" w:type="dxa"/>
            <w:noWrap w:val="0"/>
            <w:vAlign w:val="center"/>
          </w:tcPr>
          <w:p>
            <w:pPr>
              <w:spacing w:line="400" w:lineRule="exact"/>
              <w:ind w:firstLine="0" w:firstLineChars="0"/>
              <w:jc w:val="both"/>
              <w:rPr>
                <w:rFonts w:hint="default" w:eastAsia="仿宋_GB2312"/>
                <w:b/>
                <w:snapToGrid w:val="0"/>
                <w:sz w:val="24"/>
                <w:lang w:val="en-US"/>
              </w:rPr>
            </w:pPr>
            <w:r>
              <w:rPr>
                <w:rFonts w:hint="eastAsia" w:eastAsia="仿宋_GB2312"/>
                <w:b/>
                <w:snapToGrid w:val="0"/>
                <w:sz w:val="24"/>
                <w:lang w:val="en-US" w:eastAsia="zh-CN"/>
              </w:rPr>
              <w:t>10</w:t>
            </w:r>
            <w:r>
              <w:rPr>
                <w:rFonts w:eastAsia="仿宋_GB2312"/>
                <w:b/>
                <w:snapToGrid w:val="0"/>
                <w:sz w:val="24"/>
                <w:lang w:val="en-US"/>
              </w:rPr>
              <w:t>00</w:t>
            </w:r>
          </w:p>
        </w:tc>
        <w:tc>
          <w:tcPr>
            <w:tcW w:w="1543" w:type="dxa"/>
            <w:noWrap w:val="0"/>
            <w:vAlign w:val="center"/>
          </w:tcPr>
          <w:p>
            <w:pPr>
              <w:spacing w:line="400" w:lineRule="exact"/>
              <w:ind w:firstLine="0" w:firstLineChars="0"/>
              <w:jc w:val="both"/>
              <w:rPr>
                <w:rFonts w:hint="default" w:eastAsia="仿宋_GB2312"/>
                <w:b/>
                <w:snapToGrid w:val="0"/>
                <w:sz w:val="24"/>
                <w:lang w:val="en-US"/>
              </w:rPr>
            </w:pPr>
            <w:r>
              <w:rPr>
                <w:rFonts w:hint="eastAsia" w:eastAsia="仿宋_GB2312"/>
                <w:b/>
                <w:snapToGrid w:val="0"/>
                <w:sz w:val="24"/>
                <w:lang w:val="en-US" w:eastAsia="zh-CN"/>
              </w:rPr>
              <w:t>100</w:t>
            </w:r>
            <w:r>
              <w:rPr>
                <w:rFonts w:eastAsia="仿宋_GB2312"/>
                <w:b/>
                <w:snapToGrid w:val="0"/>
                <w:sz w:val="24"/>
                <w:lang w:val="en-US"/>
              </w:rPr>
              <w:t>0</w:t>
            </w:r>
          </w:p>
        </w:tc>
      </w:tr>
    </w:tbl>
    <w:p>
      <w:pPr>
        <w:widowControl/>
        <w:shd w:val="clear" w:color="auto" w:fill="FFFFFF"/>
        <w:spacing w:before="210" w:after="210" w:line="580" w:lineRule="atLeast"/>
        <w:ind w:firstLine="562"/>
        <w:rPr>
          <w:rFonts w:ascii="仿宋_GB2312" w:hAnsi="宋体" w:eastAsia="仿宋_GB2312" w:cs="仿宋_GB2312"/>
          <w:szCs w:val="28"/>
          <w:shd w:val="clear" w:color="auto" w:fill="FFFFFF"/>
          <w:lang w:bidi="ar"/>
        </w:rPr>
      </w:pPr>
    </w:p>
    <w:p>
      <w:pPr>
        <w:pStyle w:val="2"/>
      </w:pPr>
    </w:p>
    <w:p>
      <w:pPr>
        <w:widowControl/>
        <w:shd w:val="clear" w:color="auto" w:fill="FFFFFF"/>
        <w:spacing w:before="210" w:after="210" w:line="580" w:lineRule="atLeast"/>
        <w:ind w:firstLine="562"/>
        <w:rPr>
          <w:rFonts w:hint="default" w:ascii="仿宋_GB2312" w:hAnsi="宋体" w:eastAsia="仿宋_GB2312" w:cs="仿宋_GB2312"/>
          <w:szCs w:val="28"/>
          <w:shd w:val="clear" w:color="auto" w:fill="FFFFFF"/>
          <w:lang w:val="en-US" w:bidi="ar"/>
        </w:rPr>
      </w:pPr>
      <w:r>
        <w:rPr>
          <w:rFonts w:hint="default" w:ascii="仿宋_GB2312" w:hAnsi="宋体" w:eastAsia="仿宋_GB2312" w:cs="仿宋_GB2312"/>
          <w:b/>
          <w:bCs/>
          <w:szCs w:val="28"/>
          <w:shd w:val="clear" w:color="auto" w:fill="FFFFFF"/>
          <w:lang w:val="en-US" w:bidi="ar"/>
        </w:rPr>
        <w:t>（3）发展重点：</w:t>
      </w:r>
      <w:r>
        <w:rPr>
          <w:rFonts w:hint="default" w:ascii="仿宋_GB2312" w:hAnsi="宋体" w:eastAsia="仿宋_GB2312" w:cs="仿宋_GB2312"/>
          <w:szCs w:val="28"/>
          <w:shd w:val="clear" w:color="auto" w:fill="FFFFFF"/>
          <w:lang w:val="en-US" w:bidi="ar"/>
        </w:rPr>
        <w:t>国家生猪核心育种场和绿色产业化项目</w:t>
      </w:r>
    </w:p>
    <w:p>
      <w:pPr>
        <w:widowControl/>
        <w:shd w:val="clear" w:color="auto" w:fill="FFFFFF"/>
        <w:spacing w:before="210" w:after="210" w:line="580" w:lineRule="atLeast"/>
        <w:ind w:firstLine="560"/>
        <w:rPr>
          <w:rFonts w:ascii="仿宋_GB2312" w:hAnsi="宋体" w:eastAsia="仿宋_GB2312" w:cs="仿宋_GB2312"/>
          <w:szCs w:val="28"/>
          <w:shd w:val="clear" w:color="auto" w:fill="FFFFFF"/>
          <w:lang w:val="en-US" w:bidi="ar"/>
        </w:rPr>
      </w:pPr>
      <w:r>
        <w:rPr>
          <w:rFonts w:hint="default" w:ascii="仿宋_GB2312" w:hAnsi="宋体" w:eastAsia="仿宋_GB2312" w:cs="仿宋_GB2312"/>
          <w:szCs w:val="28"/>
          <w:shd w:val="clear" w:color="auto" w:fill="FFFFFF"/>
          <w:lang w:val="en-US" w:bidi="ar"/>
        </w:rPr>
        <w:t>为了贯彻落实党的十九届五中全会审议通过的《中共中央关于制定国民经济和社会发展第十四</w:t>
      </w:r>
      <w:r>
        <w:rPr>
          <w:rFonts w:hint="default" w:eastAsia="仿宋_GB2312"/>
          <w:szCs w:val="28"/>
          <w:shd w:val="clear" w:color="auto" w:fill="FFFFFF"/>
          <w:lang w:val="en-US" w:bidi="ar"/>
        </w:rPr>
        <w:t>个五年规划和2035年远</w:t>
      </w:r>
      <w:r>
        <w:rPr>
          <w:rFonts w:hint="default" w:ascii="仿宋_GB2312" w:hAnsi="宋体" w:eastAsia="仿宋_GB2312" w:cs="仿宋_GB2312"/>
          <w:szCs w:val="28"/>
          <w:shd w:val="clear" w:color="auto" w:fill="FFFFFF"/>
          <w:lang w:val="en-US" w:bidi="ar"/>
        </w:rPr>
        <w:t>景目标的建议》</w:t>
      </w:r>
      <w:r>
        <w:rPr>
          <w:rFonts w:ascii="仿宋_GB2312" w:hAnsi="宋体" w:eastAsia="仿宋_GB2312" w:cs="仿宋_GB2312"/>
          <w:szCs w:val="28"/>
          <w:shd w:val="clear" w:color="auto" w:fill="FFFFFF"/>
          <w:lang w:val="en-US" w:bidi="ar"/>
        </w:rPr>
        <w:t>“</w:t>
      </w:r>
      <w:r>
        <w:rPr>
          <w:rFonts w:hint="default" w:ascii="仿宋_GB2312" w:hAnsi="宋体" w:eastAsia="仿宋_GB2312" w:cs="仿宋_GB2312"/>
          <w:szCs w:val="28"/>
          <w:shd w:val="clear" w:color="auto" w:fill="FFFFFF"/>
          <w:lang w:val="en-US" w:bidi="ar"/>
        </w:rPr>
        <w:t>提高农业良种化水平</w:t>
      </w:r>
      <w:r>
        <w:rPr>
          <w:rFonts w:ascii="仿宋_GB2312" w:hAnsi="宋体" w:eastAsia="仿宋_GB2312" w:cs="仿宋_GB2312"/>
          <w:szCs w:val="28"/>
          <w:shd w:val="clear" w:color="auto" w:fill="FFFFFF"/>
          <w:lang w:val="en-US" w:bidi="ar"/>
        </w:rPr>
        <w:t>”</w:t>
      </w:r>
      <w:r>
        <w:rPr>
          <w:rFonts w:hint="default" w:ascii="仿宋_GB2312" w:hAnsi="宋体" w:eastAsia="仿宋_GB2312" w:cs="仿宋_GB2312"/>
          <w:szCs w:val="28"/>
          <w:shd w:val="clear" w:color="auto" w:fill="FFFFFF"/>
          <w:lang w:val="en-US" w:bidi="ar"/>
        </w:rPr>
        <w:t>的要求。加强良种繁育体系建设，加大畜禽品种资源保护和开发力度，支持建设遗传资源基因库、保种场及其备份场、核心育种场、良种扩繁推广基地、种公猪站，创建以种业为龙头的畜牧科技产业园。高标准建设国家生猪核心育种场和绿色产业化项目，加快推进</w:t>
      </w:r>
      <w:r>
        <w:rPr>
          <w:rFonts w:ascii="仿宋_GB2312" w:hAnsi="宋体" w:eastAsia="仿宋_GB2312" w:cs="仿宋_GB2312"/>
          <w:szCs w:val="28"/>
          <w:shd w:val="clear" w:color="auto" w:fill="FFFFFF"/>
          <w:lang w:val="en-US" w:bidi="ar"/>
        </w:rPr>
        <w:t>“</w:t>
      </w:r>
      <w:r>
        <w:rPr>
          <w:rFonts w:hint="default" w:ascii="仿宋_GB2312" w:hAnsi="宋体" w:eastAsia="仿宋_GB2312" w:cs="仿宋_GB2312"/>
          <w:szCs w:val="28"/>
          <w:shd w:val="clear" w:color="auto" w:fill="FFFFFF"/>
          <w:lang w:val="en-US" w:bidi="ar"/>
        </w:rPr>
        <w:t>育、引、繁、推</w:t>
      </w:r>
      <w:r>
        <w:rPr>
          <w:rFonts w:ascii="仿宋_GB2312" w:hAnsi="宋体" w:eastAsia="仿宋_GB2312" w:cs="仿宋_GB2312"/>
          <w:szCs w:val="28"/>
          <w:shd w:val="clear" w:color="auto" w:fill="FFFFFF"/>
          <w:lang w:val="en-US" w:bidi="ar"/>
        </w:rPr>
        <w:t>”</w:t>
      </w:r>
      <w:r>
        <w:rPr>
          <w:rFonts w:hint="default" w:ascii="仿宋_GB2312" w:hAnsi="宋体" w:eastAsia="仿宋_GB2312" w:cs="仿宋_GB2312"/>
          <w:szCs w:val="28"/>
          <w:shd w:val="clear" w:color="auto" w:fill="FFFFFF"/>
          <w:lang w:val="en-US" w:bidi="ar"/>
        </w:rPr>
        <w:t>一体化，提高生猪良种繁育水平</w:t>
      </w:r>
      <w:r>
        <w:rPr>
          <w:rFonts w:ascii="仿宋_GB2312" w:hAnsi="宋体" w:eastAsia="仿宋_GB2312" w:cs="仿宋_GB2312"/>
          <w:szCs w:val="28"/>
          <w:shd w:val="clear" w:color="auto" w:fill="FFFFFF"/>
          <w:lang w:val="en-US" w:bidi="ar"/>
        </w:rPr>
        <w:t>。</w:t>
      </w:r>
    </w:p>
    <w:p>
      <w:pPr>
        <w:widowControl/>
        <w:shd w:val="clear" w:color="auto" w:fill="FFFFFF"/>
        <w:spacing w:before="210" w:after="210" w:line="580" w:lineRule="atLeast"/>
        <w:ind w:firstLine="560"/>
        <w:rPr>
          <w:rFonts w:hint="default" w:ascii="仿宋_GB2312" w:hAnsi="宋体" w:eastAsia="仿宋_GB2312" w:cs="仿宋_GB2312"/>
          <w:szCs w:val="28"/>
          <w:shd w:val="clear" w:color="auto" w:fill="FFFFFF"/>
          <w:lang w:val="en-US" w:bidi="ar"/>
        </w:rPr>
      </w:pPr>
      <w:r>
        <w:rPr>
          <w:rFonts w:hint="default" w:ascii="仿宋_GB2312" w:hAnsi="宋体" w:eastAsia="仿宋_GB2312" w:cs="仿宋_GB2312"/>
          <w:szCs w:val="28"/>
          <w:shd w:val="clear" w:color="auto" w:fill="FFFFFF"/>
          <w:lang w:val="en-US" w:bidi="ar"/>
        </w:rPr>
        <w:t>实施生猪遗传改良计划，以</w:t>
      </w:r>
      <w:r>
        <w:rPr>
          <w:rFonts w:ascii="仿宋_GB2312" w:hAnsi="宋体" w:eastAsia="仿宋_GB2312" w:cs="仿宋_GB2312"/>
          <w:szCs w:val="28"/>
          <w:shd w:val="clear" w:color="auto" w:fill="FFFFFF"/>
          <w:lang w:val="en-US" w:bidi="ar"/>
        </w:rPr>
        <w:t>建设</w:t>
      </w:r>
      <w:r>
        <w:rPr>
          <w:rFonts w:hint="default" w:ascii="仿宋_GB2312" w:hAnsi="宋体" w:eastAsia="仿宋_GB2312" w:cs="仿宋_GB2312"/>
          <w:szCs w:val="28"/>
          <w:shd w:val="clear" w:color="auto" w:fill="FFFFFF"/>
          <w:lang w:val="en-US" w:bidi="ar"/>
        </w:rPr>
        <w:t>国家生猪核心育种场为</w:t>
      </w:r>
      <w:r>
        <w:rPr>
          <w:rFonts w:ascii="仿宋_GB2312" w:hAnsi="宋体" w:eastAsia="仿宋_GB2312" w:cs="仿宋_GB2312"/>
          <w:szCs w:val="28"/>
          <w:shd w:val="clear" w:color="auto" w:fill="FFFFFF"/>
          <w:lang w:val="en-US" w:bidi="ar"/>
        </w:rPr>
        <w:t>目标</w:t>
      </w:r>
      <w:r>
        <w:rPr>
          <w:rFonts w:hint="default" w:ascii="仿宋_GB2312" w:hAnsi="宋体" w:eastAsia="仿宋_GB2312" w:cs="仿宋_GB2312"/>
          <w:szCs w:val="28"/>
          <w:shd w:val="clear" w:color="auto" w:fill="FFFFFF"/>
          <w:lang w:val="en-US" w:bidi="ar"/>
        </w:rPr>
        <w:t>，建立健全种猪育种机制，加快种猪群体遗传改良，提升生猪种业自主创新能力</w:t>
      </w:r>
      <w:r>
        <w:rPr>
          <w:rFonts w:ascii="仿宋_GB2312" w:hAnsi="宋体" w:eastAsia="仿宋_GB2312" w:cs="仿宋_GB2312"/>
          <w:szCs w:val="28"/>
          <w:shd w:val="clear" w:color="auto" w:fill="FFFFFF"/>
          <w:lang w:val="en-US" w:bidi="ar"/>
        </w:rPr>
        <w:t>；</w:t>
      </w:r>
      <w:r>
        <w:rPr>
          <w:rFonts w:hint="default" w:ascii="仿宋_GB2312" w:hAnsi="宋体" w:eastAsia="仿宋_GB2312" w:cs="仿宋_GB2312"/>
          <w:szCs w:val="28"/>
          <w:shd w:val="clear" w:color="auto" w:fill="FFFFFF"/>
          <w:lang w:val="en-US" w:bidi="ar"/>
        </w:rPr>
        <w:t>增加畜禽良种工程项目资金投入，以提升种猪品质为重点，突出核心育种场、种公猪站、生产性能测定中心等关键性建设内容，增强制种供种能力。建立健全生猪良种推广网络体系，提高生猪良种覆盖率</w:t>
      </w:r>
      <w:r>
        <w:rPr>
          <w:rFonts w:ascii="仿宋_GB2312" w:hAnsi="宋体" w:eastAsia="仿宋_GB2312" w:cs="仿宋_GB2312"/>
          <w:szCs w:val="28"/>
          <w:shd w:val="clear" w:color="auto" w:fill="FFFFFF"/>
          <w:lang w:val="en-US" w:bidi="ar"/>
        </w:rPr>
        <w:t>；</w:t>
      </w:r>
      <w:r>
        <w:rPr>
          <w:rFonts w:hint="default" w:ascii="仿宋_GB2312" w:hAnsi="宋体" w:eastAsia="仿宋_GB2312" w:cs="仿宋_GB2312"/>
          <w:szCs w:val="28"/>
          <w:shd w:val="clear" w:color="auto" w:fill="FFFFFF"/>
          <w:lang w:val="en-US" w:bidi="ar"/>
        </w:rPr>
        <w:t>加大生猪种业创新力度，重点推进运用传统育种技术和现代生物育种技术，加快生猪新品种、配套系培育</w:t>
      </w:r>
      <w:r>
        <w:rPr>
          <w:rFonts w:ascii="仿宋_GB2312" w:hAnsi="宋体" w:eastAsia="仿宋_GB2312" w:cs="仿宋_GB2312"/>
          <w:szCs w:val="28"/>
          <w:shd w:val="clear" w:color="auto" w:fill="FFFFFF"/>
          <w:lang w:val="en-US" w:bidi="ar"/>
        </w:rPr>
        <w:t>，促进</w:t>
      </w:r>
      <w:r>
        <w:rPr>
          <w:rFonts w:hint="default" w:ascii="仿宋_GB2312" w:hAnsi="宋体" w:eastAsia="仿宋_GB2312" w:cs="仿宋_GB2312"/>
          <w:szCs w:val="28"/>
          <w:shd w:val="clear" w:color="auto" w:fill="FFFFFF"/>
          <w:lang w:val="en-US" w:bidi="ar"/>
        </w:rPr>
        <w:t>生猪种业高质量发展</w:t>
      </w:r>
      <w:r>
        <w:rPr>
          <w:rFonts w:ascii="仿宋_GB2312" w:hAnsi="宋体" w:eastAsia="仿宋_GB2312" w:cs="仿宋_GB2312"/>
          <w:szCs w:val="28"/>
          <w:shd w:val="clear" w:color="auto" w:fill="FFFFFF"/>
          <w:lang w:val="en-US" w:bidi="ar"/>
        </w:rPr>
        <w:t>。</w:t>
      </w:r>
    </w:p>
    <w:p>
      <w:pPr>
        <w:pStyle w:val="16"/>
        <w:shd w:val="clear" w:color="auto" w:fill="FFFFFF"/>
        <w:spacing w:before="0" w:beforeAutospacing="0" w:after="0" w:afterAutospacing="0" w:line="240" w:lineRule="atLeast"/>
        <w:ind w:firstLine="560"/>
        <w:rPr>
          <w:rFonts w:hint="default" w:ascii="Times New Roman" w:hAnsi="Times New Roman" w:eastAsia="仿宋_GB2312" w:cs="Times New Roman"/>
          <w:sz w:val="28"/>
          <w:szCs w:val="28"/>
          <w:shd w:val="clear" w:color="auto" w:fill="FFFFFF"/>
          <w:lang w:val="en-US" w:bidi="ar"/>
        </w:rPr>
      </w:pPr>
      <w:r>
        <w:rPr>
          <w:rFonts w:hint="eastAsia" w:ascii="仿宋_GB2312" w:eastAsia="仿宋_GB2312" w:cs="仿宋_GB2312"/>
          <w:sz w:val="28"/>
          <w:szCs w:val="28"/>
          <w:shd w:val="clear" w:color="auto" w:fill="FFFFFF"/>
          <w:lang w:val="en-US" w:eastAsia="zh-CN" w:bidi="ar"/>
        </w:rPr>
        <w:t>主要</w:t>
      </w:r>
      <w:r>
        <w:rPr>
          <w:rFonts w:hint="default" w:ascii="仿宋_GB2312" w:eastAsia="仿宋_GB2312" w:cs="仿宋_GB2312"/>
          <w:sz w:val="28"/>
          <w:szCs w:val="28"/>
          <w:shd w:val="clear" w:color="auto" w:fill="FFFFFF"/>
          <w:lang w:val="en-US" w:bidi="ar"/>
        </w:rPr>
        <w:t>建设内容：项目总体规模</w:t>
      </w:r>
      <w:r>
        <w:rPr>
          <w:rFonts w:hint="default" w:ascii="Times New Roman" w:hAnsi="Times New Roman" w:eastAsia="仿宋_GB2312" w:cs="Times New Roman"/>
          <w:sz w:val="28"/>
          <w:szCs w:val="28"/>
          <w:shd w:val="clear" w:color="auto" w:fill="FFFFFF"/>
          <w:lang w:val="en-US" w:bidi="ar"/>
        </w:rPr>
        <w:t>25亩，主要建筑面积（标准化种猪舍）10000平方米，以及配套设施、设备。</w:t>
      </w:r>
    </w:p>
    <w:p>
      <w:pPr>
        <w:pStyle w:val="16"/>
        <w:shd w:val="clear" w:color="auto" w:fill="FFFFFF"/>
        <w:spacing w:before="0" w:beforeAutospacing="0" w:after="0" w:afterAutospacing="0" w:line="240" w:lineRule="atLeast"/>
        <w:ind w:firstLine="560"/>
        <w:rPr>
          <w:rFonts w:hint="default" w:ascii="Times New Roman" w:hAnsi="Times New Roman" w:eastAsia="仿宋_GB2312" w:cs="Times New Roman"/>
          <w:sz w:val="28"/>
          <w:szCs w:val="28"/>
          <w:shd w:val="clear" w:color="auto" w:fill="FFFFFF"/>
          <w:lang w:val="en-US" w:bidi="ar"/>
        </w:rPr>
      </w:pPr>
      <w:r>
        <w:rPr>
          <w:rFonts w:hint="default" w:ascii="Times New Roman" w:hAnsi="Times New Roman" w:eastAsia="仿宋_GB2312" w:cs="Times New Roman"/>
          <w:sz w:val="28"/>
          <w:szCs w:val="28"/>
          <w:shd w:val="clear" w:color="auto" w:fill="FFFFFF"/>
          <w:lang w:val="en-US" w:bidi="ar"/>
        </w:rPr>
        <w:t>新增生产能力（或使用功能）：存栏种猪2000头，年供杜洛克、大白、长白种猪2万头。</w:t>
      </w:r>
    </w:p>
    <w:p>
      <w:pPr>
        <w:pStyle w:val="16"/>
        <w:shd w:val="clear" w:color="auto" w:fill="FFFFFF"/>
        <w:spacing w:before="0" w:beforeAutospacing="0" w:after="0" w:afterAutospacing="0" w:line="240" w:lineRule="atLeast"/>
        <w:ind w:firstLine="560"/>
        <w:rPr>
          <w:rFonts w:hint="default" w:ascii="Times New Roman" w:hAnsi="Times New Roman" w:eastAsia="仿宋_GB2312" w:cs="Times New Roman"/>
          <w:sz w:val="28"/>
          <w:szCs w:val="28"/>
          <w:shd w:val="clear" w:color="auto" w:fill="FFFFFF"/>
          <w:lang w:val="en-US" w:bidi="ar"/>
        </w:rPr>
      </w:pPr>
      <w:r>
        <w:rPr>
          <w:rFonts w:ascii="仿宋_GB2312" w:eastAsia="仿宋_GB2312" w:cs="仿宋_GB2312"/>
          <w:sz w:val="28"/>
          <w:szCs w:val="28"/>
          <w:shd w:val="clear" w:color="auto" w:fill="FFFFFF"/>
          <w:lang w:val="en-US" w:bidi="ar"/>
        </w:rPr>
        <w:t>新建标准</w:t>
      </w:r>
      <w:r>
        <w:rPr>
          <w:rFonts w:hint="default" w:ascii="Times New Roman" w:hAnsi="Times New Roman" w:eastAsia="仿宋_GB2312" w:cs="Times New Roman"/>
          <w:sz w:val="28"/>
          <w:szCs w:val="28"/>
          <w:shd w:val="clear" w:color="auto" w:fill="FFFFFF"/>
          <w:lang w:val="en-US" w:bidi="ar"/>
        </w:rPr>
        <w:t>化猪舍10000平方米、种猪测定站1500平方米、消毒间300平方米、粪污无害化处理设施1000平方米、建设自动化环境控制系统、自动供水供料系统、种猪测定系统等。</w:t>
      </w:r>
    </w:p>
    <w:p>
      <w:pPr>
        <w:spacing w:before="156" w:after="156" w:line="360" w:lineRule="auto"/>
        <w:ind w:firstLine="551" w:firstLineChars="196"/>
        <w:outlineLvl w:val="1"/>
        <w:rPr>
          <w:rFonts w:hint="default" w:ascii="仿宋_GB2312" w:eastAsia="仿宋_GB2312"/>
          <w:b/>
          <w:bCs/>
          <w:szCs w:val="28"/>
          <w:lang w:val="en-US"/>
        </w:rPr>
      </w:pPr>
      <w:bookmarkStart w:id="573" w:name="_Toc30209"/>
      <w:r>
        <w:rPr>
          <w:rFonts w:ascii="仿宋_GB2312" w:eastAsia="仿宋_GB2312"/>
          <w:b/>
          <w:bCs/>
          <w:szCs w:val="28"/>
          <w:lang w:val="en-US"/>
        </w:rPr>
        <w:t>（二）奶牛</w:t>
      </w:r>
      <w:r>
        <w:rPr>
          <w:rFonts w:hint="default" w:ascii="仿宋_GB2312" w:eastAsia="仿宋_GB2312"/>
          <w:b/>
          <w:bCs/>
          <w:szCs w:val="28"/>
          <w:lang w:val="en-US"/>
        </w:rPr>
        <w:t>产业布局</w:t>
      </w:r>
      <w:bookmarkEnd w:id="573"/>
    </w:p>
    <w:p>
      <w:pPr>
        <w:spacing w:before="156" w:after="156" w:line="360" w:lineRule="auto"/>
        <w:ind w:firstLine="551" w:firstLineChars="196"/>
        <w:outlineLvl w:val="1"/>
        <w:rPr>
          <w:rFonts w:hint="default" w:eastAsia="仿宋_GB2312"/>
          <w:szCs w:val="28"/>
          <w:lang w:val="en-US"/>
        </w:rPr>
      </w:pPr>
      <w:bookmarkStart w:id="574" w:name="_Toc32221"/>
      <w:bookmarkStart w:id="575" w:name="_Toc573"/>
      <w:bookmarkStart w:id="576" w:name="_Toc7084"/>
      <w:r>
        <w:rPr>
          <w:rFonts w:hint="default" w:ascii="仿宋_GB2312" w:eastAsia="仿宋_GB2312"/>
          <w:b/>
          <w:bCs/>
          <w:szCs w:val="28"/>
          <w:lang w:val="en-US"/>
        </w:rPr>
        <w:t>（1）产业规模：</w:t>
      </w:r>
      <w:r>
        <w:rPr>
          <w:rFonts w:hint="default" w:ascii="仿宋_GB2312" w:eastAsia="仿宋_GB2312"/>
          <w:szCs w:val="28"/>
          <w:lang w:val="en-US"/>
        </w:rPr>
        <w:t>规划</w:t>
      </w:r>
      <w:r>
        <w:rPr>
          <w:rFonts w:ascii="仿宋_GB2312" w:eastAsia="仿宋_GB2312"/>
          <w:szCs w:val="28"/>
          <w:lang w:val="en-US"/>
        </w:rPr>
        <w:t>奶牛</w:t>
      </w:r>
      <w:r>
        <w:rPr>
          <w:rFonts w:hint="default" w:eastAsia="仿宋_GB2312"/>
          <w:szCs w:val="28"/>
          <w:lang w:val="en-US"/>
        </w:rPr>
        <w:t>存栏量2.</w:t>
      </w:r>
      <w:r>
        <w:rPr>
          <w:rFonts w:hint="eastAsia" w:eastAsia="仿宋_GB2312"/>
          <w:szCs w:val="28"/>
          <w:lang w:val="en-US" w:eastAsia="zh-CN"/>
        </w:rPr>
        <w:t>0</w:t>
      </w:r>
      <w:r>
        <w:rPr>
          <w:rFonts w:hint="default" w:eastAsia="仿宋_GB2312"/>
          <w:szCs w:val="28"/>
          <w:lang w:val="en-US"/>
        </w:rPr>
        <w:t>万头。</w:t>
      </w:r>
      <w:bookmarkEnd w:id="574"/>
      <w:bookmarkEnd w:id="575"/>
      <w:bookmarkEnd w:id="576"/>
    </w:p>
    <w:p>
      <w:pPr>
        <w:ind w:firstLine="562"/>
        <w:rPr>
          <w:rFonts w:hint="default" w:eastAsia="仿宋_GB2312"/>
          <w:szCs w:val="28"/>
          <w:shd w:val="clear" w:color="auto" w:fill="FFFFFF"/>
          <w:lang w:val="en-US" w:bidi="ar"/>
        </w:rPr>
      </w:pPr>
      <w:r>
        <w:rPr>
          <w:rFonts w:hint="default" w:eastAsia="仿宋_GB2312"/>
          <w:b/>
          <w:bCs/>
          <w:szCs w:val="28"/>
          <w:shd w:val="clear" w:color="auto" w:fill="FFFFFF"/>
          <w:lang w:val="en-US" w:bidi="ar"/>
        </w:rPr>
        <w:t>（2）区域布局：</w:t>
      </w:r>
      <w:r>
        <w:rPr>
          <w:rFonts w:hint="default" w:eastAsia="仿宋_GB2312"/>
          <w:szCs w:val="28"/>
          <w:shd w:val="clear" w:color="auto" w:fill="FFFFFF"/>
          <w:lang w:val="en-US" w:bidi="ar"/>
        </w:rPr>
        <w:t>上黎牧场</w:t>
      </w:r>
      <w:r>
        <w:rPr>
          <w:rFonts w:hint="eastAsia" w:eastAsia="仿宋_GB2312"/>
          <w:szCs w:val="28"/>
          <w:shd w:val="clear" w:color="auto" w:fill="FFFFFF"/>
          <w:lang w:val="en-US" w:eastAsia="zh-CN" w:bidi="ar"/>
        </w:rPr>
        <w:t>5</w:t>
      </w:r>
      <w:r>
        <w:rPr>
          <w:rFonts w:hint="default" w:eastAsia="仿宋_GB2312"/>
          <w:szCs w:val="28"/>
          <w:shd w:val="clear" w:color="auto" w:fill="FFFFFF"/>
          <w:lang w:val="en-US" w:bidi="ar"/>
        </w:rPr>
        <w:t>000头奶牛；竹薮牧场、滩角牧场、友兰牧场等三个牧场启动建设，每个牧场养殖规模为5000头奶牛。</w:t>
      </w:r>
    </w:p>
    <w:p>
      <w:pPr>
        <w:pStyle w:val="22"/>
        <w:spacing w:line="240" w:lineRule="auto"/>
        <w:ind w:firstLine="1124" w:firstLineChars="400"/>
        <w:jc w:val="both"/>
        <w:rPr>
          <w:rFonts w:hint="default" w:eastAsia="仿宋"/>
          <w:b/>
          <w:bCs/>
          <w:sz w:val="24"/>
          <w:szCs w:val="24"/>
          <w:lang w:val="en-US"/>
        </w:rPr>
      </w:pPr>
      <w:r>
        <w:rPr>
          <w:rFonts w:hint="default" w:eastAsia="仿宋"/>
          <w:b/>
          <w:bCs/>
          <w:szCs w:val="28"/>
          <w:lang w:val="en-US"/>
        </w:rPr>
        <w:t>表</w:t>
      </w:r>
      <w:r>
        <w:rPr>
          <w:rFonts w:eastAsia="仿宋"/>
          <w:b/>
          <w:bCs/>
          <w:szCs w:val="28"/>
          <w:lang w:val="en-US"/>
        </w:rPr>
        <w:t>1</w:t>
      </w:r>
      <w:r>
        <w:rPr>
          <w:rFonts w:hint="eastAsia" w:eastAsia="仿宋"/>
          <w:b/>
          <w:bCs/>
          <w:szCs w:val="28"/>
          <w:lang w:val="en-US" w:eastAsia="zh-CN"/>
        </w:rPr>
        <w:t>2</w:t>
      </w:r>
      <w:r>
        <w:rPr>
          <w:rFonts w:hint="default" w:eastAsia="仿宋"/>
          <w:b/>
          <w:bCs/>
          <w:szCs w:val="28"/>
          <w:lang w:val="en-US"/>
        </w:rPr>
        <w:t>　</w:t>
      </w:r>
      <w:r>
        <w:rPr>
          <w:rFonts w:eastAsia="仿宋"/>
          <w:b/>
          <w:bCs/>
          <w:szCs w:val="28"/>
          <w:lang w:val="en-US"/>
        </w:rPr>
        <w:t>奶牛</w:t>
      </w:r>
      <w:r>
        <w:rPr>
          <w:rFonts w:hint="default" w:eastAsia="仿宋"/>
          <w:b/>
          <w:bCs/>
          <w:szCs w:val="28"/>
          <w:lang w:val="en-US"/>
        </w:rPr>
        <w:t>养殖量布局</w:t>
      </w:r>
      <w:r>
        <w:rPr>
          <w:rFonts w:eastAsia="仿宋"/>
          <w:b/>
          <w:bCs/>
          <w:szCs w:val="28"/>
          <w:lang w:val="en-US"/>
        </w:rPr>
        <w:t>（存栏）</w:t>
      </w:r>
      <w:r>
        <w:rPr>
          <w:rFonts w:hint="default" w:eastAsia="仿宋"/>
          <w:b/>
          <w:bCs/>
          <w:sz w:val="24"/>
          <w:szCs w:val="24"/>
          <w:lang w:val="en-US"/>
        </w:rPr>
        <w:t>单位：头</w:t>
      </w:r>
    </w:p>
    <w:p>
      <w:pPr>
        <w:pStyle w:val="22"/>
        <w:spacing w:line="240" w:lineRule="auto"/>
        <w:ind w:firstLine="0" w:firstLineChars="0"/>
        <w:jc w:val="right"/>
        <w:rPr>
          <w:rFonts w:hint="default" w:eastAsia="仿宋"/>
          <w:b/>
          <w:bCs/>
          <w:sz w:val="24"/>
          <w:szCs w:val="24"/>
          <w:lang w:val="en-US"/>
        </w:rPr>
      </w:pPr>
    </w:p>
    <w:tbl>
      <w:tblPr>
        <w:tblStyle w:val="18"/>
        <w:tblpPr w:leftFromText="180" w:rightFromText="180" w:vertAnchor="text" w:horzAnchor="page" w:tblpX="2744" w:tblpY="37"/>
        <w:tblOverlap w:val="never"/>
        <w:tblW w:w="598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32"/>
        <w:gridCol w:w="1757"/>
        <w:gridCol w:w="2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032" w:type="dxa"/>
            <w:tcBorders>
              <w:left w:val="single" w:color="auto" w:sz="4" w:space="0"/>
            </w:tcBorders>
            <w:noWrap w:val="0"/>
            <w:vAlign w:val="center"/>
          </w:tcPr>
          <w:p>
            <w:pPr>
              <w:spacing w:line="400" w:lineRule="exact"/>
              <w:ind w:firstLine="0" w:firstLineChars="0"/>
              <w:jc w:val="both"/>
              <w:rPr>
                <w:rFonts w:ascii="宋体" w:hAnsi="宋体" w:cs="宋体"/>
                <w:b/>
                <w:snapToGrid w:val="0"/>
                <w:sz w:val="24"/>
              </w:rPr>
            </w:pPr>
            <w:r>
              <w:rPr>
                <w:rFonts w:eastAsia="仿宋_GB2312"/>
                <w:b/>
                <w:snapToGrid w:val="0"/>
                <w:sz w:val="24"/>
              </w:rPr>
              <w:t>行政区域</w:t>
            </w:r>
          </w:p>
        </w:tc>
        <w:tc>
          <w:tcPr>
            <w:tcW w:w="1757"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里心</w:t>
            </w:r>
            <w:r>
              <w:rPr>
                <w:rFonts w:eastAsia="仿宋_GB2312"/>
                <w:b/>
                <w:snapToGrid w:val="0"/>
                <w:sz w:val="24"/>
                <w:lang w:val="en-US"/>
              </w:rPr>
              <w:t>镇</w:t>
            </w:r>
          </w:p>
        </w:tc>
        <w:tc>
          <w:tcPr>
            <w:tcW w:w="2200"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lang w:val="en-US"/>
              </w:rPr>
              <w:t>黄埠乡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2032" w:type="dxa"/>
            <w:tcBorders>
              <w:left w:val="single" w:color="auto" w:sz="4" w:space="0"/>
            </w:tcBorders>
            <w:noWrap w:val="0"/>
            <w:vAlign w:val="center"/>
          </w:tcPr>
          <w:p>
            <w:pPr>
              <w:spacing w:line="400" w:lineRule="exact"/>
              <w:ind w:firstLine="0" w:firstLineChars="0"/>
              <w:jc w:val="both"/>
              <w:rPr>
                <w:rFonts w:eastAsia="仿宋_GB2312"/>
                <w:b/>
                <w:snapToGrid w:val="0"/>
                <w:sz w:val="24"/>
              </w:rPr>
            </w:pPr>
          </w:p>
        </w:tc>
        <w:tc>
          <w:tcPr>
            <w:tcW w:w="1757"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1</w:t>
            </w:r>
            <w:r>
              <w:rPr>
                <w:rFonts w:hint="eastAsia" w:eastAsia="仿宋_GB2312"/>
                <w:b/>
                <w:snapToGrid w:val="0"/>
                <w:sz w:val="24"/>
                <w:lang w:val="en-US" w:eastAsia="zh-CN"/>
              </w:rPr>
              <w:t>0</w:t>
            </w:r>
            <w:r>
              <w:rPr>
                <w:rFonts w:eastAsia="仿宋_GB2312"/>
                <w:b/>
                <w:snapToGrid w:val="0"/>
                <w:sz w:val="24"/>
                <w:lang w:val="en-US"/>
              </w:rPr>
              <w:t>000</w:t>
            </w:r>
          </w:p>
        </w:tc>
        <w:tc>
          <w:tcPr>
            <w:tcW w:w="2200"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10000</w:t>
            </w:r>
          </w:p>
        </w:tc>
      </w:tr>
    </w:tbl>
    <w:p>
      <w:pPr>
        <w:pStyle w:val="11"/>
        <w:autoSpaceDE w:val="0"/>
        <w:autoSpaceDN w:val="0"/>
        <w:spacing w:line="600" w:lineRule="exact"/>
        <w:ind w:right="-2" w:firstLine="562"/>
        <w:jc w:val="both"/>
        <w:rPr>
          <w:rFonts w:hint="default" w:eastAsia="仿宋_GB2312"/>
          <w:b/>
          <w:bCs/>
          <w:sz w:val="28"/>
          <w:szCs w:val="28"/>
          <w:shd w:val="clear" w:color="auto" w:fill="FFFFFF"/>
          <w:lang w:val="en-US" w:bidi="ar"/>
        </w:rPr>
      </w:pPr>
    </w:p>
    <w:p>
      <w:pPr>
        <w:pStyle w:val="11"/>
        <w:autoSpaceDE w:val="0"/>
        <w:autoSpaceDN w:val="0"/>
        <w:spacing w:line="600" w:lineRule="exact"/>
        <w:ind w:right="-2" w:firstLine="562"/>
        <w:jc w:val="both"/>
        <w:rPr>
          <w:rFonts w:hint="default" w:eastAsia="仿宋_GB2312"/>
          <w:b/>
          <w:bCs/>
          <w:sz w:val="28"/>
          <w:szCs w:val="28"/>
          <w:shd w:val="clear" w:color="auto" w:fill="FFFFFF"/>
          <w:lang w:val="en-US" w:bidi="ar"/>
        </w:rPr>
      </w:pPr>
    </w:p>
    <w:p>
      <w:pPr>
        <w:pStyle w:val="11"/>
        <w:autoSpaceDE w:val="0"/>
        <w:autoSpaceDN w:val="0"/>
        <w:spacing w:line="600" w:lineRule="exact"/>
        <w:ind w:right="-2" w:firstLine="562"/>
        <w:jc w:val="both"/>
        <w:rPr>
          <w:rFonts w:hint="default" w:eastAsia="仿宋_GB2312"/>
          <w:sz w:val="28"/>
          <w:szCs w:val="28"/>
          <w:shd w:val="clear" w:color="auto" w:fill="FFFFFF"/>
          <w:lang w:val="en-US" w:bidi="ar"/>
        </w:rPr>
      </w:pPr>
      <w:r>
        <w:rPr>
          <w:rFonts w:hint="default" w:eastAsia="仿宋_GB2312"/>
          <w:b/>
          <w:bCs/>
          <w:sz w:val="28"/>
          <w:szCs w:val="28"/>
          <w:shd w:val="clear" w:color="auto" w:fill="FFFFFF"/>
          <w:lang w:val="en-US" w:bidi="ar"/>
        </w:rPr>
        <w:t>（3）发展重点：</w:t>
      </w:r>
      <w:bookmarkStart w:id="577" w:name="_Toc1932686222_WPSOffice_Level3"/>
      <w:r>
        <w:rPr>
          <w:rFonts w:hint="default" w:eastAsia="仿宋_GB2312"/>
          <w:sz w:val="28"/>
          <w:szCs w:val="28"/>
          <w:shd w:val="clear" w:color="auto" w:fill="FFFFFF"/>
          <w:lang w:val="en-US" w:bidi="ar"/>
        </w:rPr>
        <w:t>重点实施现代智慧牛场建设、奶牛粪污资源化利用工程、饲草料种植加工工程、鲜奶加工工程、三产融合提升工程等五大工程，突出龙头引领辐射示范、品牌打造，提升全县奶业产业规模化、标准化、品牌化、智能化水平，实现奶业高质量发展。</w:t>
      </w:r>
    </w:p>
    <w:p>
      <w:pPr>
        <w:widowControl/>
        <w:shd w:val="clear" w:color="auto" w:fill="FFFFFF"/>
        <w:spacing w:before="210" w:after="210" w:line="580" w:lineRule="atLeast"/>
        <w:ind w:firstLine="560"/>
        <w:rPr>
          <w:rFonts w:ascii="仿宋_GB2312" w:hAnsi="宋体" w:eastAsia="仿宋_GB2312" w:cs="仿宋_GB2312"/>
          <w:szCs w:val="28"/>
          <w:shd w:val="clear" w:color="auto" w:fill="FFFFFF"/>
          <w:lang w:val="en-US" w:bidi="ar"/>
        </w:rPr>
      </w:pPr>
      <w:r>
        <w:rPr>
          <w:rFonts w:hint="default" w:eastAsia="仿宋_GB2312"/>
          <w:szCs w:val="28"/>
          <w:shd w:val="clear" w:color="auto" w:fill="FFFFFF"/>
          <w:lang w:val="en-US" w:bidi="ar"/>
        </w:rPr>
        <w:t>发展目标：坚持将奶业发展成为具有代表性的支柱产业，坚持融合发展，以明一国际等企业为龙头，重点做</w:t>
      </w:r>
      <w:r>
        <w:rPr>
          <w:rFonts w:ascii="仿宋_GB2312" w:hAnsi="宋体" w:eastAsia="仿宋_GB2312" w:cs="仿宋_GB2312"/>
          <w:szCs w:val="28"/>
          <w:shd w:val="clear" w:color="auto" w:fill="FFFFFF"/>
          <w:lang w:val="en-US" w:bidi="ar"/>
        </w:rPr>
        <w:t>好畜牧业、饲草种植、乳品加工等奶业全产业链文章，打造具有竞争力的奶业集群。大力推广生态循环的奶牛养殖模式，按照“数字化发展、生态发展、三产融合”的发展思路，创建国家数字畜牧业创新应用基地、创建国家级动物疫病净化场等，开展一产现代智慧牛场扩建及配套工程、二产乳制品加工工程、三产融合提升工程等，突出龙头引领辐射示范、品牌打造，实现奶业高质量发展。</w:t>
      </w:r>
    </w:p>
    <w:p>
      <w:pPr>
        <w:pStyle w:val="11"/>
        <w:autoSpaceDE w:val="0"/>
        <w:autoSpaceDN w:val="0"/>
        <w:spacing w:line="580" w:lineRule="exact"/>
        <w:ind w:firstLine="560"/>
        <w:jc w:val="both"/>
        <w:rPr>
          <w:rFonts w:hint="default" w:eastAsia="仿宋_GB2312"/>
          <w:sz w:val="28"/>
          <w:szCs w:val="28"/>
          <w:shd w:val="clear" w:color="auto" w:fill="FFFFFF"/>
          <w:lang w:val="en-US" w:bidi="ar"/>
        </w:rPr>
      </w:pPr>
      <w:r>
        <w:rPr>
          <w:rFonts w:hint="eastAsia" w:ascii="仿宋_GB2312" w:hAnsi="宋体" w:eastAsia="仿宋_GB2312" w:cs="仿宋_GB2312"/>
          <w:sz w:val="28"/>
          <w:szCs w:val="28"/>
          <w:shd w:val="clear" w:color="auto" w:fill="FFFFFF"/>
          <w:lang w:val="en-US" w:eastAsia="zh-CN" w:bidi="ar"/>
        </w:rPr>
        <w:t>主要</w:t>
      </w:r>
      <w:r>
        <w:rPr>
          <w:rFonts w:hint="default" w:ascii="仿宋_GB2312" w:hAnsi="宋体" w:eastAsia="仿宋_GB2312" w:cs="仿宋_GB2312"/>
          <w:sz w:val="28"/>
          <w:szCs w:val="28"/>
          <w:shd w:val="clear" w:color="auto" w:fill="FFFFFF"/>
          <w:lang w:val="en-US" w:bidi="ar"/>
        </w:rPr>
        <w:t>建设内容</w:t>
      </w:r>
      <w:r>
        <w:rPr>
          <w:rFonts w:hint="default" w:eastAsia="仿宋_GB2312"/>
          <w:sz w:val="28"/>
          <w:szCs w:val="28"/>
          <w:shd w:val="clear" w:color="auto" w:fill="FFFFFF"/>
          <w:lang w:val="en-US" w:bidi="ar"/>
        </w:rPr>
        <w:t>：1.</w:t>
      </w:r>
      <w:bookmarkEnd w:id="577"/>
      <w:r>
        <w:rPr>
          <w:rFonts w:hint="default" w:eastAsia="仿宋_GB2312"/>
          <w:sz w:val="28"/>
          <w:szCs w:val="28"/>
          <w:shd w:val="clear" w:color="auto" w:fill="FFFFFF"/>
          <w:lang w:val="en-US" w:bidi="ar"/>
        </w:rPr>
        <w:t>现代智慧牛场扩建升级，养殖规模增至2</w:t>
      </w:r>
      <w:r>
        <w:rPr>
          <w:rFonts w:hint="eastAsia" w:eastAsia="仿宋_GB2312"/>
          <w:sz w:val="28"/>
          <w:szCs w:val="28"/>
          <w:shd w:val="clear" w:color="auto" w:fill="FFFFFF"/>
          <w:lang w:val="en-US" w:eastAsia="zh-CN" w:bidi="ar"/>
        </w:rPr>
        <w:t>0</w:t>
      </w:r>
      <w:r>
        <w:rPr>
          <w:rFonts w:hint="default" w:eastAsia="仿宋_GB2312"/>
          <w:sz w:val="28"/>
          <w:szCs w:val="28"/>
          <w:shd w:val="clear" w:color="auto" w:fill="FFFFFF"/>
          <w:lang w:val="en-US" w:bidi="ar"/>
        </w:rPr>
        <w:t>000头</w:t>
      </w:r>
    </w:p>
    <w:p>
      <w:pPr>
        <w:pStyle w:val="11"/>
        <w:autoSpaceDE w:val="0"/>
        <w:autoSpaceDN w:val="0"/>
        <w:spacing w:line="580" w:lineRule="exact"/>
        <w:ind w:firstLine="560"/>
        <w:jc w:val="both"/>
        <w:rPr>
          <w:rFonts w:hint="default" w:eastAsia="仿宋_GB2312"/>
          <w:sz w:val="28"/>
          <w:szCs w:val="28"/>
          <w:shd w:val="clear" w:color="auto" w:fill="FFFFFF"/>
          <w:lang w:val="en-US" w:bidi="ar"/>
        </w:rPr>
      </w:pPr>
      <w:r>
        <w:rPr>
          <w:rFonts w:hint="default" w:eastAsia="仿宋_GB2312"/>
          <w:sz w:val="28"/>
          <w:szCs w:val="28"/>
          <w:shd w:val="clear" w:color="auto" w:fill="FFFFFF"/>
          <w:lang w:val="en-US" w:bidi="ar"/>
        </w:rPr>
        <w:t>根据产业发展规划及奶源需求情况，提升扩建牧场。一是奶牛养殖指标由10000头扩增至2</w:t>
      </w:r>
      <w:r>
        <w:rPr>
          <w:rFonts w:hint="eastAsia" w:eastAsia="仿宋_GB2312"/>
          <w:sz w:val="28"/>
          <w:szCs w:val="28"/>
          <w:shd w:val="clear" w:color="auto" w:fill="FFFFFF"/>
          <w:lang w:val="en-US" w:eastAsia="zh-CN" w:bidi="ar"/>
        </w:rPr>
        <w:t>0</w:t>
      </w:r>
      <w:r>
        <w:rPr>
          <w:rFonts w:hint="default" w:eastAsia="仿宋_GB2312"/>
          <w:sz w:val="28"/>
          <w:szCs w:val="28"/>
          <w:shd w:val="clear" w:color="auto" w:fill="FFFFFF"/>
          <w:lang w:val="en-US" w:bidi="ar"/>
        </w:rPr>
        <w:t>000头；竹薮牧场、滩角牧场、友兰牧场等三个牧场启动建设，每个牧场养殖规模为5000头奶牛。二是支持圈舍、防疫、奶厅、饲料制备、挤奶及运输等环节设施设备改造提升；支持数字化智能化设备（自动喷淋、环境监测、精准饲喂和监测、全自动全混合日粮搅拌机、挤奶机器人、推料机器人、产奶量自动监测设备等）、信息化采集设备（智能项圈、计步定位、自动计量、个体识别等）、智慧牧场管理平台（发情监测系统、物联网、大数据智能汇总分析等）等推广应用。开展国家数字畜牧业创新应用基地建设，打造畜禽养殖数字农业标准化示范样板，带动全县畜禽养殖业数字化、绿色化发展。</w:t>
      </w:r>
      <w:r>
        <w:rPr>
          <w:rFonts w:ascii="微软雅黑" w:hAnsi="微软雅黑" w:eastAsia="微软雅黑" w:cs="微软雅黑"/>
          <w:i w:val="0"/>
          <w:caps w:val="0"/>
          <w:color w:val="333333"/>
          <w:spacing w:val="0"/>
          <w:sz w:val="18"/>
          <w:szCs w:val="18"/>
          <w:shd w:val="clear" w:fill="FFFFFF"/>
        </w:rPr>
        <w:t> </w:t>
      </w:r>
    </w:p>
    <w:p>
      <w:pPr>
        <w:pStyle w:val="17"/>
        <w:ind w:leftChars="0" w:firstLine="560"/>
        <w:rPr>
          <w:rFonts w:hint="default" w:eastAsia="仿宋_GB2312"/>
          <w:szCs w:val="28"/>
          <w:shd w:val="clear" w:color="auto" w:fill="FFFFFF"/>
          <w:lang w:val="en-US" w:bidi="ar"/>
        </w:rPr>
      </w:pPr>
      <w:bookmarkStart w:id="578" w:name="_Toc988190567_WPSOffice_Level3"/>
      <w:r>
        <w:rPr>
          <w:rFonts w:hint="default" w:eastAsia="仿宋_GB2312"/>
          <w:szCs w:val="28"/>
          <w:shd w:val="clear" w:color="auto" w:fill="FFFFFF"/>
          <w:lang w:val="en-US" w:bidi="ar"/>
        </w:rPr>
        <w:t>2.</w:t>
      </w:r>
      <w:bookmarkEnd w:id="578"/>
      <w:r>
        <w:rPr>
          <w:rFonts w:hint="default" w:eastAsia="仿宋_GB2312"/>
          <w:szCs w:val="28"/>
          <w:shd w:val="clear" w:color="auto" w:fill="FFFFFF"/>
          <w:lang w:val="en-US" w:bidi="ar"/>
        </w:rPr>
        <w:t>奶牛粪污资源化利用工程</w:t>
      </w:r>
    </w:p>
    <w:p>
      <w:pPr>
        <w:pStyle w:val="17"/>
        <w:ind w:leftChars="0" w:firstLine="560"/>
        <w:rPr>
          <w:rFonts w:hint="default" w:ascii="仿宋_GB2312" w:hAnsi="宋体" w:eastAsia="仿宋_GB2312" w:cs="仿宋_GB2312"/>
          <w:szCs w:val="28"/>
          <w:shd w:val="clear" w:color="auto" w:fill="FFFFFF"/>
          <w:lang w:val="en-US" w:bidi="ar"/>
        </w:rPr>
      </w:pPr>
      <w:r>
        <w:rPr>
          <w:rFonts w:ascii="仿宋_GB2312" w:hAnsi="宋体" w:eastAsia="仿宋_GB2312" w:cs="仿宋_GB2312"/>
          <w:szCs w:val="28"/>
          <w:shd w:val="clear" w:color="auto" w:fill="FFFFFF"/>
          <w:lang w:val="en-US" w:bidi="ar"/>
        </w:rPr>
        <w:t>开展绿色有机奶源基地建设，创建“有机牧场”，推动奶牛养殖场粪污处理设施设备提升改造，推动粪肥还田利用，重点建设粪污生物发酵及沼气烘干系统、沼液农田灌溉输送管网系统、沼液氧化贮存池、标准有机肥厂等，促进种养结合绿色循环发展。</w:t>
      </w:r>
    </w:p>
    <w:p>
      <w:pPr>
        <w:pStyle w:val="17"/>
        <w:ind w:leftChars="0" w:firstLine="560"/>
        <w:rPr>
          <w:rFonts w:hint="default" w:eastAsia="仿宋_GB2312"/>
          <w:szCs w:val="28"/>
          <w:shd w:val="clear" w:color="auto" w:fill="FFFFFF"/>
          <w:lang w:val="en-US" w:bidi="ar"/>
        </w:rPr>
      </w:pPr>
      <w:bookmarkStart w:id="579" w:name="_Toc52724357_WPSOffice_Level3"/>
      <w:r>
        <w:rPr>
          <w:rFonts w:hint="default" w:eastAsia="仿宋_GB2312"/>
          <w:szCs w:val="28"/>
          <w:shd w:val="clear" w:color="auto" w:fill="FFFFFF"/>
          <w:lang w:val="en-US" w:bidi="ar"/>
        </w:rPr>
        <w:t>3.</w:t>
      </w:r>
      <w:bookmarkEnd w:id="579"/>
      <w:r>
        <w:rPr>
          <w:rFonts w:hint="default" w:eastAsia="仿宋_GB2312"/>
          <w:szCs w:val="28"/>
          <w:shd w:val="clear" w:color="auto" w:fill="FFFFFF"/>
          <w:lang w:val="en-US" w:bidi="ar"/>
        </w:rPr>
        <w:t>饲草料种植加工工程</w:t>
      </w:r>
    </w:p>
    <w:p>
      <w:pPr>
        <w:pStyle w:val="17"/>
        <w:ind w:leftChars="0" w:firstLine="560"/>
        <w:rPr>
          <w:rFonts w:hint="default" w:eastAsia="仿宋_GB2312"/>
          <w:szCs w:val="28"/>
          <w:shd w:val="clear" w:color="auto" w:fill="FFFFFF"/>
          <w:lang w:val="en-US" w:bidi="ar"/>
        </w:rPr>
      </w:pPr>
      <w:r>
        <w:rPr>
          <w:rFonts w:hint="default" w:eastAsia="仿宋_GB2312"/>
          <w:szCs w:val="28"/>
          <w:shd w:val="clear" w:color="auto" w:fill="FFFFFF"/>
          <w:lang w:val="en-US" w:bidi="ar"/>
        </w:rPr>
        <w:t>与当地农民合作创建农民合作社，开展饲草料基地建设，提升优质饲草料保障能力提升。全县配套建设青贮玉米、饲草种植基地10000亩，种养结合就地就近保障饲草料供应，配套土地翻耕机、起垄机、收割机等种植设备。建设饲草料机械化生产加工示范基地，建设青贮窖、黄贮窖、干草库、精料库、饲料调配站等设施，配备粉碎机、打包机、联合打捆机、青贮取料机、装卸车等设备。</w:t>
      </w:r>
    </w:p>
    <w:p>
      <w:pPr>
        <w:pStyle w:val="17"/>
        <w:ind w:leftChars="0" w:firstLine="560"/>
        <w:rPr>
          <w:rFonts w:hint="default" w:eastAsia="仿宋_GB2312"/>
          <w:szCs w:val="28"/>
          <w:shd w:val="clear" w:color="auto" w:fill="FFFFFF"/>
          <w:lang w:val="en-US" w:bidi="ar"/>
        </w:rPr>
      </w:pPr>
      <w:bookmarkStart w:id="580" w:name="_Toc2015847848_WPSOffice_Level3"/>
      <w:r>
        <w:rPr>
          <w:rFonts w:hint="default" w:eastAsia="仿宋_GB2312"/>
          <w:szCs w:val="28"/>
          <w:shd w:val="clear" w:color="auto" w:fill="FFFFFF"/>
          <w:lang w:val="en-US" w:bidi="ar"/>
        </w:rPr>
        <w:t>4.</w:t>
      </w:r>
      <w:bookmarkEnd w:id="580"/>
      <w:r>
        <w:rPr>
          <w:rFonts w:hint="default" w:eastAsia="仿宋_GB2312"/>
          <w:szCs w:val="28"/>
          <w:shd w:val="clear" w:color="auto" w:fill="FFFFFF"/>
          <w:lang w:val="en-US" w:bidi="ar"/>
        </w:rPr>
        <w:t>鲜奶加工工程</w:t>
      </w:r>
    </w:p>
    <w:p>
      <w:pPr>
        <w:pStyle w:val="17"/>
        <w:ind w:leftChars="0" w:firstLine="560"/>
        <w:rPr>
          <w:rFonts w:hint="default" w:eastAsia="仿宋_GB2312"/>
          <w:szCs w:val="28"/>
          <w:shd w:val="clear" w:color="auto" w:fill="FFFFFF"/>
          <w:lang w:bidi="ar"/>
        </w:rPr>
      </w:pPr>
      <w:r>
        <w:rPr>
          <w:rFonts w:hint="default" w:eastAsia="仿宋_GB2312"/>
          <w:szCs w:val="28"/>
          <w:shd w:val="clear" w:color="auto" w:fill="FFFFFF"/>
          <w:lang w:val="en-US" w:bidi="ar"/>
        </w:rPr>
        <w:t>做优做大县域奶业加工，重点建设明一鲜奶加工生产线、冷库以及冷链运输设施设备，新增鲜奶加工能力1万吨</w:t>
      </w:r>
      <w:r>
        <w:rPr>
          <w:rFonts w:hint="default" w:eastAsia="仿宋_GB2312"/>
          <w:szCs w:val="28"/>
          <w:shd w:val="clear" w:color="auto" w:fill="FFFFFF"/>
          <w:lang w:bidi="ar"/>
        </w:rPr>
        <w:t>。</w:t>
      </w:r>
    </w:p>
    <w:p>
      <w:pPr>
        <w:pStyle w:val="17"/>
        <w:ind w:leftChars="0" w:firstLine="560"/>
        <w:rPr>
          <w:rFonts w:hint="default" w:eastAsia="仿宋_GB2312"/>
          <w:szCs w:val="28"/>
          <w:shd w:val="clear" w:color="auto" w:fill="FFFFFF"/>
          <w:lang w:val="en-US" w:bidi="ar"/>
        </w:rPr>
      </w:pPr>
      <w:bookmarkStart w:id="581" w:name="_Toc6408324_WPSOffice_Level3"/>
      <w:r>
        <w:rPr>
          <w:rFonts w:hint="default" w:eastAsia="仿宋_GB2312"/>
          <w:szCs w:val="28"/>
          <w:shd w:val="clear" w:color="auto" w:fill="FFFFFF"/>
          <w:lang w:val="en-US" w:bidi="ar"/>
        </w:rPr>
        <w:t>5</w:t>
      </w:r>
      <w:bookmarkEnd w:id="581"/>
      <w:bookmarkStart w:id="582" w:name="_Toc1512548034_WPSOffice_Level3"/>
      <w:r>
        <w:rPr>
          <w:rFonts w:hint="default" w:eastAsia="仿宋_GB2312"/>
          <w:szCs w:val="28"/>
          <w:shd w:val="clear" w:color="auto" w:fill="FFFFFF"/>
          <w:lang w:val="en-US" w:bidi="ar"/>
        </w:rPr>
        <w:t>.三产融合提升工程</w:t>
      </w:r>
      <w:bookmarkEnd w:id="582"/>
    </w:p>
    <w:p>
      <w:pPr>
        <w:pStyle w:val="17"/>
        <w:ind w:leftChars="0" w:firstLine="560"/>
        <w:rPr>
          <w:rFonts w:hint="default" w:eastAsia="仿宋_GB2312"/>
          <w:szCs w:val="28"/>
          <w:shd w:val="clear" w:color="auto" w:fill="FFFFFF"/>
          <w:lang w:val="en-US" w:bidi="ar"/>
        </w:rPr>
      </w:pPr>
      <w:r>
        <w:rPr>
          <w:rFonts w:hint="default" w:eastAsia="仿宋_GB2312"/>
          <w:szCs w:val="28"/>
          <w:shd w:val="clear" w:color="auto" w:fill="FFFFFF"/>
          <w:lang w:val="en-US" w:bidi="ar"/>
        </w:rPr>
        <w:t>开展观光牧场建设，推进一二三产</w:t>
      </w:r>
      <w:r>
        <w:rPr>
          <w:rFonts w:hint="eastAsia" w:eastAsia="仿宋_GB2312"/>
          <w:szCs w:val="28"/>
          <w:shd w:val="clear" w:color="auto" w:fill="FFFFFF"/>
          <w:lang w:val="en-US" w:eastAsia="zh-CN" w:bidi="ar"/>
        </w:rPr>
        <w:t>业</w:t>
      </w:r>
      <w:bookmarkStart w:id="921" w:name="_GoBack"/>
      <w:bookmarkEnd w:id="921"/>
      <w:r>
        <w:rPr>
          <w:rFonts w:hint="default" w:eastAsia="仿宋_GB2312"/>
          <w:szCs w:val="28"/>
          <w:shd w:val="clear" w:color="auto" w:fill="FFFFFF"/>
          <w:lang w:val="en-US" w:bidi="ar"/>
        </w:rPr>
        <w:t>融合发展，延伸产业链、提升价值链，推动产业转型升级、提质增效。重点建设研学康养中心、房产民宿、采摘果园、滑草场等系列文旅观光设施，创建省级研学基地、4A级景区。</w:t>
      </w:r>
    </w:p>
    <w:p>
      <w:pPr>
        <w:spacing w:before="156" w:after="156" w:line="360" w:lineRule="auto"/>
        <w:ind w:firstLine="551" w:firstLineChars="196"/>
        <w:outlineLvl w:val="1"/>
        <w:rPr>
          <w:rFonts w:hint="default" w:eastAsia="仿宋_GB2312"/>
          <w:b/>
          <w:bCs/>
          <w:szCs w:val="28"/>
          <w:lang w:val="en-US"/>
        </w:rPr>
      </w:pPr>
      <w:bookmarkStart w:id="583" w:name="_Toc16750"/>
      <w:r>
        <w:rPr>
          <w:rFonts w:hint="default" w:eastAsia="仿宋_GB2312"/>
          <w:b/>
          <w:bCs/>
          <w:szCs w:val="28"/>
          <w:lang w:val="en-US"/>
        </w:rPr>
        <w:t>（三）家禽产业布局</w:t>
      </w:r>
      <w:bookmarkEnd w:id="583"/>
    </w:p>
    <w:p>
      <w:pPr>
        <w:pStyle w:val="17"/>
        <w:ind w:leftChars="0" w:firstLine="562"/>
        <w:rPr>
          <w:rFonts w:hint="default" w:eastAsia="仿宋_GB2312"/>
          <w:szCs w:val="28"/>
          <w:shd w:val="clear" w:color="auto" w:fill="FFFFFF"/>
          <w:lang w:val="en-US" w:bidi="ar"/>
        </w:rPr>
      </w:pPr>
      <w:r>
        <w:rPr>
          <w:rFonts w:hint="default" w:eastAsia="仿宋_GB2312"/>
          <w:b/>
          <w:bCs/>
          <w:szCs w:val="28"/>
          <w:shd w:val="clear" w:color="auto" w:fill="FFFFFF"/>
          <w:lang w:val="en-US" w:bidi="ar"/>
        </w:rPr>
        <w:t>（1）产业规模：</w:t>
      </w:r>
      <w:r>
        <w:rPr>
          <w:rFonts w:hint="default" w:eastAsia="仿宋_GB2312"/>
          <w:szCs w:val="28"/>
          <w:shd w:val="clear" w:color="auto" w:fill="FFFFFF"/>
          <w:lang w:val="en-US" w:bidi="ar"/>
        </w:rPr>
        <w:t>规划存栏量70万羽，出栏150万羽。</w:t>
      </w:r>
    </w:p>
    <w:p>
      <w:pPr>
        <w:pStyle w:val="17"/>
        <w:ind w:leftChars="0" w:firstLine="562"/>
        <w:rPr>
          <w:rFonts w:hint="default" w:ascii="仿宋_GB2312" w:hAnsi="宋体" w:eastAsia="仿宋_GB2312" w:cs="仿宋_GB2312"/>
          <w:szCs w:val="28"/>
          <w:shd w:val="clear" w:color="auto" w:fill="FFFFFF"/>
          <w:lang w:val="en-US" w:bidi="ar"/>
        </w:rPr>
      </w:pPr>
      <w:r>
        <w:rPr>
          <w:rFonts w:hint="default" w:eastAsia="仿宋_GB2312"/>
          <w:b/>
          <w:bCs/>
          <w:szCs w:val="28"/>
          <w:shd w:val="clear" w:color="auto" w:fill="FFFFFF"/>
          <w:lang w:val="en-US" w:bidi="ar"/>
        </w:rPr>
        <w:t>（2）区域布局：</w:t>
      </w:r>
      <w:r>
        <w:rPr>
          <w:rFonts w:hint="default" w:eastAsia="仿宋_GB2312"/>
          <w:szCs w:val="28"/>
          <w:shd w:val="clear" w:color="auto" w:fill="FFFFFF"/>
          <w:lang w:val="en-US" w:bidi="ar"/>
        </w:rPr>
        <w:t>主要分布于</w:t>
      </w:r>
      <w:r>
        <w:rPr>
          <w:rFonts w:hint="default" w:eastAsia="仿宋_GB2312"/>
          <w:szCs w:val="28"/>
          <w:shd w:val="clear" w:color="auto" w:fill="FFFFFF"/>
          <w:lang w:bidi="ar"/>
        </w:rPr>
        <w:t>溪口</w:t>
      </w:r>
      <w:r>
        <w:rPr>
          <w:rFonts w:ascii="仿宋_GB2312" w:hAnsi="宋体" w:eastAsia="仿宋_GB2312" w:cs="仿宋_GB2312"/>
          <w:szCs w:val="28"/>
          <w:shd w:val="clear" w:color="auto" w:fill="FFFFFF"/>
          <w:lang w:val="en-US" w:bidi="ar"/>
        </w:rPr>
        <w:t>镇</w:t>
      </w:r>
      <w:r>
        <w:rPr>
          <w:rFonts w:ascii="仿宋_GB2312" w:hAnsi="宋体" w:eastAsia="仿宋_GB2312" w:cs="仿宋_GB2312"/>
          <w:szCs w:val="28"/>
          <w:shd w:val="clear" w:color="auto" w:fill="FFFFFF"/>
          <w:lang w:bidi="ar"/>
        </w:rPr>
        <w:t>、里心</w:t>
      </w:r>
      <w:r>
        <w:rPr>
          <w:rFonts w:ascii="仿宋_GB2312" w:hAnsi="宋体" w:eastAsia="仿宋_GB2312" w:cs="仿宋_GB2312"/>
          <w:szCs w:val="28"/>
          <w:shd w:val="clear" w:color="auto" w:fill="FFFFFF"/>
          <w:lang w:val="en-US" w:bidi="ar"/>
        </w:rPr>
        <w:t>镇</w:t>
      </w:r>
      <w:r>
        <w:rPr>
          <w:rFonts w:ascii="仿宋_GB2312" w:hAnsi="宋体" w:eastAsia="仿宋_GB2312" w:cs="仿宋_GB2312"/>
          <w:szCs w:val="28"/>
          <w:shd w:val="clear" w:color="auto" w:fill="FFFFFF"/>
          <w:lang w:bidi="ar"/>
        </w:rPr>
        <w:t>、均口</w:t>
      </w:r>
      <w:r>
        <w:rPr>
          <w:rFonts w:ascii="仿宋_GB2312" w:hAnsi="宋体" w:eastAsia="仿宋_GB2312" w:cs="仿宋_GB2312"/>
          <w:szCs w:val="28"/>
          <w:shd w:val="clear" w:color="auto" w:fill="FFFFFF"/>
          <w:lang w:val="en-US" w:bidi="ar"/>
        </w:rPr>
        <w:t>镇</w:t>
      </w:r>
      <w:r>
        <w:rPr>
          <w:rFonts w:ascii="仿宋_GB2312" w:hAnsi="宋体" w:eastAsia="仿宋_GB2312" w:cs="仿宋_GB2312"/>
          <w:szCs w:val="28"/>
          <w:shd w:val="clear" w:color="auto" w:fill="FFFFFF"/>
          <w:lang w:bidi="ar"/>
        </w:rPr>
        <w:t>、濉溪</w:t>
      </w:r>
      <w:r>
        <w:rPr>
          <w:rFonts w:ascii="仿宋_GB2312" w:hAnsi="宋体" w:eastAsia="仿宋_GB2312" w:cs="仿宋_GB2312"/>
          <w:szCs w:val="28"/>
          <w:shd w:val="clear" w:color="auto" w:fill="FFFFFF"/>
          <w:lang w:val="en-US" w:bidi="ar"/>
        </w:rPr>
        <w:t>镇</w:t>
      </w:r>
      <w:r>
        <w:rPr>
          <w:rFonts w:ascii="仿宋_GB2312" w:hAnsi="宋体" w:eastAsia="仿宋_GB2312" w:cs="仿宋_GB2312"/>
          <w:szCs w:val="28"/>
          <w:shd w:val="clear" w:color="auto" w:fill="FFFFFF"/>
          <w:lang w:bidi="ar"/>
        </w:rPr>
        <w:t>等乡镇</w:t>
      </w:r>
      <w:r>
        <w:rPr>
          <w:rFonts w:hint="default" w:ascii="仿宋_GB2312" w:hAnsi="宋体" w:eastAsia="仿宋_GB2312" w:cs="仿宋_GB2312"/>
          <w:szCs w:val="28"/>
          <w:shd w:val="clear" w:color="auto" w:fill="FFFFFF"/>
          <w:lang w:val="en-US" w:bidi="ar"/>
        </w:rPr>
        <w:t>。</w:t>
      </w:r>
    </w:p>
    <w:p>
      <w:pPr>
        <w:pStyle w:val="22"/>
        <w:spacing w:line="240" w:lineRule="auto"/>
        <w:ind w:firstLine="0" w:firstLineChars="0"/>
        <w:jc w:val="center"/>
        <w:rPr>
          <w:rFonts w:hint="default" w:eastAsia="仿宋"/>
          <w:b/>
          <w:bCs/>
          <w:sz w:val="24"/>
          <w:szCs w:val="24"/>
          <w:lang w:val="en-US"/>
        </w:rPr>
      </w:pPr>
      <w:r>
        <w:rPr>
          <w:rFonts w:hint="default" w:eastAsia="仿宋"/>
          <w:b/>
          <w:bCs/>
          <w:szCs w:val="28"/>
          <w:lang w:val="en-US"/>
        </w:rPr>
        <w:t>表</w:t>
      </w:r>
      <w:r>
        <w:rPr>
          <w:rFonts w:eastAsia="仿宋"/>
          <w:b/>
          <w:bCs/>
          <w:szCs w:val="28"/>
          <w:lang w:val="en-US"/>
        </w:rPr>
        <w:t>1</w:t>
      </w:r>
      <w:r>
        <w:rPr>
          <w:rFonts w:hint="eastAsia" w:eastAsia="仿宋"/>
          <w:b/>
          <w:bCs/>
          <w:szCs w:val="28"/>
          <w:lang w:val="en-US" w:eastAsia="zh-CN"/>
        </w:rPr>
        <w:t>3</w:t>
      </w:r>
      <w:r>
        <w:rPr>
          <w:rFonts w:hint="default" w:eastAsia="仿宋"/>
          <w:b/>
          <w:bCs/>
          <w:szCs w:val="28"/>
          <w:lang w:val="en-US"/>
        </w:rPr>
        <w:t>　家禽养殖量布局</w:t>
      </w:r>
      <w:r>
        <w:rPr>
          <w:rFonts w:eastAsia="仿宋"/>
          <w:b/>
          <w:bCs/>
          <w:szCs w:val="28"/>
          <w:lang w:val="en-US"/>
        </w:rPr>
        <w:t>（存栏）</w:t>
      </w:r>
      <w:r>
        <w:rPr>
          <w:rFonts w:hint="default" w:eastAsia="仿宋"/>
          <w:b/>
          <w:bCs/>
          <w:sz w:val="24"/>
          <w:szCs w:val="24"/>
          <w:lang w:val="en-US"/>
        </w:rPr>
        <w:t>单位：万羽</w:t>
      </w:r>
    </w:p>
    <w:tbl>
      <w:tblPr>
        <w:tblStyle w:val="18"/>
        <w:tblpPr w:leftFromText="180" w:rightFromText="180" w:vertAnchor="text" w:horzAnchor="page" w:tblpX="2744" w:tblpY="37"/>
        <w:tblOverlap w:val="never"/>
        <w:tblW w:w="723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26"/>
        <w:gridCol w:w="1134"/>
        <w:gridCol w:w="1386"/>
        <w:gridCol w:w="1464"/>
        <w:gridCol w:w="146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65" w:type="dxa"/>
            <w:tcBorders>
              <w:left w:val="single" w:color="auto" w:sz="4" w:space="0"/>
            </w:tcBorders>
            <w:noWrap w:val="0"/>
            <w:vAlign w:val="center"/>
          </w:tcPr>
          <w:p>
            <w:pPr>
              <w:spacing w:line="400" w:lineRule="exact"/>
              <w:ind w:firstLine="0" w:firstLineChars="0"/>
              <w:jc w:val="both"/>
              <w:rPr>
                <w:rFonts w:ascii="宋体" w:hAnsi="宋体" w:cs="宋体"/>
                <w:b/>
                <w:snapToGrid w:val="0"/>
                <w:sz w:val="24"/>
              </w:rPr>
            </w:pPr>
            <w:r>
              <w:rPr>
                <w:rFonts w:eastAsia="仿宋_GB2312"/>
                <w:b/>
                <w:snapToGrid w:val="0"/>
                <w:sz w:val="24"/>
              </w:rPr>
              <w:t>行政区域</w:t>
            </w:r>
          </w:p>
        </w:tc>
        <w:tc>
          <w:tcPr>
            <w:tcW w:w="1026"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溪口</w:t>
            </w:r>
            <w:r>
              <w:rPr>
                <w:rFonts w:eastAsia="仿宋_GB2312"/>
                <w:b/>
                <w:snapToGrid w:val="0"/>
                <w:sz w:val="24"/>
                <w:lang w:val="en-US"/>
              </w:rPr>
              <w:t>镇</w:t>
            </w:r>
          </w:p>
        </w:tc>
        <w:tc>
          <w:tcPr>
            <w:tcW w:w="1134"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里心</w:t>
            </w:r>
            <w:r>
              <w:rPr>
                <w:rFonts w:eastAsia="仿宋_GB2312"/>
                <w:b/>
                <w:snapToGrid w:val="0"/>
                <w:sz w:val="24"/>
                <w:lang w:val="en-US"/>
              </w:rPr>
              <w:t>镇</w:t>
            </w:r>
          </w:p>
        </w:tc>
        <w:tc>
          <w:tcPr>
            <w:tcW w:w="1386"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均口</w:t>
            </w:r>
            <w:r>
              <w:rPr>
                <w:rFonts w:eastAsia="仿宋_GB2312"/>
                <w:b/>
                <w:snapToGrid w:val="0"/>
                <w:sz w:val="24"/>
                <w:lang w:val="en-US"/>
              </w:rPr>
              <w:t>镇</w:t>
            </w:r>
          </w:p>
        </w:tc>
        <w:tc>
          <w:tcPr>
            <w:tcW w:w="1464"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濉溪</w:t>
            </w:r>
            <w:r>
              <w:rPr>
                <w:rFonts w:eastAsia="仿宋_GB2312"/>
                <w:b/>
                <w:snapToGrid w:val="0"/>
                <w:sz w:val="24"/>
                <w:lang w:val="en-US"/>
              </w:rPr>
              <w:t>镇</w:t>
            </w:r>
          </w:p>
        </w:tc>
        <w:tc>
          <w:tcPr>
            <w:tcW w:w="1464" w:type="dxa"/>
            <w:noWrap w:val="0"/>
            <w:vAlign w:val="center"/>
          </w:tcPr>
          <w:p>
            <w:pPr>
              <w:spacing w:line="400" w:lineRule="exact"/>
              <w:ind w:firstLine="0" w:firstLineChars="0"/>
              <w:jc w:val="both"/>
              <w:rPr>
                <w:rFonts w:eastAsia="仿宋_GB2312"/>
                <w:b/>
                <w:snapToGrid w:val="0"/>
                <w:sz w:val="24"/>
              </w:rPr>
            </w:pPr>
            <w:r>
              <w:rPr>
                <w:rFonts w:hint="eastAsia" w:eastAsia="仿宋_GB2312"/>
                <w:b/>
                <w:snapToGrid w:val="0"/>
                <w:sz w:val="24"/>
              </w:rPr>
              <w:t>溪源乡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65" w:type="dxa"/>
            <w:tcBorders>
              <w:left w:val="single" w:color="auto" w:sz="4" w:space="0"/>
            </w:tcBorders>
            <w:noWrap w:val="0"/>
            <w:vAlign w:val="center"/>
          </w:tcPr>
          <w:p>
            <w:pPr>
              <w:spacing w:line="400" w:lineRule="exact"/>
              <w:ind w:firstLine="0" w:firstLineChars="0"/>
              <w:jc w:val="both"/>
              <w:rPr>
                <w:rFonts w:eastAsia="仿宋_GB2312"/>
                <w:b/>
                <w:snapToGrid w:val="0"/>
                <w:sz w:val="24"/>
              </w:rPr>
            </w:pPr>
          </w:p>
        </w:tc>
        <w:tc>
          <w:tcPr>
            <w:tcW w:w="1026" w:type="dxa"/>
            <w:noWrap w:val="0"/>
            <w:vAlign w:val="center"/>
          </w:tcPr>
          <w:p>
            <w:pPr>
              <w:spacing w:line="400" w:lineRule="exact"/>
              <w:ind w:firstLine="482"/>
              <w:jc w:val="center"/>
              <w:rPr>
                <w:rFonts w:hint="eastAsia" w:eastAsia="仿宋_GB2312"/>
                <w:b/>
                <w:snapToGrid w:val="0"/>
                <w:sz w:val="24"/>
                <w:lang w:val="en-US" w:eastAsia="zh-CN"/>
              </w:rPr>
            </w:pPr>
            <w:r>
              <w:rPr>
                <w:rFonts w:eastAsia="仿宋_GB2312"/>
                <w:b/>
                <w:snapToGrid w:val="0"/>
                <w:sz w:val="24"/>
                <w:lang w:val="en-US"/>
              </w:rPr>
              <w:t>3</w:t>
            </w:r>
            <w:r>
              <w:rPr>
                <w:rFonts w:hint="eastAsia" w:eastAsia="仿宋_GB2312"/>
                <w:b/>
                <w:snapToGrid w:val="0"/>
                <w:sz w:val="24"/>
                <w:lang w:val="en-US" w:eastAsia="zh-CN"/>
              </w:rPr>
              <w:t>5</w:t>
            </w:r>
          </w:p>
        </w:tc>
        <w:tc>
          <w:tcPr>
            <w:tcW w:w="1134" w:type="dxa"/>
            <w:noWrap w:val="0"/>
            <w:vAlign w:val="center"/>
          </w:tcPr>
          <w:p>
            <w:pPr>
              <w:spacing w:line="400" w:lineRule="exact"/>
              <w:ind w:firstLine="482"/>
              <w:jc w:val="center"/>
              <w:rPr>
                <w:rFonts w:hint="default" w:eastAsia="仿宋_GB2312"/>
                <w:b/>
                <w:snapToGrid w:val="0"/>
                <w:sz w:val="24"/>
                <w:lang w:val="en-US"/>
              </w:rPr>
            </w:pPr>
            <w:r>
              <w:rPr>
                <w:rFonts w:eastAsia="仿宋_GB2312"/>
                <w:b/>
                <w:snapToGrid w:val="0"/>
                <w:sz w:val="24"/>
                <w:lang w:val="en-US"/>
              </w:rPr>
              <w:t>20</w:t>
            </w:r>
          </w:p>
        </w:tc>
        <w:tc>
          <w:tcPr>
            <w:tcW w:w="1386" w:type="dxa"/>
            <w:noWrap w:val="0"/>
            <w:vAlign w:val="center"/>
          </w:tcPr>
          <w:p>
            <w:pPr>
              <w:spacing w:line="400" w:lineRule="exact"/>
              <w:ind w:firstLine="482"/>
              <w:jc w:val="center"/>
              <w:rPr>
                <w:rFonts w:hint="default" w:eastAsia="仿宋_GB2312"/>
                <w:b/>
                <w:snapToGrid w:val="0"/>
                <w:sz w:val="24"/>
                <w:lang w:val="en-US"/>
              </w:rPr>
            </w:pPr>
            <w:r>
              <w:rPr>
                <w:rFonts w:eastAsia="仿宋_GB2312"/>
                <w:b/>
                <w:snapToGrid w:val="0"/>
                <w:sz w:val="24"/>
                <w:lang w:val="en-US"/>
              </w:rPr>
              <w:t>10</w:t>
            </w:r>
          </w:p>
        </w:tc>
        <w:tc>
          <w:tcPr>
            <w:tcW w:w="1464" w:type="dxa"/>
            <w:noWrap w:val="0"/>
            <w:vAlign w:val="center"/>
          </w:tcPr>
          <w:p>
            <w:pPr>
              <w:spacing w:line="400" w:lineRule="exact"/>
              <w:ind w:firstLine="482"/>
              <w:jc w:val="center"/>
              <w:rPr>
                <w:rFonts w:hint="eastAsia" w:eastAsia="仿宋_GB2312"/>
                <w:b/>
                <w:snapToGrid w:val="0"/>
                <w:sz w:val="24"/>
                <w:lang w:val="en-US" w:eastAsia="zh-CN"/>
              </w:rPr>
            </w:pPr>
            <w:r>
              <w:rPr>
                <w:rFonts w:hint="eastAsia" w:eastAsia="仿宋_GB2312"/>
                <w:b/>
                <w:snapToGrid w:val="0"/>
                <w:sz w:val="24"/>
                <w:lang w:val="en-US" w:eastAsia="zh-CN"/>
              </w:rPr>
              <w:t>4</w:t>
            </w:r>
          </w:p>
        </w:tc>
        <w:tc>
          <w:tcPr>
            <w:tcW w:w="1464" w:type="dxa"/>
            <w:noWrap w:val="0"/>
            <w:vAlign w:val="center"/>
          </w:tcPr>
          <w:p>
            <w:pPr>
              <w:spacing w:line="400" w:lineRule="exact"/>
              <w:ind w:firstLine="482"/>
              <w:jc w:val="both"/>
              <w:rPr>
                <w:rFonts w:hint="default" w:eastAsia="仿宋_GB2312"/>
                <w:b/>
                <w:snapToGrid w:val="0"/>
                <w:sz w:val="24"/>
                <w:lang w:val="en-US" w:eastAsia="zh-CN"/>
              </w:rPr>
            </w:pPr>
            <w:r>
              <w:rPr>
                <w:rFonts w:hint="eastAsia" w:eastAsia="仿宋_GB2312"/>
                <w:b/>
                <w:snapToGrid w:val="0"/>
                <w:sz w:val="24"/>
                <w:lang w:val="en-US" w:eastAsia="zh-CN"/>
              </w:rPr>
              <w:t>1</w:t>
            </w:r>
          </w:p>
        </w:tc>
      </w:tr>
    </w:tbl>
    <w:p>
      <w:pPr>
        <w:pStyle w:val="17"/>
        <w:ind w:leftChars="0" w:firstLine="560"/>
        <w:rPr>
          <w:rFonts w:hint="default"/>
          <w:b/>
          <w:bCs/>
          <w:lang w:val="en-US"/>
        </w:rPr>
      </w:pPr>
    </w:p>
    <w:p>
      <w:pPr>
        <w:pStyle w:val="17"/>
        <w:ind w:leftChars="0" w:firstLine="560"/>
        <w:rPr>
          <w:rFonts w:hint="default"/>
          <w:b/>
          <w:bCs/>
          <w:lang w:val="en-US"/>
        </w:rPr>
      </w:pPr>
    </w:p>
    <w:p>
      <w:pPr>
        <w:pStyle w:val="17"/>
        <w:ind w:leftChars="0" w:firstLine="560"/>
        <w:rPr>
          <w:rFonts w:hint="default"/>
          <w:b/>
          <w:bCs/>
          <w:lang w:val="en-US"/>
        </w:rPr>
      </w:pPr>
    </w:p>
    <w:p>
      <w:pPr>
        <w:pStyle w:val="17"/>
        <w:ind w:leftChars="0" w:firstLine="560"/>
        <w:rPr>
          <w:rFonts w:hint="default" w:eastAsia="仿宋_GB2312"/>
          <w:szCs w:val="28"/>
          <w:shd w:val="clear" w:color="auto" w:fill="FFFFFF"/>
          <w:lang w:val="en-US" w:bidi="ar"/>
        </w:rPr>
      </w:pPr>
      <w:r>
        <w:rPr>
          <w:rFonts w:hint="default"/>
          <w:b/>
          <w:bCs/>
          <w:lang w:val="en-US"/>
        </w:rPr>
        <w:t>（3）发展重点：</w:t>
      </w:r>
      <w:r>
        <w:rPr>
          <w:rFonts w:ascii="仿宋_GB2312" w:eastAsia="仿宋_GB2312"/>
          <w:szCs w:val="28"/>
        </w:rPr>
        <w:t>加大政策引导和扶持力度，以产业化经营为手段，以龙头企业为依托，以科技为动力，推动家禽养殖现代化生产方式转变，大力开拓市场，提高产业效益，突出加强养殖设施化建设，实现小区布局、规模生产、龙头带动、产销合作，着力发展基地区域化、经营产业化、品种特色化的家禽特色优势产区。重点发展以专用型蛋鸡、专用型蛋鸭等为主的禽蛋生产，以北京鸭、半番鸭、土杂鸡等为主的肉禽生产，大力推广果山</w:t>
      </w:r>
      <w:r>
        <w:rPr>
          <w:rFonts w:hint="default" w:eastAsia="仿宋_GB2312"/>
          <w:szCs w:val="28"/>
          <w:shd w:val="clear" w:color="auto" w:fill="FFFFFF"/>
          <w:lang w:val="en-US" w:bidi="ar"/>
        </w:rPr>
        <w:t>养鸡、冬闲田养鸭和生态养禽模式。</w:t>
      </w:r>
    </w:p>
    <w:p>
      <w:pPr>
        <w:pStyle w:val="17"/>
        <w:ind w:leftChars="0" w:firstLine="560"/>
        <w:rPr>
          <w:rFonts w:hint="eastAsia" w:eastAsia="仿宋_GB2312"/>
          <w:szCs w:val="28"/>
          <w:shd w:val="clear" w:color="auto" w:fill="FFFFFF"/>
          <w:lang w:val="en-US" w:eastAsia="zh-CN" w:bidi="ar"/>
        </w:rPr>
      </w:pPr>
      <w:r>
        <w:rPr>
          <w:rFonts w:hint="eastAsia" w:eastAsia="仿宋_GB2312"/>
          <w:szCs w:val="28"/>
          <w:shd w:val="clear" w:color="auto" w:fill="FFFFFF"/>
          <w:lang w:val="en-US" w:eastAsia="zh-CN" w:bidi="ar"/>
        </w:rPr>
        <w:t>主要建设内容：蛋禽产业基地建设</w:t>
      </w:r>
    </w:p>
    <w:p>
      <w:pPr>
        <w:pStyle w:val="17"/>
        <w:ind w:leftChars="0" w:firstLine="560"/>
        <w:rPr>
          <w:rFonts w:hint="default" w:ascii="仿宋_GB2312" w:eastAsia="仿宋_GB2312"/>
          <w:szCs w:val="28"/>
          <w:lang w:val="en-US" w:eastAsia="zh-CN"/>
        </w:rPr>
      </w:pPr>
      <w:r>
        <w:rPr>
          <w:rFonts w:hint="eastAsia" w:eastAsia="仿宋_GB2312"/>
          <w:szCs w:val="28"/>
          <w:shd w:val="clear" w:color="auto" w:fill="FFFFFF"/>
          <w:lang w:val="en-US" w:eastAsia="zh-CN" w:bidi="ar"/>
        </w:rPr>
        <w:t>新建面积1250平方钢结构标准化养殖场房一幢。笼架系统采用高品质铝锌合金材料；喂料行车及轨道，采用晟兴科技公司三项专利喂料设备；饮水系统，使用双水线保证用水均匀；采用自动清粪系统；自动集鸡蛋系统；自动通风降温系统；照明设备采用畜牧专用红光LED灯；自动电气控制系统和报警系统提高封闭式高密度养殖安全系数。建成后，新增养殖规模5万羽，新增产能年产鲜鸡蛋1090吨。</w:t>
      </w:r>
    </w:p>
    <w:p>
      <w:pPr>
        <w:spacing w:before="156" w:after="156" w:line="360" w:lineRule="auto"/>
        <w:ind w:firstLine="551" w:firstLineChars="196"/>
        <w:outlineLvl w:val="1"/>
        <w:rPr>
          <w:rFonts w:hint="default" w:ascii="仿宋_GB2312" w:eastAsia="仿宋_GB2312"/>
          <w:b/>
          <w:bCs/>
          <w:szCs w:val="28"/>
          <w:lang w:val="en-US"/>
        </w:rPr>
      </w:pPr>
      <w:bookmarkStart w:id="584" w:name="_Toc27356"/>
      <w:r>
        <w:rPr>
          <w:rFonts w:ascii="仿宋_GB2312" w:eastAsia="仿宋_GB2312"/>
          <w:b/>
          <w:bCs/>
          <w:szCs w:val="28"/>
          <w:lang w:val="en-US"/>
        </w:rPr>
        <w:t>（四）</w:t>
      </w:r>
      <w:r>
        <w:rPr>
          <w:rFonts w:hint="default" w:ascii="仿宋_GB2312" w:eastAsia="仿宋_GB2312"/>
          <w:b/>
          <w:bCs/>
          <w:szCs w:val="28"/>
          <w:lang w:val="en-US"/>
        </w:rPr>
        <w:t>草食动物产业布局</w:t>
      </w:r>
      <w:bookmarkEnd w:id="584"/>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240" w:lineRule="auto"/>
        <w:ind w:firstLine="562" w:firstLineChars="200"/>
        <w:textAlignment w:val="auto"/>
        <w:outlineLvl w:val="0"/>
        <w:rPr>
          <w:rFonts w:hint="default" w:ascii="仿宋_GB2312" w:eastAsia="仿宋_GB2312"/>
          <w:szCs w:val="28"/>
          <w:lang w:val="en-US"/>
        </w:rPr>
      </w:pPr>
      <w:bookmarkStart w:id="585" w:name="_Toc16766"/>
      <w:bookmarkStart w:id="586" w:name="_Toc24354"/>
      <w:r>
        <w:rPr>
          <w:rFonts w:hint="default" w:ascii="仿宋_GB2312" w:eastAsia="仿宋_GB2312"/>
          <w:b/>
          <w:bCs/>
          <w:szCs w:val="28"/>
          <w:lang w:val="en-US"/>
        </w:rPr>
        <w:t>（1）产业规模：</w:t>
      </w:r>
      <w:r>
        <w:rPr>
          <w:rFonts w:hint="default" w:ascii="仿宋_GB2312" w:eastAsia="仿宋_GB2312"/>
          <w:szCs w:val="28"/>
          <w:lang w:val="en-US"/>
        </w:rPr>
        <w:t>主要包括肉牛、肉羊等，草食动物养殖标准必须达到国家规定的最新标准化养殖技术。其中肉牛存栏3000头、羊存栏15000头、兔存栏4000头。</w:t>
      </w:r>
      <w:bookmarkEnd w:id="585"/>
      <w:bookmarkEnd w:id="586"/>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240" w:lineRule="auto"/>
        <w:ind w:firstLine="562" w:firstLineChars="200"/>
        <w:textAlignment w:val="auto"/>
        <w:outlineLvl w:val="0"/>
        <w:rPr>
          <w:rFonts w:hint="default" w:ascii="仿宋_GB2312" w:eastAsia="仿宋_GB2312"/>
          <w:szCs w:val="28"/>
          <w:lang w:val="en-US"/>
        </w:rPr>
      </w:pPr>
      <w:bookmarkStart w:id="587" w:name="_Toc9110"/>
      <w:bookmarkStart w:id="588" w:name="_Toc27909"/>
      <w:r>
        <w:rPr>
          <w:rFonts w:hint="default" w:ascii="仿宋_GB2312" w:eastAsia="仿宋_GB2312"/>
          <w:b/>
          <w:bCs/>
          <w:szCs w:val="28"/>
          <w:lang w:val="en-US"/>
        </w:rPr>
        <w:t>（2）区域布局：</w:t>
      </w:r>
      <w:r>
        <w:rPr>
          <w:rFonts w:hint="default" w:ascii="仿宋_GB2312" w:eastAsia="仿宋_GB2312"/>
          <w:szCs w:val="28"/>
          <w:lang w:val="en-US"/>
        </w:rPr>
        <w:t>在各乡（镇）可养区发展山羊、肉牛养殖。注重引进规模龙头养殖企业，带动县内草食动物的发展，提升养殖水平和档次。</w:t>
      </w:r>
      <w:bookmarkEnd w:id="587"/>
      <w:bookmarkEnd w:id="588"/>
    </w:p>
    <w:p>
      <w:pPr>
        <w:pStyle w:val="22"/>
        <w:spacing w:line="240" w:lineRule="auto"/>
        <w:ind w:firstLine="0" w:firstLineChars="0"/>
        <w:jc w:val="center"/>
        <w:rPr>
          <w:rFonts w:hint="default" w:eastAsia="仿宋"/>
          <w:b/>
          <w:bCs/>
          <w:sz w:val="24"/>
          <w:szCs w:val="24"/>
          <w:lang w:val="en-US"/>
        </w:rPr>
      </w:pPr>
      <w:r>
        <w:rPr>
          <w:rFonts w:hint="default" w:eastAsia="仿宋"/>
          <w:b/>
          <w:bCs/>
          <w:szCs w:val="28"/>
          <w:lang w:val="en-US"/>
        </w:rPr>
        <w:t>表</w:t>
      </w:r>
      <w:r>
        <w:rPr>
          <w:rFonts w:eastAsia="仿宋"/>
          <w:b/>
          <w:bCs/>
          <w:szCs w:val="28"/>
          <w:lang w:val="en-US"/>
        </w:rPr>
        <w:t>1</w:t>
      </w:r>
      <w:r>
        <w:rPr>
          <w:rFonts w:hint="eastAsia" w:eastAsia="仿宋"/>
          <w:b/>
          <w:bCs/>
          <w:szCs w:val="28"/>
          <w:lang w:val="en-US" w:eastAsia="zh-CN"/>
        </w:rPr>
        <w:t>4</w:t>
      </w:r>
      <w:r>
        <w:rPr>
          <w:rFonts w:hint="default" w:eastAsia="仿宋"/>
          <w:b/>
          <w:bCs/>
          <w:szCs w:val="28"/>
          <w:lang w:val="en-US"/>
        </w:rPr>
        <w:t>　</w:t>
      </w:r>
      <w:r>
        <w:rPr>
          <w:rFonts w:eastAsia="仿宋"/>
          <w:b/>
          <w:bCs/>
          <w:szCs w:val="28"/>
          <w:lang w:val="en-US"/>
        </w:rPr>
        <w:t>肉牛肉羊</w:t>
      </w:r>
      <w:r>
        <w:rPr>
          <w:rFonts w:hint="default" w:eastAsia="仿宋"/>
          <w:b/>
          <w:bCs/>
          <w:szCs w:val="28"/>
          <w:lang w:val="en-US"/>
        </w:rPr>
        <w:t>养殖量布局</w:t>
      </w:r>
      <w:r>
        <w:rPr>
          <w:rFonts w:eastAsia="仿宋"/>
          <w:b/>
          <w:bCs/>
          <w:szCs w:val="28"/>
          <w:lang w:val="en-US"/>
        </w:rPr>
        <w:t>（存栏）</w:t>
      </w:r>
      <w:r>
        <w:rPr>
          <w:rFonts w:hint="default" w:eastAsia="仿宋"/>
          <w:b/>
          <w:bCs/>
          <w:sz w:val="24"/>
          <w:szCs w:val="24"/>
          <w:lang w:val="en-US"/>
        </w:rPr>
        <w:t>单位：头</w:t>
      </w:r>
    </w:p>
    <w:tbl>
      <w:tblPr>
        <w:tblStyle w:val="18"/>
        <w:tblpPr w:leftFromText="180" w:rightFromText="180" w:vertAnchor="text" w:horzAnchor="page" w:tblpX="2744" w:tblpY="37"/>
        <w:tblOverlap w:val="never"/>
        <w:tblW w:w="641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026"/>
        <w:gridCol w:w="1041"/>
        <w:gridCol w:w="1057"/>
        <w:gridCol w:w="1257"/>
        <w:gridCol w:w="12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65" w:type="dxa"/>
            <w:tcBorders>
              <w:left w:val="single" w:color="auto" w:sz="4" w:space="0"/>
            </w:tcBorders>
            <w:noWrap w:val="0"/>
            <w:vAlign w:val="center"/>
          </w:tcPr>
          <w:p>
            <w:pPr>
              <w:spacing w:line="400" w:lineRule="exact"/>
              <w:ind w:firstLine="0" w:firstLineChars="0"/>
              <w:jc w:val="both"/>
              <w:rPr>
                <w:rFonts w:ascii="宋体" w:hAnsi="宋体" w:cs="宋体"/>
                <w:b/>
                <w:snapToGrid w:val="0"/>
                <w:sz w:val="24"/>
              </w:rPr>
            </w:pPr>
            <w:r>
              <w:rPr>
                <w:rFonts w:eastAsia="仿宋_GB2312"/>
                <w:b/>
                <w:snapToGrid w:val="0"/>
                <w:sz w:val="24"/>
              </w:rPr>
              <w:t>行政区域</w:t>
            </w:r>
          </w:p>
        </w:tc>
        <w:tc>
          <w:tcPr>
            <w:tcW w:w="1026"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溪口</w:t>
            </w:r>
            <w:r>
              <w:rPr>
                <w:rFonts w:eastAsia="仿宋_GB2312"/>
                <w:b/>
                <w:snapToGrid w:val="0"/>
                <w:sz w:val="24"/>
                <w:lang w:val="en-US"/>
              </w:rPr>
              <w:t>镇</w:t>
            </w:r>
          </w:p>
        </w:tc>
        <w:tc>
          <w:tcPr>
            <w:tcW w:w="1041"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里心</w:t>
            </w:r>
            <w:r>
              <w:rPr>
                <w:rFonts w:eastAsia="仿宋_GB2312"/>
                <w:b/>
                <w:snapToGrid w:val="0"/>
                <w:sz w:val="24"/>
                <w:lang w:val="en-US"/>
              </w:rPr>
              <w:t>镇</w:t>
            </w:r>
          </w:p>
        </w:tc>
        <w:tc>
          <w:tcPr>
            <w:tcW w:w="1057"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rPr>
              <w:t>客坊</w:t>
            </w:r>
            <w:r>
              <w:rPr>
                <w:rFonts w:eastAsia="仿宋_GB2312"/>
                <w:b/>
                <w:snapToGrid w:val="0"/>
                <w:sz w:val="24"/>
                <w:lang w:val="en-US"/>
              </w:rPr>
              <w:t>乡</w:t>
            </w:r>
          </w:p>
        </w:tc>
        <w:tc>
          <w:tcPr>
            <w:tcW w:w="1257"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黄坊乡</w:t>
            </w:r>
          </w:p>
        </w:tc>
        <w:tc>
          <w:tcPr>
            <w:tcW w:w="1265" w:type="dxa"/>
            <w:noWrap w:val="0"/>
            <w:vAlign w:val="center"/>
          </w:tcPr>
          <w:p>
            <w:pPr>
              <w:spacing w:line="400" w:lineRule="exact"/>
              <w:ind w:firstLine="0" w:firstLineChars="0"/>
              <w:jc w:val="both"/>
              <w:rPr>
                <w:rFonts w:eastAsia="仿宋_GB2312"/>
                <w:b/>
                <w:snapToGrid w:val="0"/>
                <w:sz w:val="24"/>
              </w:rPr>
            </w:pPr>
            <w:r>
              <w:rPr>
                <w:rFonts w:eastAsia="仿宋_GB2312"/>
                <w:b/>
                <w:snapToGrid w:val="0"/>
                <w:sz w:val="24"/>
              </w:rPr>
              <w:t>濉溪</w:t>
            </w:r>
            <w:r>
              <w:rPr>
                <w:rFonts w:eastAsia="仿宋_GB2312"/>
                <w:b/>
                <w:snapToGrid w:val="0"/>
                <w:sz w:val="24"/>
                <w:lang w:val="en-US"/>
              </w:rPr>
              <w:t>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65" w:type="dxa"/>
            <w:tcBorders>
              <w:left w:val="single" w:color="auto" w:sz="4" w:space="0"/>
            </w:tcBorders>
            <w:noWrap w:val="0"/>
            <w:vAlign w:val="center"/>
          </w:tcPr>
          <w:p>
            <w:pPr>
              <w:spacing w:line="400" w:lineRule="exact"/>
              <w:ind w:firstLine="0" w:firstLineChars="0"/>
              <w:jc w:val="both"/>
              <w:rPr>
                <w:rFonts w:eastAsia="仿宋_GB2312"/>
                <w:b/>
                <w:snapToGrid w:val="0"/>
                <w:sz w:val="24"/>
                <w:lang w:val="en-US"/>
              </w:rPr>
            </w:pPr>
            <w:r>
              <w:rPr>
                <w:rFonts w:eastAsia="仿宋_GB2312"/>
                <w:b/>
                <w:snapToGrid w:val="0"/>
                <w:sz w:val="24"/>
                <w:lang w:val="en-US"/>
              </w:rPr>
              <w:t>肉牛</w:t>
            </w:r>
          </w:p>
        </w:tc>
        <w:tc>
          <w:tcPr>
            <w:tcW w:w="1026"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 xml:space="preserve"> 500</w:t>
            </w:r>
          </w:p>
        </w:tc>
        <w:tc>
          <w:tcPr>
            <w:tcW w:w="1041"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1000</w:t>
            </w:r>
          </w:p>
        </w:tc>
        <w:tc>
          <w:tcPr>
            <w:tcW w:w="1057"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500</w:t>
            </w:r>
          </w:p>
        </w:tc>
        <w:tc>
          <w:tcPr>
            <w:tcW w:w="1257"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500</w:t>
            </w:r>
          </w:p>
        </w:tc>
        <w:tc>
          <w:tcPr>
            <w:tcW w:w="1265"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65" w:type="dxa"/>
            <w:tcBorders>
              <w:left w:val="single" w:color="auto" w:sz="4" w:space="0"/>
            </w:tcBorders>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肉羊</w:t>
            </w:r>
          </w:p>
        </w:tc>
        <w:tc>
          <w:tcPr>
            <w:tcW w:w="1026"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1000</w:t>
            </w:r>
          </w:p>
        </w:tc>
        <w:tc>
          <w:tcPr>
            <w:tcW w:w="1041"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3000</w:t>
            </w:r>
          </w:p>
        </w:tc>
        <w:tc>
          <w:tcPr>
            <w:tcW w:w="1057"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4000</w:t>
            </w:r>
          </w:p>
        </w:tc>
        <w:tc>
          <w:tcPr>
            <w:tcW w:w="1257"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4000</w:t>
            </w:r>
          </w:p>
        </w:tc>
        <w:tc>
          <w:tcPr>
            <w:tcW w:w="1265" w:type="dxa"/>
            <w:noWrap w:val="0"/>
            <w:vAlign w:val="center"/>
          </w:tcPr>
          <w:p>
            <w:pPr>
              <w:spacing w:line="400" w:lineRule="exact"/>
              <w:ind w:firstLine="0" w:firstLineChars="0"/>
              <w:jc w:val="both"/>
              <w:rPr>
                <w:rFonts w:hint="default" w:eastAsia="仿宋_GB2312"/>
                <w:b/>
                <w:snapToGrid w:val="0"/>
                <w:sz w:val="24"/>
                <w:lang w:val="en-US"/>
              </w:rPr>
            </w:pPr>
            <w:r>
              <w:rPr>
                <w:rFonts w:eastAsia="仿宋_GB2312"/>
                <w:b/>
                <w:snapToGrid w:val="0"/>
                <w:sz w:val="24"/>
                <w:lang w:val="en-US"/>
              </w:rPr>
              <w:t>3000</w:t>
            </w:r>
          </w:p>
        </w:tc>
      </w:tr>
    </w:tbl>
    <w:p>
      <w:pPr>
        <w:rPr>
          <w:rFonts w:hint="default" w:ascii="仿宋_GB2312" w:eastAsia="仿宋_GB2312"/>
          <w:szCs w:val="28"/>
          <w:lang w:val="en-US"/>
        </w:rPr>
      </w:pPr>
    </w:p>
    <w:p>
      <w:pPr>
        <w:pStyle w:val="2"/>
        <w:rPr>
          <w:rFonts w:hint="default" w:ascii="仿宋_GB2312" w:eastAsia="仿宋_GB2312"/>
          <w:szCs w:val="28"/>
          <w:lang w:val="en-US"/>
        </w:rPr>
      </w:pPr>
    </w:p>
    <w:p>
      <w:pPr>
        <w:pStyle w:val="4"/>
        <w:rPr>
          <w:rFonts w:hint="default"/>
          <w:lang w:val="en-US"/>
        </w:rPr>
      </w:pP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240" w:lineRule="auto"/>
        <w:ind w:firstLine="562" w:firstLineChars="200"/>
        <w:textAlignment w:val="auto"/>
        <w:outlineLvl w:val="0"/>
        <w:rPr>
          <w:rFonts w:hint="default" w:ascii="仿宋_GB2312" w:eastAsia="仿宋_GB2312"/>
          <w:b/>
          <w:bCs/>
          <w:szCs w:val="28"/>
          <w:lang w:val="en-US"/>
        </w:rPr>
      </w:pPr>
      <w:bookmarkStart w:id="589" w:name="_Toc9118"/>
      <w:bookmarkStart w:id="590" w:name="_Toc16114"/>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240" w:lineRule="auto"/>
        <w:ind w:firstLine="562" w:firstLineChars="200"/>
        <w:textAlignment w:val="auto"/>
        <w:outlineLvl w:val="0"/>
        <w:rPr>
          <w:rFonts w:hint="default" w:ascii="仿宋_GB2312" w:eastAsia="仿宋_GB2312"/>
          <w:b/>
          <w:bCs/>
          <w:szCs w:val="28"/>
          <w:lang w:val="en-US"/>
        </w:rPr>
      </w:pP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240" w:lineRule="auto"/>
        <w:ind w:firstLine="562" w:firstLineChars="200"/>
        <w:textAlignment w:val="auto"/>
        <w:outlineLvl w:val="0"/>
        <w:rPr>
          <w:rFonts w:ascii="仿宋_GB2312" w:eastAsia="仿宋_GB2312"/>
          <w:szCs w:val="28"/>
        </w:rPr>
      </w:pPr>
      <w:r>
        <w:rPr>
          <w:rFonts w:hint="default" w:ascii="仿宋_GB2312" w:eastAsia="仿宋_GB2312"/>
          <w:b/>
          <w:bCs/>
          <w:szCs w:val="28"/>
          <w:lang w:val="en-US"/>
        </w:rPr>
        <w:t>（3）发展目标：</w:t>
      </w:r>
      <w:bookmarkStart w:id="591" w:name="_Toc21710"/>
      <w:bookmarkStart w:id="592" w:name="_Toc8889"/>
      <w:r>
        <w:rPr>
          <w:rFonts w:hint="default" w:ascii="仿宋_GB2312" w:eastAsia="仿宋_GB2312"/>
          <w:szCs w:val="28"/>
          <w:lang w:val="en-US"/>
        </w:rPr>
        <w:t>以草畜结合为</w:t>
      </w:r>
      <w:r>
        <w:rPr>
          <w:rFonts w:ascii="仿宋_GB2312" w:eastAsia="仿宋_GB2312"/>
          <w:szCs w:val="28"/>
        </w:rPr>
        <w:t>突破口，发展肉牛、肉羊、肉兔等草食畜牧业，以农民专业合作社或“公司+基地+专业户”为模式，推进规模养殖。建立以里心、客坊、黄坊和溪</w:t>
      </w:r>
      <w:r>
        <w:rPr>
          <w:rFonts w:ascii="仿宋_GB2312" w:eastAsia="仿宋_GB2312"/>
          <w:szCs w:val="28"/>
          <w:lang w:val="en-US"/>
        </w:rPr>
        <w:t>口</w:t>
      </w:r>
      <w:r>
        <w:rPr>
          <w:rFonts w:ascii="仿宋_GB2312" w:eastAsia="仿宋_GB2312"/>
          <w:szCs w:val="28"/>
        </w:rPr>
        <w:t>等乡镇为主的肉牛</w:t>
      </w:r>
      <w:r>
        <w:rPr>
          <w:rFonts w:ascii="仿宋_GB2312" w:eastAsia="仿宋_GB2312"/>
          <w:szCs w:val="28"/>
          <w:lang w:val="en-US"/>
        </w:rPr>
        <w:t>、肉羊</w:t>
      </w:r>
      <w:r>
        <w:rPr>
          <w:rFonts w:ascii="仿宋_GB2312" w:eastAsia="仿宋_GB2312"/>
          <w:szCs w:val="28"/>
        </w:rPr>
        <w:t>产业带,发展草食畜牧业。</w:t>
      </w:r>
      <w:r>
        <w:rPr>
          <w:rFonts w:ascii="仿宋_GB2312" w:eastAsia="仿宋_GB2312"/>
          <w:szCs w:val="28"/>
          <w:lang w:val="en-US"/>
        </w:rPr>
        <w:t>鼓励</w:t>
      </w:r>
      <w:r>
        <w:rPr>
          <w:rFonts w:ascii="仿宋_GB2312" w:eastAsia="仿宋_GB2312"/>
          <w:szCs w:val="28"/>
        </w:rPr>
        <w:t>全县</w:t>
      </w:r>
      <w:r>
        <w:rPr>
          <w:rFonts w:ascii="仿宋_GB2312" w:eastAsia="仿宋_GB2312"/>
          <w:szCs w:val="28"/>
          <w:lang w:val="en-US"/>
        </w:rPr>
        <w:t>有条件的地方</w:t>
      </w:r>
      <w:r>
        <w:rPr>
          <w:rFonts w:ascii="仿宋_GB2312" w:eastAsia="仿宋_GB2312"/>
          <w:szCs w:val="28"/>
        </w:rPr>
        <w:t>建设</w:t>
      </w:r>
      <w:r>
        <w:rPr>
          <w:rFonts w:ascii="仿宋_GB2312" w:eastAsia="仿宋_GB2312"/>
          <w:szCs w:val="28"/>
          <w:lang w:val="en-US"/>
        </w:rPr>
        <w:t>草食动物</w:t>
      </w:r>
      <w:r>
        <w:rPr>
          <w:rFonts w:ascii="仿宋_GB2312" w:eastAsia="仿宋_GB2312"/>
          <w:szCs w:val="28"/>
        </w:rPr>
        <w:t>养殖小区、养殖专业村和养殖专业户。</w:t>
      </w:r>
      <w:bookmarkEnd w:id="589"/>
      <w:bookmarkEnd w:id="590"/>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bookmarkStart w:id="593" w:name="_Toc15863"/>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r>
        <w:rPr>
          <w:rFonts w:ascii="黑体" w:hAnsi="黑体" w:eastAsia="黑体"/>
          <w:kern w:val="2"/>
          <w:sz w:val="32"/>
          <w:szCs w:val="32"/>
          <w:lang w:val="en-US"/>
        </w:rPr>
        <w:t>第五章  主要任务</w:t>
      </w:r>
      <w:bookmarkEnd w:id="591"/>
      <w:bookmarkEnd w:id="592"/>
      <w:bookmarkEnd w:id="593"/>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594" w:name="_Toc29789"/>
      <w:bookmarkStart w:id="595" w:name="_Toc14191"/>
      <w:bookmarkStart w:id="596" w:name="_Toc16796"/>
      <w:bookmarkStart w:id="597" w:name="_Toc59656477"/>
      <w:bookmarkStart w:id="598" w:name="_Toc24133"/>
      <w:r>
        <w:rPr>
          <w:rFonts w:hint="eastAsia" w:ascii="黑体" w:hAnsi="黑体" w:eastAsia="黑体"/>
          <w:b w:val="0"/>
          <w:bCs w:val="0"/>
          <w:sz w:val="30"/>
          <w:szCs w:val="30"/>
        </w:rPr>
        <w:t>一、提升现代畜禽种业竞争力</w:t>
      </w:r>
      <w:bookmarkEnd w:id="594"/>
      <w:bookmarkEnd w:id="595"/>
      <w:bookmarkEnd w:id="596"/>
      <w:bookmarkEnd w:id="597"/>
      <w:bookmarkEnd w:id="598"/>
    </w:p>
    <w:p>
      <w:pPr>
        <w:spacing w:before="156" w:beforeLines="50" w:line="360" w:lineRule="auto"/>
        <w:ind w:firstLine="602"/>
        <w:outlineLvl w:val="1"/>
        <w:rPr>
          <w:rFonts w:ascii="仿宋_GB2312" w:eastAsia="仿宋_GB2312"/>
          <w:b/>
          <w:sz w:val="30"/>
          <w:szCs w:val="30"/>
        </w:rPr>
      </w:pPr>
      <w:bookmarkStart w:id="599" w:name="_Toc19135"/>
      <w:bookmarkStart w:id="600" w:name="_Toc6374"/>
      <w:bookmarkStart w:id="601" w:name="_Toc23258"/>
      <w:bookmarkStart w:id="602" w:name="_Toc10411"/>
      <w:bookmarkStart w:id="603" w:name="_Toc59656478"/>
      <w:r>
        <w:rPr>
          <w:rFonts w:ascii="仿宋_GB2312" w:eastAsia="仿宋_GB2312"/>
          <w:b/>
          <w:sz w:val="30"/>
          <w:szCs w:val="30"/>
        </w:rPr>
        <w:t>（一）</w:t>
      </w:r>
      <w:bookmarkEnd w:id="599"/>
      <w:bookmarkEnd w:id="600"/>
      <w:bookmarkEnd w:id="601"/>
      <w:r>
        <w:rPr>
          <w:rFonts w:ascii="仿宋_GB2312" w:eastAsia="仿宋_GB2312"/>
          <w:b/>
          <w:sz w:val="30"/>
          <w:szCs w:val="30"/>
          <w:lang w:val="en-US"/>
        </w:rPr>
        <w:t>加快良种繁育基地建设</w:t>
      </w:r>
      <w:bookmarkEnd w:id="602"/>
    </w:p>
    <w:p>
      <w:pPr>
        <w:spacing w:line="360" w:lineRule="auto"/>
        <w:ind w:firstLine="560"/>
        <w:outlineLvl w:val="1"/>
        <w:rPr>
          <w:rFonts w:ascii="仿宋_GB2312" w:eastAsia="仿宋_GB2312"/>
          <w:szCs w:val="28"/>
        </w:rPr>
      </w:pPr>
      <w:bookmarkStart w:id="604" w:name="_Toc22140"/>
      <w:bookmarkStart w:id="605" w:name="_Toc14579"/>
      <w:bookmarkStart w:id="606" w:name="_Toc22662"/>
      <w:bookmarkStart w:id="607" w:name="_Toc8978"/>
      <w:bookmarkStart w:id="608" w:name="_Toc955"/>
      <w:r>
        <w:rPr>
          <w:rFonts w:ascii="仿宋_GB2312" w:eastAsia="仿宋_GB2312"/>
          <w:szCs w:val="28"/>
          <w:lang w:val="en-US"/>
        </w:rPr>
        <w:t xml:space="preserve">实施畜禽良种改良计划，加强国家核心育种场的遴选和管理，规范生产性能测定，推进遗传评估结果应用，加快推广基因组选择等育种新技术；开展奶牛、生猪育种技术研发与推广，加快奶牛羊良种繁育，推进瘦肉型猪本土化选育，培育一批生产性能水平高、综合性状优良、重点性状突出的新品种和配套系，提高核心种源自给率。重点推进建宁县明一乳业奶牛原种场、福建鑫锦宏农牧开发有限公司生猪核心育种场等基础设施和保护体系建设；对接省市级良种繁育工作站，推进联合育种攻关，提高奶牛、生猪良种覆盖率。到 </w:t>
      </w:r>
      <w:r>
        <w:rPr>
          <w:rFonts w:hint="default" w:ascii="仿宋_GB2312" w:eastAsia="仿宋_GB2312"/>
          <w:szCs w:val="28"/>
          <w:lang w:val="en-US"/>
        </w:rPr>
        <w:t xml:space="preserve">2025 </w:t>
      </w:r>
      <w:r>
        <w:rPr>
          <w:rFonts w:ascii="仿宋_GB2312" w:eastAsia="仿宋_GB2312"/>
          <w:szCs w:val="28"/>
          <w:lang w:val="en-US"/>
        </w:rPr>
        <w:t xml:space="preserve">年，新建、改建良种繁育基地2-3个，畜禽良种覆盖率达到 </w:t>
      </w:r>
      <w:r>
        <w:rPr>
          <w:rFonts w:hint="default" w:ascii="仿宋_GB2312" w:eastAsia="仿宋_GB2312"/>
          <w:szCs w:val="28"/>
          <w:lang w:val="en-US"/>
        </w:rPr>
        <w:t>98%</w:t>
      </w:r>
      <w:r>
        <w:rPr>
          <w:rFonts w:ascii="仿宋_GB2312" w:eastAsia="仿宋_GB2312"/>
          <w:szCs w:val="28"/>
          <w:lang w:val="en-US"/>
        </w:rPr>
        <w:t>。</w:t>
      </w:r>
      <w:bookmarkEnd w:id="604"/>
      <w:bookmarkEnd w:id="605"/>
    </w:p>
    <w:p>
      <w:pPr>
        <w:spacing w:before="156" w:beforeLines="50" w:line="360" w:lineRule="auto"/>
        <w:ind w:firstLine="602"/>
        <w:outlineLvl w:val="1"/>
        <w:rPr>
          <w:rFonts w:ascii="仿宋_GB2312" w:eastAsia="仿宋_GB2312"/>
          <w:b/>
          <w:sz w:val="30"/>
          <w:szCs w:val="30"/>
        </w:rPr>
      </w:pPr>
      <w:bookmarkStart w:id="609" w:name="_Toc14636"/>
      <w:r>
        <w:rPr>
          <w:rFonts w:ascii="仿宋_GB2312" w:eastAsia="仿宋_GB2312"/>
          <w:b/>
          <w:sz w:val="30"/>
          <w:szCs w:val="30"/>
        </w:rPr>
        <w:t>（二）</w:t>
      </w:r>
      <w:bookmarkEnd w:id="603"/>
      <w:bookmarkStart w:id="610" w:name="_Toc59656480"/>
      <w:r>
        <w:rPr>
          <w:rFonts w:ascii="仿宋_GB2312" w:eastAsia="仿宋_GB2312"/>
          <w:b/>
          <w:sz w:val="30"/>
          <w:szCs w:val="30"/>
        </w:rPr>
        <w:t>加快</w:t>
      </w:r>
      <w:r>
        <w:rPr>
          <w:rFonts w:ascii="仿宋_GB2312" w:eastAsia="仿宋_GB2312"/>
          <w:b/>
          <w:sz w:val="30"/>
          <w:szCs w:val="30"/>
          <w:lang w:val="en-US"/>
        </w:rPr>
        <w:t>种业</w:t>
      </w:r>
      <w:r>
        <w:rPr>
          <w:rFonts w:ascii="仿宋_GB2312" w:eastAsia="仿宋_GB2312"/>
          <w:b/>
          <w:sz w:val="30"/>
          <w:szCs w:val="30"/>
        </w:rPr>
        <w:t>自主创新和转化推广进程</w:t>
      </w:r>
      <w:bookmarkEnd w:id="606"/>
      <w:bookmarkEnd w:id="607"/>
      <w:bookmarkEnd w:id="608"/>
      <w:bookmarkEnd w:id="609"/>
      <w:bookmarkEnd w:id="610"/>
      <w:bookmarkStart w:id="611" w:name="_Toc59656481"/>
    </w:p>
    <w:p>
      <w:pPr>
        <w:spacing w:line="360" w:lineRule="auto"/>
        <w:ind w:firstLine="560"/>
        <w:outlineLvl w:val="1"/>
        <w:rPr>
          <w:rFonts w:ascii="仿宋_GB2312" w:eastAsia="仿宋_GB2312"/>
          <w:szCs w:val="28"/>
        </w:rPr>
      </w:pPr>
      <w:bookmarkStart w:id="612" w:name="_Toc22617"/>
      <w:bookmarkStart w:id="613" w:name="_Toc29894"/>
      <w:bookmarkStart w:id="614" w:name="_Toc11306"/>
      <w:bookmarkStart w:id="615" w:name="_Toc2561"/>
      <w:bookmarkStart w:id="616" w:name="_Toc825"/>
      <w:bookmarkStart w:id="617" w:name="_Toc10157"/>
      <w:bookmarkStart w:id="618" w:name="_Toc15011"/>
      <w:r>
        <w:rPr>
          <w:rFonts w:ascii="仿宋_GB2312" w:eastAsia="仿宋_GB2312"/>
          <w:szCs w:val="28"/>
        </w:rPr>
        <w:t>加大畜禽品种研发力度，开展畜禽良种联合攻关。挖掘国内外畜禽种质资源优势，加快自有新品种、新种质的培育、创制和工厂化生产能力，提升种业自主创新能力，提升核心种质资源自给率。加快推进畜禽品种选育提高和配套系培育和推广进程，畜禽生产力提高5%以上。</w:t>
      </w:r>
      <w:bookmarkEnd w:id="611"/>
      <w:bookmarkEnd w:id="612"/>
      <w:bookmarkEnd w:id="613"/>
      <w:bookmarkEnd w:id="614"/>
      <w:bookmarkEnd w:id="615"/>
      <w:bookmarkEnd w:id="616"/>
      <w:bookmarkEnd w:id="617"/>
      <w:bookmarkEnd w:id="618"/>
    </w:p>
    <w:p>
      <w:pPr>
        <w:spacing w:line="360" w:lineRule="auto"/>
        <w:ind w:firstLine="602"/>
        <w:outlineLvl w:val="1"/>
        <w:rPr>
          <w:rFonts w:ascii="仿宋_GB2312" w:eastAsia="仿宋_GB2312"/>
          <w:b/>
          <w:sz w:val="30"/>
          <w:szCs w:val="30"/>
        </w:rPr>
      </w:pPr>
      <w:bookmarkStart w:id="619" w:name="_Toc12247"/>
      <w:bookmarkStart w:id="620" w:name="_Toc59656482"/>
      <w:bookmarkStart w:id="621" w:name="_Toc20238"/>
      <w:bookmarkStart w:id="622" w:name="_Toc28020"/>
      <w:bookmarkStart w:id="623" w:name="_Toc176"/>
      <w:r>
        <w:rPr>
          <w:rFonts w:ascii="仿宋_GB2312" w:eastAsia="仿宋_GB2312"/>
          <w:b/>
          <w:sz w:val="30"/>
          <w:szCs w:val="30"/>
        </w:rPr>
        <w:t>（</w:t>
      </w:r>
      <w:r>
        <w:rPr>
          <w:rFonts w:ascii="仿宋_GB2312" w:eastAsia="仿宋_GB2312"/>
          <w:b/>
          <w:sz w:val="30"/>
          <w:szCs w:val="30"/>
          <w:lang w:val="en-US"/>
        </w:rPr>
        <w:t>三</w:t>
      </w:r>
      <w:r>
        <w:rPr>
          <w:rFonts w:ascii="仿宋_GB2312" w:eastAsia="仿宋_GB2312"/>
          <w:b/>
          <w:sz w:val="30"/>
          <w:szCs w:val="30"/>
        </w:rPr>
        <w:t>）推进优势特色畜禽种业发展</w:t>
      </w:r>
      <w:bookmarkEnd w:id="619"/>
      <w:bookmarkEnd w:id="620"/>
      <w:bookmarkEnd w:id="621"/>
      <w:bookmarkEnd w:id="622"/>
      <w:bookmarkEnd w:id="623"/>
      <w:bookmarkStart w:id="624" w:name="_Toc59656483"/>
    </w:p>
    <w:p>
      <w:pPr>
        <w:spacing w:line="360" w:lineRule="auto"/>
        <w:ind w:firstLine="560"/>
        <w:outlineLvl w:val="1"/>
        <w:rPr>
          <w:rFonts w:ascii="仿宋_GB2312" w:eastAsia="仿宋_GB2312"/>
          <w:szCs w:val="28"/>
        </w:rPr>
      </w:pPr>
      <w:bookmarkStart w:id="625" w:name="_Toc10414"/>
      <w:bookmarkStart w:id="626" w:name="_Toc23396"/>
      <w:bookmarkStart w:id="627" w:name="_Toc14627"/>
      <w:bookmarkStart w:id="628" w:name="_Toc2761"/>
      <w:bookmarkStart w:id="629" w:name="_Toc11020"/>
      <w:bookmarkStart w:id="630" w:name="_Toc16610"/>
      <w:bookmarkStart w:id="631" w:name="_Toc22769"/>
      <w:r>
        <w:rPr>
          <w:rFonts w:ascii="仿宋_GB2312" w:eastAsia="仿宋_GB2312"/>
          <w:szCs w:val="28"/>
        </w:rPr>
        <w:t>支持发展</w:t>
      </w:r>
      <w:r>
        <w:rPr>
          <w:rFonts w:hint="eastAsia" w:ascii="仿宋_GB2312" w:eastAsia="仿宋_GB2312"/>
          <w:szCs w:val="28"/>
        </w:rPr>
        <w:t>优势特色主导产业</w:t>
      </w:r>
      <w:r>
        <w:rPr>
          <w:rFonts w:hint="eastAsia" w:ascii="仿宋_GB2312" w:eastAsia="仿宋_GB2312"/>
          <w:szCs w:val="28"/>
          <w:lang w:val="en-US" w:eastAsia="zh-CN"/>
        </w:rPr>
        <w:t>如蛋禽、</w:t>
      </w:r>
      <w:r>
        <w:rPr>
          <w:rFonts w:ascii="仿宋_GB2312" w:eastAsia="仿宋_GB2312"/>
          <w:szCs w:val="28"/>
          <w:lang w:val="en-US"/>
        </w:rPr>
        <w:t>肉鹅</w:t>
      </w:r>
      <w:r>
        <w:rPr>
          <w:rFonts w:ascii="仿宋_GB2312" w:eastAsia="仿宋_GB2312"/>
          <w:szCs w:val="28"/>
        </w:rPr>
        <w:t>、肉</w:t>
      </w:r>
      <w:r>
        <w:rPr>
          <w:rFonts w:ascii="仿宋_GB2312" w:eastAsia="仿宋_GB2312"/>
          <w:szCs w:val="28"/>
          <w:lang w:val="en-US"/>
        </w:rPr>
        <w:t>兔</w:t>
      </w:r>
      <w:r>
        <w:rPr>
          <w:rFonts w:ascii="仿宋_GB2312" w:eastAsia="仿宋_GB2312"/>
          <w:szCs w:val="28"/>
        </w:rPr>
        <w:t>和蜜蜂等特色畜禽规模养殖，扩大种质资源群体，进行品种优选提高，逐步建立种质资源核心群，加快推进优势特色畜禽种业发展。“十四五”期间，特色畜禽产业产值增加10%，特色畜产品明显增加。</w:t>
      </w:r>
      <w:bookmarkEnd w:id="624"/>
      <w:bookmarkEnd w:id="625"/>
      <w:bookmarkEnd w:id="626"/>
      <w:bookmarkEnd w:id="627"/>
      <w:bookmarkEnd w:id="628"/>
      <w:bookmarkEnd w:id="629"/>
      <w:bookmarkEnd w:id="630"/>
      <w:bookmarkEnd w:id="631"/>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632" w:name="_Toc20543"/>
      <w:bookmarkStart w:id="633" w:name="_Toc59656484"/>
      <w:bookmarkStart w:id="634" w:name="_Toc26734"/>
      <w:bookmarkStart w:id="635" w:name="_Toc25470"/>
      <w:bookmarkStart w:id="636" w:name="_Toc16548"/>
      <w:r>
        <w:rPr>
          <w:rFonts w:hint="eastAsia" w:ascii="黑体" w:hAnsi="黑体" w:eastAsia="黑体"/>
          <w:b w:val="0"/>
          <w:bCs w:val="0"/>
          <w:sz w:val="30"/>
          <w:szCs w:val="30"/>
        </w:rPr>
        <w:t>二、加快构建现代畜禽养殖体系</w:t>
      </w:r>
      <w:bookmarkEnd w:id="632"/>
      <w:bookmarkEnd w:id="633"/>
      <w:bookmarkEnd w:id="634"/>
      <w:bookmarkEnd w:id="635"/>
      <w:bookmarkEnd w:id="636"/>
    </w:p>
    <w:p>
      <w:pPr>
        <w:spacing w:line="360" w:lineRule="auto"/>
        <w:ind w:firstLine="602"/>
        <w:outlineLvl w:val="1"/>
        <w:rPr>
          <w:rFonts w:ascii="仿宋_GB2312" w:eastAsia="仿宋_GB2312"/>
          <w:b/>
          <w:sz w:val="30"/>
          <w:szCs w:val="30"/>
        </w:rPr>
      </w:pPr>
      <w:bookmarkStart w:id="637" w:name="_Toc59656485"/>
      <w:bookmarkStart w:id="638" w:name="_Toc9460"/>
      <w:bookmarkStart w:id="639" w:name="_Toc17248"/>
      <w:bookmarkStart w:id="640" w:name="_Toc1862"/>
      <w:bookmarkStart w:id="641" w:name="_Toc13098"/>
      <w:r>
        <w:rPr>
          <w:rFonts w:ascii="仿宋_GB2312" w:eastAsia="仿宋_GB2312"/>
          <w:b/>
          <w:sz w:val="30"/>
          <w:szCs w:val="30"/>
        </w:rPr>
        <w:t>（一）持续推进标准化</w:t>
      </w:r>
      <w:bookmarkEnd w:id="637"/>
      <w:bookmarkStart w:id="642" w:name="_Toc59656486"/>
      <w:r>
        <w:rPr>
          <w:rFonts w:ascii="仿宋_GB2312" w:eastAsia="仿宋_GB2312"/>
          <w:b/>
          <w:sz w:val="30"/>
          <w:szCs w:val="30"/>
          <w:lang w:val="en-US"/>
        </w:rPr>
        <w:t>示范基地</w:t>
      </w:r>
      <w:r>
        <w:rPr>
          <w:rFonts w:ascii="仿宋_GB2312" w:eastAsia="仿宋_GB2312"/>
          <w:b/>
          <w:sz w:val="30"/>
          <w:szCs w:val="30"/>
        </w:rPr>
        <w:t>建设</w:t>
      </w:r>
      <w:bookmarkEnd w:id="638"/>
      <w:bookmarkEnd w:id="639"/>
      <w:bookmarkEnd w:id="640"/>
      <w:bookmarkEnd w:id="641"/>
    </w:p>
    <w:p>
      <w:pPr>
        <w:spacing w:line="360" w:lineRule="auto"/>
        <w:ind w:firstLine="560"/>
        <w:outlineLvl w:val="1"/>
        <w:rPr>
          <w:rFonts w:ascii="仿宋_GB2312" w:eastAsia="仿宋_GB2312"/>
          <w:szCs w:val="28"/>
        </w:rPr>
      </w:pPr>
      <w:bookmarkStart w:id="643" w:name="_Toc11102"/>
      <w:bookmarkStart w:id="644" w:name="_Toc3151"/>
      <w:bookmarkStart w:id="645" w:name="_Toc19408"/>
      <w:bookmarkStart w:id="646" w:name="_Toc26403"/>
      <w:bookmarkStart w:id="647" w:name="_Toc25701"/>
      <w:bookmarkStart w:id="648" w:name="_Toc3290"/>
      <w:bookmarkStart w:id="649" w:name="_Toc12740"/>
      <w:r>
        <w:rPr>
          <w:rFonts w:eastAsia="仿宋"/>
          <w:szCs w:val="28"/>
        </w:rPr>
        <w:t>针对当前畜牧生产中出现的新形势新情况，完善畜禽标准化饲养管理规程，重点突出养殖场环境控制、废弃物资源化利用和生物安全水平提升。深入开展畜禽养殖标准化示范创建，大力推进全县优质畜产品标准化示范基地建设，指导养殖场升级改造和规范管理，优化建立从选址、畜舍建设、环境监测到种畜、投入品管理、饲养、防疫、质量管控等全过程标准体系，指导养殖场开展标准化生产改造和设施装备提升。鼓励利用村集体土地集中建设除生猪以外的农户散养畜禽集中养殖小区，实行畜禽生态养殖和废弃物统一处理利用。支持龙头企业开展村企合作，统一规划建设标准化畜禽栏舍，统一饲养技术规范、动物疫病防控和粪污处理利用措施，建设高效安全、绿色环保的标准化集中养殖小区。</w:t>
      </w:r>
      <w:r>
        <w:rPr>
          <w:rFonts w:ascii="仿宋_GB2312" w:eastAsia="仿宋_GB2312"/>
          <w:szCs w:val="28"/>
        </w:rPr>
        <w:t>到2025年， 完成存栏500-5000头的规模化生猪养殖场提标改造，达到全场零排放、全量资源化利用的标准。全县规模养殖场基本实现按标生产，累计创建省级标准化畜禽养殖示范场</w:t>
      </w:r>
      <w:r>
        <w:rPr>
          <w:rFonts w:ascii="仿宋_GB2312" w:eastAsia="仿宋_GB2312"/>
          <w:szCs w:val="28"/>
          <w:lang w:val="en-US"/>
        </w:rPr>
        <w:t>1-3</w:t>
      </w:r>
      <w:r>
        <w:rPr>
          <w:rFonts w:ascii="仿宋_GB2312" w:eastAsia="仿宋_GB2312"/>
          <w:szCs w:val="28"/>
        </w:rPr>
        <w:t>家。</w:t>
      </w:r>
      <w:bookmarkEnd w:id="643"/>
      <w:bookmarkEnd w:id="644"/>
      <w:bookmarkEnd w:id="645"/>
      <w:bookmarkEnd w:id="646"/>
      <w:bookmarkEnd w:id="647"/>
      <w:bookmarkEnd w:id="648"/>
      <w:bookmarkEnd w:id="649"/>
    </w:p>
    <w:bookmarkEnd w:id="642"/>
    <w:p>
      <w:pPr>
        <w:spacing w:line="360" w:lineRule="auto"/>
        <w:ind w:firstLine="602"/>
        <w:outlineLvl w:val="1"/>
        <w:rPr>
          <w:rFonts w:ascii="仿宋_GB2312" w:eastAsia="仿宋_GB2312"/>
          <w:b/>
          <w:sz w:val="30"/>
          <w:szCs w:val="30"/>
        </w:rPr>
      </w:pPr>
      <w:bookmarkStart w:id="650" w:name="_Toc19693"/>
      <w:bookmarkStart w:id="651" w:name="_Toc7693"/>
      <w:bookmarkStart w:id="652" w:name="_Toc23779"/>
      <w:bookmarkStart w:id="653" w:name="_Toc59656487"/>
      <w:bookmarkStart w:id="654" w:name="_Toc21158"/>
      <w:r>
        <w:rPr>
          <w:rFonts w:ascii="仿宋_GB2312" w:eastAsia="仿宋_GB2312"/>
          <w:b/>
          <w:sz w:val="30"/>
          <w:szCs w:val="30"/>
        </w:rPr>
        <w:t>（二）着力推进规模化经营</w:t>
      </w:r>
      <w:bookmarkEnd w:id="650"/>
      <w:bookmarkEnd w:id="651"/>
      <w:bookmarkEnd w:id="652"/>
      <w:bookmarkEnd w:id="653"/>
      <w:bookmarkEnd w:id="654"/>
      <w:bookmarkStart w:id="655" w:name="_Toc59656488"/>
    </w:p>
    <w:p>
      <w:pPr>
        <w:spacing w:line="360" w:lineRule="auto"/>
        <w:ind w:firstLine="560"/>
        <w:outlineLvl w:val="1"/>
        <w:rPr>
          <w:rFonts w:ascii="仿宋_GB2312" w:eastAsia="仿宋_GB2312"/>
          <w:szCs w:val="28"/>
        </w:rPr>
      </w:pPr>
      <w:bookmarkStart w:id="656" w:name="_Toc10351"/>
      <w:bookmarkStart w:id="657" w:name="_Toc22994"/>
      <w:bookmarkStart w:id="658" w:name="_Toc17132"/>
      <w:bookmarkStart w:id="659" w:name="_Toc2752"/>
      <w:bookmarkStart w:id="660" w:name="_Toc22311"/>
      <w:bookmarkStart w:id="661" w:name="_Toc20501"/>
      <w:bookmarkStart w:id="662" w:name="_Toc5632"/>
      <w:r>
        <w:rPr>
          <w:rFonts w:ascii="仿宋_GB2312" w:eastAsia="仿宋_GB2312"/>
          <w:szCs w:val="28"/>
        </w:rPr>
        <w:t>通过“改、扩、转、退”等多措并举，推进经营规模化；逐步构建以大型养殖场为引领、适度规模养殖为主体、农牧结合型家庭农场为补充的标准化生产体系，增强产业综合生产能力。至2025年，全县生猪规模养殖场保持</w:t>
      </w:r>
      <w:r>
        <w:rPr>
          <w:rFonts w:ascii="仿宋_GB2312" w:eastAsia="仿宋_GB2312"/>
          <w:szCs w:val="28"/>
          <w:lang w:val="en-US"/>
        </w:rPr>
        <w:t>10</w:t>
      </w:r>
      <w:r>
        <w:rPr>
          <w:rFonts w:ascii="仿宋_GB2312" w:eastAsia="仿宋_GB2312"/>
          <w:szCs w:val="28"/>
        </w:rPr>
        <w:t>家</w:t>
      </w:r>
      <w:r>
        <w:rPr>
          <w:rFonts w:ascii="仿宋_GB2312" w:eastAsia="仿宋_GB2312"/>
          <w:szCs w:val="28"/>
          <w:lang w:val="en-US"/>
        </w:rPr>
        <w:t>以内，存栏1000头以上规模化奶牛场2-4家</w:t>
      </w:r>
      <w:r>
        <w:rPr>
          <w:rFonts w:ascii="仿宋_GB2312" w:eastAsia="仿宋_GB2312"/>
          <w:szCs w:val="28"/>
        </w:rPr>
        <w:t>。</w:t>
      </w:r>
      <w:bookmarkEnd w:id="656"/>
      <w:bookmarkEnd w:id="657"/>
      <w:bookmarkEnd w:id="658"/>
      <w:bookmarkEnd w:id="659"/>
      <w:bookmarkEnd w:id="660"/>
      <w:bookmarkEnd w:id="661"/>
      <w:bookmarkEnd w:id="662"/>
    </w:p>
    <w:bookmarkEnd w:id="655"/>
    <w:p>
      <w:pPr>
        <w:spacing w:line="360" w:lineRule="auto"/>
        <w:ind w:firstLine="602"/>
        <w:outlineLvl w:val="1"/>
        <w:rPr>
          <w:rFonts w:ascii="仿宋_GB2312" w:eastAsia="仿宋_GB2312"/>
          <w:b/>
          <w:sz w:val="30"/>
          <w:szCs w:val="30"/>
        </w:rPr>
      </w:pPr>
      <w:bookmarkStart w:id="663" w:name="_Toc1904"/>
      <w:bookmarkStart w:id="664" w:name="_Toc15398"/>
      <w:bookmarkStart w:id="665" w:name="_Toc59656489"/>
      <w:bookmarkStart w:id="666" w:name="_Toc25871"/>
      <w:bookmarkStart w:id="667" w:name="_Toc14667"/>
      <w:r>
        <w:rPr>
          <w:rFonts w:ascii="仿宋_GB2312" w:eastAsia="仿宋_GB2312"/>
          <w:b/>
          <w:sz w:val="30"/>
          <w:szCs w:val="30"/>
        </w:rPr>
        <w:t>（三）积极推广设施化养殖</w:t>
      </w:r>
      <w:bookmarkEnd w:id="663"/>
      <w:bookmarkEnd w:id="664"/>
      <w:bookmarkEnd w:id="665"/>
      <w:bookmarkEnd w:id="666"/>
      <w:bookmarkEnd w:id="667"/>
      <w:bookmarkStart w:id="668" w:name="_Toc59656490"/>
    </w:p>
    <w:p>
      <w:pPr>
        <w:spacing w:line="360" w:lineRule="auto"/>
        <w:ind w:firstLine="560"/>
        <w:outlineLvl w:val="1"/>
        <w:rPr>
          <w:rFonts w:ascii="仿宋_GB2312" w:eastAsia="仿宋_GB2312"/>
          <w:szCs w:val="28"/>
        </w:rPr>
      </w:pPr>
      <w:bookmarkStart w:id="669" w:name="_Toc12965"/>
      <w:bookmarkStart w:id="670" w:name="_Toc32347"/>
      <w:bookmarkStart w:id="671" w:name="_Toc12276"/>
      <w:bookmarkStart w:id="672" w:name="_Toc15836"/>
      <w:bookmarkStart w:id="673" w:name="_Toc6619"/>
      <w:bookmarkStart w:id="674" w:name="_Toc31351"/>
      <w:bookmarkStart w:id="675" w:name="_Toc5271"/>
      <w:r>
        <w:rPr>
          <w:rFonts w:ascii="仿宋_GB2312" w:eastAsia="仿宋_GB2312"/>
          <w:szCs w:val="28"/>
        </w:rPr>
        <w:t>在符合相关规划、建设安全和生物防疫等方面要求的前提下，积极在新建规模化</w:t>
      </w:r>
      <w:r>
        <w:rPr>
          <w:rFonts w:ascii="仿宋_GB2312" w:eastAsia="仿宋_GB2312"/>
          <w:szCs w:val="28"/>
          <w:lang w:val="en-US"/>
        </w:rPr>
        <w:t>奶牛</w:t>
      </w:r>
      <w:r>
        <w:rPr>
          <w:rFonts w:ascii="仿宋_GB2312" w:eastAsia="仿宋_GB2312"/>
          <w:szCs w:val="28"/>
        </w:rPr>
        <w:t>场实现</w:t>
      </w:r>
      <w:r>
        <w:rPr>
          <w:rFonts w:ascii="仿宋_GB2312" w:eastAsia="仿宋_GB2312"/>
          <w:szCs w:val="28"/>
          <w:lang w:val="en-US"/>
        </w:rPr>
        <w:t>智能</w:t>
      </w:r>
      <w:r>
        <w:rPr>
          <w:rFonts w:ascii="仿宋_GB2312" w:eastAsia="仿宋_GB2312"/>
          <w:szCs w:val="28"/>
        </w:rPr>
        <w:t>化、标准化、设施化、自动化、集约化养殖模式。支持家禽养殖经营主体利用现有场地进行立体笼养改建扩产，示范推广</w:t>
      </w:r>
      <w:r>
        <w:rPr>
          <w:rFonts w:ascii="仿宋_GB2312" w:eastAsia="仿宋_GB2312"/>
          <w:szCs w:val="28"/>
          <w:lang w:val="en-US"/>
        </w:rPr>
        <w:t>规模化</w:t>
      </w:r>
      <w:r>
        <w:rPr>
          <w:rFonts w:ascii="仿宋_GB2312" w:eastAsia="仿宋_GB2312"/>
          <w:szCs w:val="28"/>
        </w:rPr>
        <w:t>蛋鸡和肉鸡养殖模式。大幅度提高畜禽养殖土地利用率、劳动生产率。</w:t>
      </w:r>
      <w:bookmarkEnd w:id="668"/>
      <w:r>
        <w:rPr>
          <w:rFonts w:ascii="仿宋_GB2312" w:eastAsia="仿宋_GB2312"/>
          <w:szCs w:val="28"/>
        </w:rPr>
        <w:t>加强养殖全程机械化技术指导和新装备推广，推进养殖设施化、装备集成化。到2025年，创建</w:t>
      </w:r>
      <w:r>
        <w:rPr>
          <w:rFonts w:ascii="仿宋_GB2312" w:eastAsia="仿宋_GB2312"/>
          <w:szCs w:val="28"/>
          <w:lang w:val="en-US"/>
        </w:rPr>
        <w:t>县</w:t>
      </w:r>
      <w:r>
        <w:rPr>
          <w:rFonts w:ascii="仿宋_GB2312" w:eastAsia="仿宋_GB2312"/>
          <w:szCs w:val="28"/>
        </w:rPr>
        <w:t>级畜禽养殖全程机械化示范场</w:t>
      </w:r>
      <w:r>
        <w:rPr>
          <w:rFonts w:ascii="仿宋_GB2312" w:eastAsia="仿宋_GB2312"/>
          <w:szCs w:val="28"/>
          <w:lang w:val="en-US"/>
        </w:rPr>
        <w:t>1</w:t>
      </w:r>
      <w:r>
        <w:rPr>
          <w:rFonts w:ascii="仿宋_GB2312" w:eastAsia="仿宋_GB2312"/>
          <w:szCs w:val="28"/>
        </w:rPr>
        <w:t>个以上。</w:t>
      </w:r>
      <w:bookmarkEnd w:id="669"/>
      <w:bookmarkEnd w:id="670"/>
      <w:bookmarkEnd w:id="671"/>
      <w:bookmarkEnd w:id="672"/>
      <w:bookmarkEnd w:id="673"/>
      <w:bookmarkEnd w:id="674"/>
      <w:bookmarkEnd w:id="675"/>
    </w:p>
    <w:p>
      <w:pPr>
        <w:spacing w:line="360" w:lineRule="auto"/>
        <w:ind w:firstLine="590" w:firstLineChars="196"/>
        <w:outlineLvl w:val="1"/>
        <w:rPr>
          <w:rFonts w:ascii="仿宋_GB2312" w:eastAsia="仿宋_GB2312"/>
          <w:b/>
          <w:sz w:val="30"/>
          <w:szCs w:val="30"/>
        </w:rPr>
      </w:pPr>
      <w:bookmarkStart w:id="676" w:name="_Toc23690"/>
      <w:bookmarkStart w:id="677" w:name="_Toc518"/>
      <w:bookmarkStart w:id="678" w:name="_Toc12544"/>
      <w:bookmarkStart w:id="679" w:name="_Toc59656491"/>
      <w:bookmarkStart w:id="680" w:name="_Toc25062"/>
      <w:r>
        <w:rPr>
          <w:rFonts w:ascii="仿宋_GB2312" w:eastAsia="仿宋_GB2312"/>
          <w:b/>
          <w:sz w:val="30"/>
          <w:szCs w:val="30"/>
        </w:rPr>
        <w:t>（四）着力打造信息化管理</w:t>
      </w:r>
      <w:bookmarkEnd w:id="676"/>
      <w:bookmarkEnd w:id="677"/>
      <w:bookmarkEnd w:id="678"/>
      <w:bookmarkEnd w:id="679"/>
      <w:bookmarkEnd w:id="680"/>
      <w:bookmarkStart w:id="681" w:name="_Toc59656492"/>
    </w:p>
    <w:p>
      <w:pPr>
        <w:spacing w:line="360" w:lineRule="auto"/>
        <w:ind w:firstLine="548" w:firstLineChars="196"/>
        <w:outlineLvl w:val="1"/>
        <w:rPr>
          <w:rFonts w:ascii="仿宋_GB2312" w:eastAsia="仿宋_GB2312"/>
          <w:szCs w:val="28"/>
        </w:rPr>
      </w:pPr>
      <w:bookmarkStart w:id="682" w:name="_Toc13349"/>
      <w:bookmarkStart w:id="683" w:name="_Toc2465"/>
      <w:bookmarkStart w:id="684" w:name="_Toc305"/>
      <w:bookmarkStart w:id="685" w:name="_Toc9012"/>
      <w:bookmarkStart w:id="686" w:name="_Toc17725"/>
      <w:bookmarkStart w:id="687" w:name="_Toc30346"/>
      <w:bookmarkStart w:id="688" w:name="_Toc25928"/>
      <w:r>
        <w:rPr>
          <w:rFonts w:ascii="仿宋_GB2312" w:eastAsia="仿宋_GB2312"/>
          <w:szCs w:val="28"/>
        </w:rPr>
        <w:t>建设完善现代养殖智能系统，建立畜牧产业发展、畜禽市场行情、疫病防控应急处理与远程诊疗等服务平台，完善畜禽产品追溯质量安全系统、畜禽屠宰加工监控系统、产品交易网上市场、重点规模养殖企业网络监控系统。明一集团</w:t>
      </w:r>
      <w:r>
        <w:rPr>
          <w:rFonts w:ascii="仿宋_GB2312" w:eastAsia="仿宋_GB2312"/>
          <w:szCs w:val="28"/>
          <w:lang w:val="en-US"/>
        </w:rPr>
        <w:t>开展国家数字畜牧业创新应用基地建设，打造奶牛养殖数字农业标准化示范样板，带动全县畜禽养殖业数字化、绿色化发展。</w:t>
      </w:r>
      <w:r>
        <w:rPr>
          <w:rFonts w:ascii="仿宋_GB2312" w:eastAsia="仿宋_GB2312"/>
          <w:szCs w:val="28"/>
        </w:rPr>
        <w:t>积极推进生猪智能养殖，引</w:t>
      </w:r>
      <w:r>
        <w:rPr>
          <w:rFonts w:ascii="仿宋_GB2312" w:eastAsia="仿宋_GB2312"/>
          <w:szCs w:val="28"/>
          <w:lang w:val="en-US"/>
        </w:rPr>
        <w:t>进</w:t>
      </w:r>
      <w:r>
        <w:rPr>
          <w:rFonts w:ascii="仿宋_GB2312" w:eastAsia="仿宋_GB2312"/>
          <w:szCs w:val="28"/>
        </w:rPr>
        <w:t>智能饲喂系统，实现精确饲喂，降低料肉比；引入猪脸识别技术，提高饲养效率，实现精准管理。</w:t>
      </w:r>
      <w:bookmarkEnd w:id="681"/>
      <w:r>
        <w:rPr>
          <w:rFonts w:ascii="仿宋_GB2312" w:eastAsia="仿宋_GB2312"/>
          <w:szCs w:val="28"/>
        </w:rPr>
        <w:t>加强大数据、人工智能、云计算、物联网、移动互联网等技术应用，推进畜禽养殖档案电子化。全面提升畜牧业机械化、信息化、智能化水平，争取创建一批智慧型智能化养殖场，打造智慧型数字畜牧业。到2025年，创建</w:t>
      </w:r>
      <w:r>
        <w:rPr>
          <w:rFonts w:ascii="仿宋_GB2312" w:eastAsia="仿宋_GB2312"/>
          <w:szCs w:val="28"/>
          <w:lang w:val="en-US"/>
        </w:rPr>
        <w:t>县</w:t>
      </w:r>
      <w:r>
        <w:rPr>
          <w:rFonts w:ascii="仿宋_GB2312" w:eastAsia="仿宋_GB2312"/>
          <w:szCs w:val="28"/>
        </w:rPr>
        <w:t>级智慧养殖示范场</w:t>
      </w:r>
      <w:r>
        <w:rPr>
          <w:rFonts w:ascii="仿宋_GB2312" w:eastAsia="仿宋_GB2312"/>
          <w:szCs w:val="28"/>
          <w:lang w:val="en-US"/>
        </w:rPr>
        <w:t>1</w:t>
      </w:r>
      <w:r>
        <w:rPr>
          <w:rFonts w:ascii="仿宋_GB2312" w:eastAsia="仿宋_GB2312"/>
          <w:szCs w:val="28"/>
        </w:rPr>
        <w:t>个以上。</w:t>
      </w:r>
      <w:bookmarkEnd w:id="682"/>
      <w:bookmarkEnd w:id="683"/>
      <w:bookmarkEnd w:id="684"/>
      <w:bookmarkEnd w:id="685"/>
      <w:bookmarkEnd w:id="686"/>
      <w:bookmarkEnd w:id="687"/>
      <w:bookmarkEnd w:id="688"/>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689" w:name="_Toc59656495"/>
      <w:bookmarkStart w:id="690" w:name="_Toc6642"/>
      <w:bookmarkStart w:id="691" w:name="_Toc23860"/>
      <w:bookmarkStart w:id="692" w:name="_Toc9351"/>
      <w:r>
        <w:rPr>
          <w:rFonts w:hint="eastAsia" w:ascii="黑体" w:hAnsi="黑体" w:eastAsia="黑体"/>
          <w:b w:val="0"/>
          <w:bCs w:val="0"/>
          <w:sz w:val="30"/>
          <w:szCs w:val="30"/>
        </w:rPr>
        <w:t>三、</w:t>
      </w:r>
      <w:bookmarkEnd w:id="689"/>
      <w:r>
        <w:rPr>
          <w:rFonts w:hint="eastAsia" w:ascii="黑体" w:hAnsi="黑体" w:eastAsia="黑体"/>
          <w:b w:val="0"/>
          <w:bCs w:val="0"/>
          <w:sz w:val="30"/>
          <w:szCs w:val="30"/>
        </w:rPr>
        <w:t>着力打造绿色型畜牧业</w:t>
      </w:r>
      <w:bookmarkEnd w:id="690"/>
      <w:bookmarkEnd w:id="691"/>
      <w:bookmarkEnd w:id="692"/>
    </w:p>
    <w:p>
      <w:pPr>
        <w:widowControl/>
        <w:shd w:val="clear" w:color="auto" w:fill="FFFFFF"/>
        <w:spacing w:line="540" w:lineRule="exact"/>
        <w:ind w:firstLine="602"/>
        <w:rPr>
          <w:rFonts w:ascii="仿宋_GB2312" w:eastAsia="仿宋_GB2312"/>
          <w:b/>
          <w:sz w:val="30"/>
          <w:szCs w:val="30"/>
        </w:rPr>
      </w:pPr>
      <w:r>
        <w:rPr>
          <w:rFonts w:ascii="仿宋_GB2312" w:eastAsia="仿宋_GB2312"/>
          <w:b/>
          <w:sz w:val="30"/>
          <w:szCs w:val="30"/>
        </w:rPr>
        <w:t>（</w:t>
      </w:r>
      <w:r>
        <w:rPr>
          <w:rFonts w:ascii="仿宋_GB2312" w:eastAsia="仿宋_GB2312"/>
          <w:b/>
          <w:sz w:val="30"/>
          <w:szCs w:val="30"/>
          <w:lang w:val="en-US"/>
        </w:rPr>
        <w:t>一）</w:t>
      </w:r>
      <w:r>
        <w:rPr>
          <w:rFonts w:ascii="仿宋_GB2312" w:eastAsia="仿宋_GB2312"/>
          <w:b/>
          <w:sz w:val="30"/>
          <w:szCs w:val="30"/>
        </w:rPr>
        <w:t>加强畜禽屠宰行业管理</w:t>
      </w:r>
    </w:p>
    <w:p>
      <w:pPr>
        <w:spacing w:line="360" w:lineRule="auto"/>
        <w:ind w:firstLine="548" w:firstLineChars="196"/>
        <w:outlineLvl w:val="1"/>
        <w:rPr>
          <w:rFonts w:ascii="仿宋_GB2312" w:eastAsia="仿宋_GB2312"/>
          <w:szCs w:val="28"/>
        </w:rPr>
      </w:pPr>
      <w:bookmarkStart w:id="693" w:name="_Toc14120"/>
      <w:bookmarkStart w:id="694" w:name="_Toc20361"/>
      <w:bookmarkStart w:id="695" w:name="_Toc26303"/>
      <w:bookmarkStart w:id="696" w:name="_Toc22419"/>
      <w:bookmarkStart w:id="697" w:name="_Toc2198"/>
      <w:bookmarkStart w:id="698" w:name="_Toc29167"/>
      <w:r>
        <w:rPr>
          <w:rFonts w:ascii="仿宋_GB2312" w:eastAsia="仿宋_GB2312"/>
          <w:szCs w:val="28"/>
        </w:rPr>
        <w:t>坚持以工厂化屠宰、品牌化经营、冷链化储运、冰鲜化上市、规范化管理为重点，推进管理制度规范、屠宰标准化生产、质量安全可控，着力提高畜禽屠宰行业水平。</w:t>
      </w:r>
      <w:r>
        <w:rPr>
          <w:rFonts w:hint="eastAsia" w:ascii="仿宋_GB2312" w:eastAsia="仿宋_GB2312"/>
          <w:szCs w:val="28"/>
          <w:lang w:val="en-US" w:eastAsia="zh-CN"/>
        </w:rPr>
        <w:t>开展</w:t>
      </w:r>
      <w:r>
        <w:rPr>
          <w:rFonts w:ascii="仿宋_GB2312" w:eastAsia="仿宋_GB2312"/>
          <w:szCs w:val="28"/>
        </w:rPr>
        <w:t>城区屠宰场升级改造及其标准化建设</w:t>
      </w:r>
      <w:r>
        <w:rPr>
          <w:rFonts w:hint="eastAsia" w:ascii="仿宋_GB2312" w:eastAsia="仿宋_GB2312"/>
          <w:szCs w:val="28"/>
          <w:lang w:eastAsia="zh-CN"/>
        </w:rPr>
        <w:t>，</w:t>
      </w:r>
      <w:r>
        <w:rPr>
          <w:rFonts w:ascii="仿宋_GB2312" w:eastAsia="仿宋_GB2312"/>
          <w:szCs w:val="28"/>
        </w:rPr>
        <w:t>对</w:t>
      </w:r>
      <w:r>
        <w:rPr>
          <w:rFonts w:hint="eastAsia" w:ascii="仿宋_GB2312" w:eastAsia="仿宋_GB2312"/>
          <w:szCs w:val="28"/>
          <w:lang w:val="en-US" w:eastAsia="zh-CN"/>
        </w:rPr>
        <w:t>现有的</w:t>
      </w:r>
      <w:r>
        <w:rPr>
          <w:rFonts w:ascii="仿宋_GB2312" w:eastAsia="仿宋_GB2312"/>
          <w:szCs w:val="28"/>
        </w:rPr>
        <w:t>屠宰场，进行升级改造和标准化建设</w:t>
      </w:r>
      <w:r>
        <w:rPr>
          <w:rFonts w:hint="eastAsia" w:ascii="仿宋_GB2312" w:eastAsia="仿宋_GB2312"/>
          <w:szCs w:val="28"/>
          <w:lang w:eastAsia="zh-CN"/>
        </w:rPr>
        <w:t>。</w:t>
      </w:r>
      <w:r>
        <w:rPr>
          <w:rFonts w:ascii="仿宋_GB2312" w:eastAsia="仿宋_GB2312"/>
          <w:szCs w:val="28"/>
        </w:rPr>
        <w:t>积极开展屠宰企业环境治理，倡导清洁生产、节能减排和资源综合利用，完善废水废气废弃物处理设施，加强技术改造升级，促进行业绿色发展。完善屠宰信息化监管系统建设，全面实现屠宰关键环节实时监控和质量安全追溯。推进屠宰企业诚信管理体系建设，切实做好屠宰环节质量安全事件应急处置。</w:t>
      </w:r>
      <w:bookmarkEnd w:id="693"/>
      <w:bookmarkEnd w:id="694"/>
      <w:bookmarkEnd w:id="695"/>
      <w:bookmarkEnd w:id="696"/>
      <w:r>
        <w:rPr>
          <w:rFonts w:ascii="仿宋_GB2312" w:eastAsia="仿宋_GB2312"/>
          <w:szCs w:val="28"/>
        </w:rPr>
        <w:t>严查检疫合格证明和畜禽标识，严禁不合格生猪进入屠宰场。健全内部管理制度，完善相关台账记录，规范屠宰行为，对检疫不合格的按要求进行无害化处理，并做好进场和屠宰环节检测工作。在驻场人员监督屠宰场开展日常监管的同时，不定期对屠宰场的屠宰及驻场人员履职情况进行监督，确保屠宰及检疫工作顺利有序开展。</w:t>
      </w:r>
      <w:bookmarkEnd w:id="697"/>
      <w:bookmarkEnd w:id="698"/>
    </w:p>
    <w:p>
      <w:pPr>
        <w:spacing w:line="540" w:lineRule="exact"/>
        <w:ind w:firstLine="602"/>
        <w:rPr>
          <w:rFonts w:ascii="仿宋_GB2312" w:eastAsia="仿宋_GB2312"/>
          <w:b/>
          <w:sz w:val="30"/>
          <w:szCs w:val="30"/>
        </w:rPr>
      </w:pPr>
      <w:r>
        <w:rPr>
          <w:rFonts w:ascii="仿宋_GB2312" w:eastAsia="仿宋_GB2312"/>
          <w:b/>
          <w:sz w:val="30"/>
          <w:szCs w:val="30"/>
        </w:rPr>
        <w:t>（</w:t>
      </w:r>
      <w:r>
        <w:rPr>
          <w:rFonts w:ascii="仿宋_GB2312" w:eastAsia="仿宋_GB2312"/>
          <w:b/>
          <w:sz w:val="30"/>
          <w:szCs w:val="30"/>
          <w:lang w:val="en-US"/>
        </w:rPr>
        <w:t>二）</w:t>
      </w:r>
      <w:r>
        <w:rPr>
          <w:rFonts w:ascii="仿宋_GB2312" w:eastAsia="仿宋_GB2312"/>
          <w:b/>
          <w:sz w:val="30"/>
          <w:szCs w:val="30"/>
        </w:rPr>
        <w:t>健全料药可追溯管理体系</w:t>
      </w:r>
    </w:p>
    <w:p>
      <w:pPr>
        <w:spacing w:line="360" w:lineRule="auto"/>
        <w:ind w:firstLine="548" w:firstLineChars="196"/>
        <w:outlineLvl w:val="1"/>
        <w:rPr>
          <w:rFonts w:ascii="宋体" w:hAnsi="宋体"/>
          <w:szCs w:val="28"/>
        </w:rPr>
      </w:pPr>
      <w:bookmarkStart w:id="699" w:name="_Toc9535"/>
      <w:bookmarkStart w:id="700" w:name="_Toc26376"/>
      <w:bookmarkStart w:id="701" w:name="_Toc31360"/>
      <w:bookmarkStart w:id="702" w:name="_Toc30855"/>
      <w:bookmarkStart w:id="703" w:name="_Toc31787"/>
      <w:bookmarkStart w:id="704" w:name="_Toc18956"/>
      <w:r>
        <w:rPr>
          <w:rFonts w:ascii="仿宋_GB2312" w:eastAsia="仿宋_GB2312"/>
          <w:szCs w:val="28"/>
        </w:rPr>
        <w:t>深入开展兽用抗菌药专项整治活动，推进兽用抗菌药使用减量化行动，兽药经营环节全面实行“二维码”追溯监管。加强兽药、饲料使用环节的监督管理，规范养殖场养殖档案建立，开展畜牧投入品经营使用登记备案工作。组织开展兽药、饲料生产经营专项整治，重点查处无证经营或经营、使用违禁、假劣兽药、饲料等违法行为，强化畜牧投入品安全生产管理。实施《福建省饲料生产企业安全风险分级管控和隐患排查治理规范》，持续开展“瘦肉精”、兽药残留等专项整治，确保畜产品绿色安全。</w:t>
      </w:r>
      <w:bookmarkEnd w:id="699"/>
      <w:bookmarkEnd w:id="700"/>
      <w:bookmarkEnd w:id="701"/>
      <w:bookmarkEnd w:id="702"/>
      <w:bookmarkEnd w:id="703"/>
      <w:bookmarkEnd w:id="704"/>
    </w:p>
    <w:p>
      <w:pPr>
        <w:spacing w:line="540" w:lineRule="exact"/>
        <w:ind w:firstLine="602"/>
        <w:rPr>
          <w:rFonts w:ascii="仿宋_GB2312" w:eastAsia="仿宋_GB2312"/>
          <w:b/>
          <w:sz w:val="30"/>
          <w:szCs w:val="30"/>
        </w:rPr>
      </w:pPr>
      <w:r>
        <w:rPr>
          <w:rFonts w:ascii="仿宋_GB2312" w:eastAsia="仿宋_GB2312"/>
          <w:b/>
          <w:sz w:val="30"/>
          <w:szCs w:val="30"/>
        </w:rPr>
        <w:t>（</w:t>
      </w:r>
      <w:r>
        <w:rPr>
          <w:rFonts w:ascii="仿宋_GB2312" w:eastAsia="仿宋_GB2312"/>
          <w:b/>
          <w:sz w:val="30"/>
          <w:szCs w:val="30"/>
          <w:lang w:val="en-US"/>
        </w:rPr>
        <w:t>三）</w:t>
      </w:r>
      <w:r>
        <w:rPr>
          <w:rFonts w:ascii="仿宋_GB2312" w:eastAsia="仿宋_GB2312"/>
          <w:b/>
          <w:sz w:val="30"/>
          <w:szCs w:val="30"/>
        </w:rPr>
        <w:t>培育畜牧业企业与区域品牌</w:t>
      </w:r>
    </w:p>
    <w:p>
      <w:pPr>
        <w:spacing w:line="360" w:lineRule="auto"/>
        <w:ind w:firstLine="548" w:firstLineChars="196"/>
        <w:outlineLvl w:val="1"/>
        <w:rPr>
          <w:rFonts w:ascii="仿宋_GB2312" w:eastAsia="仿宋_GB2312"/>
          <w:szCs w:val="28"/>
          <w:lang w:val="en-US"/>
        </w:rPr>
      </w:pPr>
      <w:bookmarkStart w:id="705" w:name="_Toc28009"/>
      <w:bookmarkStart w:id="706" w:name="_Toc14629"/>
      <w:bookmarkStart w:id="707" w:name="_Toc12922"/>
      <w:bookmarkStart w:id="708" w:name="_Toc25676"/>
      <w:bookmarkStart w:id="709" w:name="_Toc3597"/>
      <w:bookmarkStart w:id="710" w:name="_Toc12682"/>
      <w:r>
        <w:rPr>
          <w:rFonts w:ascii="仿宋_GB2312" w:eastAsia="仿宋_GB2312"/>
          <w:szCs w:val="28"/>
          <w:lang w:val="en-US"/>
        </w:rPr>
        <w:t>落实《建宁县奶业生产能力提升整县推进实施方案》，继续推动万亩奶牛养殖生态观光牧场、奶制品加工配套及服务产业等项目建设，致力将明一打造成为“生态养殖+智能制造+绿色观光”三产融合发展的乳制品全产业链综合体，打造长江以南产能最大、设备最先进的乳制品暨婴幼儿营养品生产基地。</w:t>
      </w:r>
      <w:bookmarkEnd w:id="705"/>
      <w:bookmarkEnd w:id="706"/>
      <w:bookmarkEnd w:id="707"/>
      <w:bookmarkEnd w:id="708"/>
    </w:p>
    <w:p>
      <w:pPr>
        <w:spacing w:line="360" w:lineRule="auto"/>
        <w:ind w:firstLine="548" w:firstLineChars="196"/>
        <w:outlineLvl w:val="1"/>
        <w:rPr>
          <w:rFonts w:ascii="仿宋_GB2312" w:eastAsia="仿宋_GB2312"/>
          <w:szCs w:val="28"/>
        </w:rPr>
      </w:pPr>
      <w:bookmarkStart w:id="711" w:name="_Toc9508"/>
      <w:bookmarkStart w:id="712" w:name="_Toc7752"/>
      <w:bookmarkStart w:id="713" w:name="_Toc7997"/>
      <w:bookmarkStart w:id="714" w:name="_Toc31265"/>
      <w:r>
        <w:rPr>
          <w:rFonts w:ascii="仿宋_GB2312" w:eastAsia="仿宋_GB2312"/>
          <w:szCs w:val="28"/>
        </w:rPr>
        <w:t>鼓励产业化龙头企业发展特色优势畜禽标准化可控养殖基地，整合品牌资源，健全产品标准生产体系和产品质量追溯体系，开展“三品一标”（无公害农产品、绿色食品、有机农产品和农产品地理标志）认定和畜产品商标注册、名牌畜产品评选，培育打造一批特色鲜明、质量稳定、信誉良好、市场占有率高的企业畜产品品牌。</w:t>
      </w:r>
      <w:bookmarkEnd w:id="709"/>
      <w:bookmarkEnd w:id="710"/>
      <w:bookmarkEnd w:id="711"/>
      <w:bookmarkEnd w:id="712"/>
      <w:bookmarkEnd w:id="713"/>
      <w:bookmarkEnd w:id="714"/>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715" w:name="_Toc17718"/>
      <w:bookmarkStart w:id="716" w:name="_Toc3774"/>
      <w:bookmarkStart w:id="717" w:name="_Toc16829"/>
      <w:bookmarkStart w:id="718" w:name="_Toc19837"/>
      <w:bookmarkStart w:id="719" w:name="_Toc59656500"/>
      <w:r>
        <w:rPr>
          <w:rFonts w:hint="eastAsia" w:ascii="黑体" w:hAnsi="黑体" w:eastAsia="黑体"/>
          <w:b w:val="0"/>
          <w:bCs w:val="0"/>
          <w:sz w:val="30"/>
          <w:szCs w:val="30"/>
        </w:rPr>
        <w:t>四、</w:t>
      </w:r>
      <w:bookmarkEnd w:id="715"/>
      <w:bookmarkStart w:id="720" w:name="_Toc24441"/>
      <w:r>
        <w:rPr>
          <w:rFonts w:hint="eastAsia" w:ascii="黑体" w:hAnsi="黑体" w:eastAsia="黑体"/>
          <w:b w:val="0"/>
          <w:bCs w:val="0"/>
          <w:sz w:val="30"/>
          <w:szCs w:val="30"/>
        </w:rPr>
        <w:t>加快畜牧业全产业链建设</w:t>
      </w:r>
      <w:bookmarkEnd w:id="716"/>
      <w:bookmarkEnd w:id="717"/>
      <w:bookmarkEnd w:id="718"/>
      <w:bookmarkEnd w:id="720"/>
    </w:p>
    <w:p>
      <w:pPr>
        <w:spacing w:line="360" w:lineRule="auto"/>
        <w:ind w:firstLine="590" w:firstLineChars="196"/>
        <w:outlineLvl w:val="1"/>
        <w:rPr>
          <w:rFonts w:ascii="仿宋_GB2312" w:eastAsia="仿宋_GB2312"/>
          <w:b/>
          <w:sz w:val="30"/>
          <w:szCs w:val="30"/>
        </w:rPr>
      </w:pPr>
      <w:bookmarkStart w:id="721" w:name="_Toc27407"/>
      <w:bookmarkStart w:id="722" w:name="_Toc5022"/>
      <w:bookmarkStart w:id="723" w:name="_Toc12760"/>
      <w:bookmarkStart w:id="724" w:name="_Toc31386"/>
      <w:r>
        <w:rPr>
          <w:rFonts w:ascii="仿宋_GB2312" w:eastAsia="仿宋_GB2312"/>
          <w:b/>
          <w:sz w:val="30"/>
          <w:szCs w:val="30"/>
        </w:rPr>
        <w:t>（一）推进畜牧业与二三产融合</w:t>
      </w:r>
      <w:bookmarkEnd w:id="721"/>
      <w:bookmarkEnd w:id="722"/>
      <w:bookmarkEnd w:id="723"/>
      <w:bookmarkEnd w:id="724"/>
    </w:p>
    <w:p>
      <w:pPr>
        <w:pStyle w:val="11"/>
        <w:autoSpaceDE w:val="0"/>
        <w:autoSpaceDN w:val="0"/>
        <w:spacing w:line="580" w:lineRule="exact"/>
        <w:ind w:firstLine="560"/>
        <w:jc w:val="both"/>
        <w:rPr>
          <w:rFonts w:ascii="仿宋_GB2312" w:eastAsia="仿宋_GB2312"/>
          <w:sz w:val="28"/>
          <w:szCs w:val="28"/>
        </w:rPr>
      </w:pPr>
      <w:bookmarkStart w:id="725" w:name="_Toc3609"/>
      <w:bookmarkStart w:id="726" w:name="_Toc17611"/>
      <w:bookmarkStart w:id="727" w:name="_Toc8212"/>
      <w:bookmarkStart w:id="728" w:name="_Toc24090"/>
      <w:bookmarkStart w:id="729" w:name="_Toc29190"/>
      <w:r>
        <w:rPr>
          <w:rFonts w:eastAsia="仿宋"/>
          <w:sz w:val="28"/>
          <w:szCs w:val="28"/>
          <w:shd w:val="clear" w:color="auto" w:fill="FFFFFF"/>
        </w:rPr>
        <w:t>以现代化养</w:t>
      </w:r>
      <w:r>
        <w:rPr>
          <w:rFonts w:eastAsia="仿宋"/>
          <w:sz w:val="28"/>
          <w:szCs w:val="28"/>
          <w:shd w:val="clear" w:color="auto" w:fill="FFFFFF"/>
          <w:lang w:val="en-US"/>
        </w:rPr>
        <w:t>殖观光牧场建设</w:t>
      </w:r>
      <w:r>
        <w:rPr>
          <w:rFonts w:eastAsia="仿宋"/>
          <w:sz w:val="28"/>
          <w:szCs w:val="28"/>
          <w:shd w:val="clear" w:color="auto" w:fill="FFFFFF"/>
        </w:rPr>
        <w:t>、区域品牌培育和技术示范推广等为重点，提高</w:t>
      </w:r>
      <w:r>
        <w:rPr>
          <w:rFonts w:eastAsia="仿宋"/>
          <w:sz w:val="28"/>
          <w:szCs w:val="28"/>
          <w:shd w:val="clear" w:color="auto" w:fill="FFFFFF"/>
          <w:lang w:val="en-US"/>
        </w:rPr>
        <w:t>畜禽</w:t>
      </w:r>
      <w:r>
        <w:rPr>
          <w:rFonts w:eastAsia="仿宋"/>
          <w:sz w:val="28"/>
          <w:szCs w:val="28"/>
          <w:shd w:val="clear" w:color="auto" w:fill="FFFFFF"/>
        </w:rPr>
        <w:t>标准化养殖水平，打造产加销一体、一二三产融合的全产业链发展模式。</w:t>
      </w:r>
      <w:r>
        <w:rPr>
          <w:rFonts w:eastAsia="仿宋"/>
          <w:sz w:val="28"/>
          <w:szCs w:val="28"/>
          <w:shd w:val="clear" w:color="auto" w:fill="FFFFFF"/>
          <w:lang w:val="en-US"/>
        </w:rPr>
        <w:t>重点建设研学康养中心、房产民宿、采摘果园、滑草场等系列文旅观光设施，创建省级研学基地、4A级景区。</w:t>
      </w:r>
      <w:r>
        <w:rPr>
          <w:rFonts w:eastAsia="仿宋"/>
          <w:sz w:val="28"/>
          <w:szCs w:val="28"/>
          <w:shd w:val="clear" w:color="auto" w:fill="FFFFFF"/>
        </w:rPr>
        <w:t>积极培育和发展专业合作社、家庭</w:t>
      </w:r>
      <w:r>
        <w:rPr>
          <w:rFonts w:eastAsia="仿宋"/>
          <w:sz w:val="28"/>
          <w:szCs w:val="28"/>
          <w:shd w:val="clear" w:color="auto" w:fill="FFFFFF"/>
          <w:lang w:val="en-US"/>
        </w:rPr>
        <w:t>牧</w:t>
      </w:r>
      <w:r>
        <w:rPr>
          <w:rFonts w:eastAsia="仿宋"/>
          <w:sz w:val="28"/>
          <w:szCs w:val="28"/>
          <w:shd w:val="clear" w:color="auto" w:fill="FFFFFF"/>
        </w:rPr>
        <w:t>场，增强规范运营与标准化管理水平。推动实施标准化设施养</w:t>
      </w:r>
      <w:r>
        <w:rPr>
          <w:rFonts w:eastAsia="仿宋"/>
          <w:sz w:val="28"/>
          <w:szCs w:val="28"/>
          <w:shd w:val="clear" w:color="auto" w:fill="FFFFFF"/>
          <w:lang w:val="en-US"/>
        </w:rPr>
        <w:t>殖</w:t>
      </w:r>
      <w:r>
        <w:rPr>
          <w:rFonts w:eastAsia="仿宋"/>
          <w:sz w:val="28"/>
          <w:szCs w:val="28"/>
          <w:shd w:val="clear" w:color="auto" w:fill="FFFFFF"/>
        </w:rPr>
        <w:t>项目，改造设施，发展机械化养</w:t>
      </w:r>
      <w:r>
        <w:rPr>
          <w:rFonts w:eastAsia="仿宋"/>
          <w:sz w:val="28"/>
          <w:szCs w:val="28"/>
          <w:shd w:val="clear" w:color="auto" w:fill="FFFFFF"/>
          <w:lang w:val="en-US"/>
        </w:rPr>
        <w:t>殖</w:t>
      </w:r>
      <w:r>
        <w:rPr>
          <w:rFonts w:eastAsia="仿宋"/>
          <w:sz w:val="28"/>
          <w:szCs w:val="28"/>
          <w:shd w:val="clear" w:color="auto" w:fill="FFFFFF"/>
        </w:rPr>
        <w:t>。通过“旅游+”、“健康+”“互联网+”、“生态+”等模式激发产业内生动能</w:t>
      </w:r>
      <w:r>
        <w:rPr>
          <w:rFonts w:ascii="仿宋_GB2312" w:eastAsia="仿宋_GB2312"/>
          <w:sz w:val="28"/>
          <w:szCs w:val="28"/>
        </w:rPr>
        <w:t>，有效整合原料生产、加工物流和市场营销上下游产业，与设施装备业、信息化业、电子商务等产业组建产销联盟或产销集团，促进种养加一体，一二三产业融合发展。</w:t>
      </w:r>
      <w:bookmarkEnd w:id="725"/>
      <w:bookmarkEnd w:id="726"/>
      <w:bookmarkEnd w:id="727"/>
      <w:bookmarkEnd w:id="728"/>
      <w:bookmarkEnd w:id="729"/>
    </w:p>
    <w:p>
      <w:pPr>
        <w:spacing w:line="360" w:lineRule="auto"/>
        <w:ind w:firstLine="590" w:firstLineChars="196"/>
        <w:outlineLvl w:val="1"/>
        <w:rPr>
          <w:rFonts w:ascii="仿宋_GB2312" w:eastAsia="仿宋_GB2312"/>
          <w:b/>
          <w:sz w:val="30"/>
          <w:szCs w:val="30"/>
        </w:rPr>
      </w:pPr>
      <w:bookmarkStart w:id="730" w:name="_Toc1943"/>
      <w:bookmarkStart w:id="731" w:name="_Toc27008"/>
      <w:bookmarkStart w:id="732" w:name="_Toc21080"/>
      <w:r>
        <w:rPr>
          <w:rFonts w:ascii="仿宋_GB2312" w:eastAsia="仿宋_GB2312"/>
          <w:b/>
          <w:sz w:val="30"/>
          <w:szCs w:val="30"/>
        </w:rPr>
        <w:t>（二）推动美丽生态牧场建设</w:t>
      </w:r>
      <w:bookmarkEnd w:id="730"/>
      <w:bookmarkEnd w:id="731"/>
      <w:bookmarkEnd w:id="732"/>
    </w:p>
    <w:p>
      <w:pPr>
        <w:spacing w:line="360" w:lineRule="auto"/>
        <w:ind w:firstLine="560"/>
        <w:outlineLvl w:val="1"/>
        <w:rPr>
          <w:rFonts w:ascii="仿宋_GB2312" w:eastAsia="仿宋_GB2312"/>
          <w:szCs w:val="28"/>
        </w:rPr>
      </w:pPr>
      <w:bookmarkStart w:id="733" w:name="_Toc8821"/>
      <w:bookmarkStart w:id="734" w:name="_Toc24954"/>
      <w:bookmarkStart w:id="735" w:name="_Toc29573"/>
      <w:bookmarkStart w:id="736" w:name="_Toc28413"/>
      <w:bookmarkStart w:id="737" w:name="_Toc16828"/>
      <w:bookmarkStart w:id="738" w:name="_Toc1964"/>
      <w:bookmarkStart w:id="739" w:name="_Toc29615"/>
      <w:r>
        <w:rPr>
          <w:rFonts w:ascii="仿宋_GB2312" w:eastAsia="仿宋_GB2312"/>
          <w:szCs w:val="28"/>
        </w:rPr>
        <w:t>“十四五”期间，</w:t>
      </w:r>
      <w:r>
        <w:rPr>
          <w:rFonts w:ascii="仿宋_GB2312" w:eastAsia="仿宋_GB2312"/>
          <w:szCs w:val="28"/>
          <w:lang w:val="en-US"/>
        </w:rPr>
        <w:t>根据</w:t>
      </w:r>
      <w:r>
        <w:rPr>
          <w:rFonts w:ascii="仿宋_GB2312" w:eastAsia="仿宋_GB2312"/>
          <w:szCs w:val="28"/>
        </w:rPr>
        <w:t>“规范、生态、美丽”内涵要求，通过改善设施设备，规范制度建设，按照“场区布局合理、设施制度完善、生产全程清洁、产出安全高效、资源循环利用、整体绿化美化”建设标准，开展美丽生态牧场</w:t>
      </w:r>
      <w:r>
        <w:rPr>
          <w:rFonts w:ascii="仿宋_GB2312" w:eastAsia="仿宋_GB2312"/>
          <w:szCs w:val="28"/>
          <w:lang w:val="en-US"/>
        </w:rPr>
        <w:t>建设</w:t>
      </w:r>
      <w:r>
        <w:rPr>
          <w:rFonts w:ascii="仿宋_GB2312" w:eastAsia="仿宋_GB2312"/>
          <w:szCs w:val="28"/>
        </w:rPr>
        <w:t>工作。</w:t>
      </w:r>
      <w:bookmarkEnd w:id="733"/>
      <w:bookmarkEnd w:id="734"/>
      <w:bookmarkEnd w:id="735"/>
      <w:bookmarkEnd w:id="736"/>
      <w:r>
        <w:rPr>
          <w:rFonts w:ascii="仿宋_GB2312" w:eastAsia="仿宋_GB2312"/>
          <w:szCs w:val="28"/>
        </w:rPr>
        <w:t>以绿色生态成为主基调，重点开展牧场环境提升，大力发展生态循环农业，推广“农牧结合循环型”“综合利用型”等多种生态养殖模式。以“美丽牧场”建设为抓手，着力打造畜禽养殖污染治理的升级版，不断提高畜牧业的标准化、安全化和生态化水平。</w:t>
      </w:r>
      <w:bookmarkEnd w:id="737"/>
      <w:bookmarkEnd w:id="738"/>
    </w:p>
    <w:p>
      <w:pPr>
        <w:spacing w:line="360" w:lineRule="auto"/>
        <w:ind w:firstLine="602"/>
        <w:outlineLvl w:val="1"/>
        <w:rPr>
          <w:rFonts w:ascii="仿宋_GB2312" w:eastAsia="仿宋_GB2312"/>
          <w:b/>
          <w:sz w:val="30"/>
          <w:szCs w:val="30"/>
        </w:rPr>
      </w:pPr>
      <w:bookmarkStart w:id="740" w:name="_Toc23800"/>
      <w:bookmarkStart w:id="741" w:name="_Toc21257"/>
      <w:bookmarkStart w:id="742" w:name="_Toc10070"/>
      <w:r>
        <w:rPr>
          <w:rFonts w:ascii="仿宋_GB2312" w:eastAsia="仿宋_GB2312"/>
          <w:b/>
          <w:sz w:val="30"/>
          <w:szCs w:val="30"/>
        </w:rPr>
        <w:t>（三）</w:t>
      </w:r>
      <w:bookmarkEnd w:id="719"/>
      <w:bookmarkStart w:id="743" w:name="_Toc59656502"/>
      <w:r>
        <w:rPr>
          <w:rFonts w:ascii="仿宋_GB2312" w:eastAsia="仿宋_GB2312"/>
          <w:b/>
          <w:sz w:val="30"/>
          <w:szCs w:val="30"/>
        </w:rPr>
        <w:t>推进产业链共享融合</w:t>
      </w:r>
      <w:bookmarkEnd w:id="739"/>
      <w:bookmarkEnd w:id="740"/>
      <w:bookmarkEnd w:id="741"/>
      <w:bookmarkEnd w:id="742"/>
      <w:bookmarkEnd w:id="743"/>
      <w:bookmarkStart w:id="744" w:name="_Toc59656503"/>
    </w:p>
    <w:p>
      <w:pPr>
        <w:spacing w:line="360" w:lineRule="auto"/>
        <w:ind w:firstLine="560"/>
        <w:outlineLvl w:val="1"/>
        <w:rPr>
          <w:rFonts w:ascii="仿宋_GB2312" w:eastAsia="仿宋_GB2312"/>
          <w:szCs w:val="28"/>
        </w:rPr>
      </w:pPr>
      <w:bookmarkStart w:id="745" w:name="_Toc27064"/>
      <w:bookmarkStart w:id="746" w:name="_Toc32163"/>
      <w:bookmarkStart w:id="747" w:name="_Toc53"/>
      <w:bookmarkStart w:id="748" w:name="_Toc17883"/>
      <w:bookmarkStart w:id="749" w:name="_Toc9628"/>
      <w:bookmarkStart w:id="750" w:name="_Toc31649"/>
      <w:bookmarkStart w:id="751" w:name="_Toc14379"/>
      <w:r>
        <w:rPr>
          <w:rFonts w:ascii="仿宋_GB2312" w:eastAsia="仿宋_GB2312"/>
          <w:szCs w:val="28"/>
        </w:rPr>
        <w:t>充分发挥企业技术创新的主体作用，鼓励和支持企业自主开展或与科研院校联合开展技术攻关。依托科研院校开展重大农技推广服务试点工作，促进院校科技服务与畜牧业产业需求、院校专家团队与基层农技推广体系有效对接。深入推进科技特派员农业科技创新创业行动，鼓励科研人员到农村一线从事农技推广服务工作，促进科技成果的推广应用。强化产加销衔接，鼓励兽药、饲料、屠宰、养殖畜牧业上中下游企业以参股入股、收购兼并、产学研合作、联农带农等多种形式，发展</w:t>
      </w:r>
      <w:r>
        <w:rPr>
          <w:rFonts w:ascii="仿宋_GB2312" w:eastAsia="仿宋_GB2312"/>
          <w:szCs w:val="28"/>
          <w:lang w:val="en-US"/>
        </w:rPr>
        <w:t>1</w:t>
      </w:r>
      <w:r>
        <w:rPr>
          <w:rFonts w:ascii="仿宋_GB2312" w:eastAsia="仿宋_GB2312"/>
          <w:szCs w:val="28"/>
        </w:rPr>
        <w:t>-</w:t>
      </w:r>
      <w:r>
        <w:rPr>
          <w:rFonts w:ascii="仿宋_GB2312" w:eastAsia="仿宋_GB2312"/>
          <w:szCs w:val="28"/>
          <w:lang w:val="en-US"/>
        </w:rPr>
        <w:t>2</w:t>
      </w:r>
      <w:r>
        <w:rPr>
          <w:rFonts w:ascii="仿宋_GB2312" w:eastAsia="仿宋_GB2312"/>
          <w:szCs w:val="28"/>
        </w:rPr>
        <w:t>家利益共享、风险共担、全产业链有机衔接的产业化联合体，关联带动食品包装、保鲜材料制造、物流、电商、旅游、餐饮业等产业发展。形成多主体参与、多要素集聚、多业态发展、多模式推进的融合格局。</w:t>
      </w:r>
      <w:bookmarkEnd w:id="744"/>
      <w:bookmarkEnd w:id="745"/>
      <w:bookmarkEnd w:id="746"/>
      <w:bookmarkEnd w:id="747"/>
      <w:bookmarkEnd w:id="748"/>
      <w:bookmarkEnd w:id="749"/>
      <w:bookmarkEnd w:id="750"/>
      <w:bookmarkEnd w:id="751"/>
    </w:p>
    <w:p>
      <w:pPr>
        <w:spacing w:line="360" w:lineRule="auto"/>
        <w:ind w:firstLine="602"/>
        <w:outlineLvl w:val="1"/>
        <w:rPr>
          <w:rFonts w:ascii="仿宋_GB2312" w:eastAsia="仿宋_GB2312"/>
          <w:b/>
          <w:sz w:val="30"/>
          <w:szCs w:val="30"/>
        </w:rPr>
      </w:pPr>
      <w:bookmarkStart w:id="752" w:name="_Toc15790"/>
      <w:bookmarkStart w:id="753" w:name="_Toc22183"/>
      <w:bookmarkStart w:id="754" w:name="_Toc31858"/>
      <w:r>
        <w:rPr>
          <w:rFonts w:ascii="仿宋_GB2312" w:eastAsia="仿宋_GB2312"/>
          <w:b/>
          <w:sz w:val="30"/>
          <w:szCs w:val="30"/>
        </w:rPr>
        <w:t>（</w:t>
      </w:r>
      <w:r>
        <w:rPr>
          <w:rFonts w:ascii="仿宋_GB2312" w:eastAsia="仿宋_GB2312"/>
          <w:b/>
          <w:sz w:val="30"/>
          <w:szCs w:val="30"/>
          <w:lang w:val="en-US"/>
        </w:rPr>
        <w:t>四</w:t>
      </w:r>
      <w:r>
        <w:rPr>
          <w:rFonts w:ascii="仿宋_GB2312" w:eastAsia="仿宋_GB2312"/>
          <w:b/>
          <w:sz w:val="30"/>
          <w:szCs w:val="30"/>
        </w:rPr>
        <w:t>）推进产业化经营和社会化服务</w:t>
      </w:r>
      <w:bookmarkEnd w:id="752"/>
      <w:bookmarkEnd w:id="753"/>
      <w:bookmarkEnd w:id="754"/>
    </w:p>
    <w:p>
      <w:pPr>
        <w:spacing w:line="360" w:lineRule="auto"/>
        <w:ind w:firstLine="548" w:firstLineChars="196"/>
        <w:outlineLvl w:val="1"/>
        <w:rPr>
          <w:rFonts w:ascii="仿宋_GB2312" w:eastAsia="仿宋_GB2312"/>
          <w:szCs w:val="28"/>
        </w:rPr>
      </w:pPr>
      <w:bookmarkStart w:id="755" w:name="_Toc3076"/>
      <w:bookmarkStart w:id="756" w:name="_Toc7839"/>
      <w:bookmarkStart w:id="757" w:name="_Toc5329"/>
      <w:bookmarkStart w:id="758" w:name="_Toc814"/>
      <w:bookmarkStart w:id="759" w:name="_Toc10880"/>
      <w:bookmarkStart w:id="760" w:name="_Toc15818"/>
      <w:bookmarkStart w:id="761" w:name="_Toc16936"/>
      <w:r>
        <w:rPr>
          <w:rFonts w:ascii="仿宋_GB2312" w:eastAsia="仿宋_GB2312"/>
          <w:szCs w:val="28"/>
        </w:rPr>
        <w:t>构建多种形式的产业化经营模式，加大新型经营主体扶持力度，引导建立大型企业为龙头、农民专业合作组织和社会化服务组织为纽带、适度规模养殖场为主体的产业体系。鼓励龙头企业建立养殖基地，发展订单生产，开展一体化经营。积极引导农民营销合作组织发展，鼓励运销大户、屠宰加工和流通企业领办营销合作组织，提高组织化程度。实施“互联网＋”发展战略，推进电商与实体结合、互联网与产业融合、屠宰企业与零售终端直接对接等新业态，积极推动畜禽及其产品期货上市和电子商务平台建设，扩大畜禽及产品电子交易规模。鼓励龙头企业、大户、专业合作组织、经纪人建立社会化服务组织，形成多形式、多层次的社会化服务体系。</w:t>
      </w:r>
      <w:bookmarkEnd w:id="755"/>
      <w:bookmarkEnd w:id="756"/>
      <w:bookmarkEnd w:id="757"/>
      <w:bookmarkEnd w:id="758"/>
      <w:bookmarkEnd w:id="759"/>
      <w:bookmarkEnd w:id="760"/>
      <w:bookmarkEnd w:id="761"/>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762" w:name="_Toc4904"/>
      <w:bookmarkStart w:id="763" w:name="_Toc5318"/>
      <w:bookmarkStart w:id="764" w:name="_Toc11997"/>
      <w:bookmarkStart w:id="765" w:name="_Toc20449"/>
      <w:r>
        <w:rPr>
          <w:rFonts w:hint="eastAsia" w:ascii="黑体" w:hAnsi="黑体" w:eastAsia="黑体"/>
          <w:b w:val="0"/>
          <w:bCs w:val="0"/>
          <w:sz w:val="30"/>
          <w:szCs w:val="30"/>
          <w:lang w:eastAsia="zh-CN"/>
        </w:rPr>
        <w:t>五</w:t>
      </w:r>
      <w:r>
        <w:rPr>
          <w:rFonts w:hint="eastAsia" w:ascii="黑体" w:hAnsi="黑体" w:eastAsia="黑体"/>
          <w:b w:val="0"/>
          <w:bCs w:val="0"/>
          <w:sz w:val="30"/>
          <w:szCs w:val="30"/>
        </w:rPr>
        <w:t>、推进畜牧业环境综合治理</w:t>
      </w:r>
      <w:bookmarkEnd w:id="762"/>
      <w:bookmarkEnd w:id="763"/>
      <w:bookmarkEnd w:id="764"/>
      <w:bookmarkEnd w:id="765"/>
    </w:p>
    <w:p>
      <w:pPr>
        <w:spacing w:line="360" w:lineRule="auto"/>
        <w:ind w:firstLine="602"/>
        <w:outlineLvl w:val="1"/>
        <w:rPr>
          <w:rFonts w:ascii="仿宋_GB2312" w:eastAsia="仿宋_GB2312"/>
          <w:b/>
          <w:sz w:val="30"/>
          <w:szCs w:val="30"/>
        </w:rPr>
      </w:pPr>
      <w:bookmarkStart w:id="766" w:name="_Toc5705"/>
      <w:bookmarkStart w:id="767" w:name="_Toc31456"/>
      <w:bookmarkStart w:id="768" w:name="_Toc16826"/>
      <w:bookmarkStart w:id="769" w:name="_Toc20761"/>
      <w:r>
        <w:rPr>
          <w:rFonts w:ascii="仿宋_GB2312" w:eastAsia="仿宋_GB2312"/>
          <w:b/>
          <w:sz w:val="30"/>
          <w:szCs w:val="30"/>
        </w:rPr>
        <w:t>（一）推进畜禽养殖污染治理</w:t>
      </w:r>
      <w:bookmarkEnd w:id="766"/>
      <w:bookmarkEnd w:id="767"/>
      <w:bookmarkEnd w:id="768"/>
      <w:bookmarkEnd w:id="769"/>
    </w:p>
    <w:p>
      <w:pPr>
        <w:spacing w:before="312" w:beforeLines="100" w:line="360" w:lineRule="auto"/>
        <w:ind w:firstLine="560"/>
        <w:outlineLvl w:val="1"/>
        <w:rPr>
          <w:rFonts w:ascii="仿宋_GB2312" w:eastAsia="仿宋_GB2312"/>
          <w:szCs w:val="28"/>
          <w:lang w:val="en-US"/>
        </w:rPr>
      </w:pPr>
      <w:bookmarkStart w:id="770" w:name="_Toc7886"/>
      <w:bookmarkStart w:id="771" w:name="_Toc23815"/>
      <w:bookmarkStart w:id="772" w:name="_Toc30137"/>
      <w:bookmarkStart w:id="773" w:name="_Toc6397"/>
      <w:bookmarkStart w:id="774" w:name="_Toc14341"/>
      <w:bookmarkStart w:id="775" w:name="_Toc24906"/>
      <w:bookmarkStart w:id="776" w:name="_Toc4267"/>
      <w:r>
        <w:rPr>
          <w:rFonts w:ascii="仿宋_GB2312" w:eastAsia="仿宋_GB2312"/>
          <w:szCs w:val="28"/>
        </w:rPr>
        <w:t>实施畜禽养殖废弃物源头减量化，积极推广“一禁、二表、三分离、四配套”；一禁：即严禁水冲清粪，推行干清粪或尿泡粪；二表：即安装人员生活用水水表、畜禽饮用水水表；三分离：即实行雨水（明沟）与污水（暗管）分离，干（粪）、湿（尿水）分离，浓、淡分离，从源头上减少畜禽养殖污水产生量。四配套：即配套建设沼气池（或多格化粪池）、干粪堆制发酵棚、沼液贮存池、田间配水调节池。积极引导养殖场实施漏缝地面、机械干清粪、异位发酵工艺的粪污处理方式，加快推进规范化标准化建设，以典型引路，以示范推动。严格规范畜禽养殖投入品使用，推广散装饲料和精准配方，提高饲料转化效率。根据“谁污染、谁治理”的原则，落实畜禽养殖场、屠宰企业的主体责任，督促业主依法履行养殖污染治理等职责，指导畜禽养殖场、屠宰企业采用先进的治污技术和模式，避免畜禽养殖污染环境。</w:t>
      </w:r>
      <w:bookmarkEnd w:id="770"/>
      <w:bookmarkEnd w:id="771"/>
      <w:bookmarkEnd w:id="772"/>
      <w:bookmarkEnd w:id="773"/>
      <w:bookmarkEnd w:id="774"/>
      <w:r>
        <w:rPr>
          <w:rFonts w:ascii="仿宋_GB2312" w:eastAsia="仿宋_GB2312"/>
          <w:szCs w:val="28"/>
          <w:lang w:val="en-US"/>
        </w:rPr>
        <w:t>开展规模养殖场粪污治理专项行动，推进规模养殖场饮水、清粪、环境控制、臭气处理、厌氧发酵或密闭式贮存发酵以及堆（沤）肥设施建设，购置粪肥运输和施用机械设备，配套建设粪污输送管网、田间贮存池等。全面提升养殖场户粪污处理设施装备水平，兼顾畜禽粪肥田间贮存和利用设施建设，畅通粪肥还田利用渠道；根据规模养殖场区域和主要畜种，鼓励规模养殖场实施粪污肥料化利用。开展有机肥替代化肥行动，有效提升畜禽粪污资源肥料化利用效率。</w:t>
      </w:r>
      <w:bookmarkEnd w:id="775"/>
      <w:bookmarkEnd w:id="776"/>
      <w:bookmarkStart w:id="777" w:name="_Toc16929"/>
      <w:bookmarkStart w:id="778" w:name="_Toc10769"/>
      <w:bookmarkStart w:id="779" w:name="_Toc4815"/>
    </w:p>
    <w:p>
      <w:pPr>
        <w:spacing w:before="312" w:beforeLines="100" w:line="360" w:lineRule="auto"/>
        <w:ind w:firstLine="602"/>
        <w:outlineLvl w:val="1"/>
        <w:rPr>
          <w:rFonts w:ascii="仿宋_GB2312" w:eastAsia="仿宋_GB2312"/>
          <w:b/>
          <w:sz w:val="30"/>
          <w:szCs w:val="30"/>
        </w:rPr>
      </w:pPr>
      <w:bookmarkStart w:id="780" w:name="_Toc31785"/>
      <w:r>
        <w:rPr>
          <w:rFonts w:ascii="仿宋_GB2312" w:eastAsia="仿宋_GB2312"/>
          <w:b/>
          <w:sz w:val="30"/>
          <w:szCs w:val="30"/>
        </w:rPr>
        <w:t>（二）推广农牧结合生态循环模式</w:t>
      </w:r>
      <w:bookmarkEnd w:id="777"/>
      <w:bookmarkEnd w:id="778"/>
      <w:bookmarkEnd w:id="779"/>
      <w:bookmarkEnd w:id="780"/>
    </w:p>
    <w:p>
      <w:pPr>
        <w:spacing w:line="360" w:lineRule="auto"/>
        <w:ind w:firstLine="560"/>
        <w:outlineLvl w:val="1"/>
        <w:rPr>
          <w:rFonts w:ascii="仿宋_GB2312" w:eastAsia="仿宋_GB2312"/>
          <w:szCs w:val="28"/>
        </w:rPr>
      </w:pPr>
      <w:bookmarkStart w:id="781" w:name="_Toc29507"/>
      <w:bookmarkStart w:id="782" w:name="_Toc13910"/>
      <w:bookmarkStart w:id="783" w:name="_Toc9692"/>
      <w:bookmarkStart w:id="784" w:name="_Toc29650"/>
      <w:bookmarkStart w:id="785" w:name="_Toc10694"/>
      <w:bookmarkStart w:id="786" w:name="_Toc14439"/>
      <w:bookmarkStart w:id="787" w:name="_Toc9862"/>
      <w:r>
        <w:rPr>
          <w:rFonts w:ascii="仿宋_GB2312" w:eastAsia="仿宋_GB2312"/>
          <w:szCs w:val="28"/>
        </w:rPr>
        <w:t>支持已建养殖场按农地配套标准流转周边耕地实行规模种植，或与周边规模种植户建立粪肥供应关系、签订合同，实现畜禽养殖废弃物就近利用、当地消纳。因地制宜扩大推广异位发酵床养殖和“畜禽—沼液沼渣—果（林茶蔬草）”等循环利用新路径，支持规模种植业基地建设种养结合型家庭农场或规模企业。力争通过3-5年扶持一批粪肥还田专业化服务主体，提供粪肥收集、处理、施用服务，构建1-2种粪肥还田组织运行模式，带动农户增施有机肥，推动化肥减量化，促进畜禽粪污资源化利用和化肥减量增效，实现耕地质量提升和农业绿色发展，形成绿色种养循环农业发展模式。推广“以地定养、以养肥地、粪尿全量收集处理和还田利用”的循环农业模式：</w:t>
      </w:r>
      <w:r>
        <w:rPr>
          <w:rFonts w:ascii="仿宋_GB2312" w:eastAsia="仿宋_GB2312"/>
          <w:szCs w:val="28"/>
        </w:rPr>
        <w:fldChar w:fldCharType="begin"/>
      </w:r>
      <w:r>
        <w:rPr>
          <w:rFonts w:ascii="仿宋_GB2312" w:eastAsia="仿宋_GB2312"/>
          <w:szCs w:val="28"/>
        </w:rPr>
        <w:instrText xml:space="preserve"> = 1 \* GB3 \* MERGEFORMAT </w:instrText>
      </w:r>
      <w:r>
        <w:rPr>
          <w:rFonts w:ascii="仿宋_GB2312" w:eastAsia="仿宋_GB2312"/>
          <w:szCs w:val="28"/>
        </w:rPr>
        <w:fldChar w:fldCharType="separate"/>
      </w:r>
      <w:r>
        <w:rPr>
          <w:rFonts w:ascii="仿宋_GB2312" w:eastAsia="仿宋_GB2312"/>
          <w:szCs w:val="28"/>
        </w:rPr>
        <w:t>①</w:t>
      </w:r>
      <w:r>
        <w:rPr>
          <w:rFonts w:ascii="仿宋_GB2312" w:eastAsia="仿宋_GB2312"/>
          <w:szCs w:val="28"/>
        </w:rPr>
        <w:fldChar w:fldCharType="end"/>
      </w:r>
      <w:r>
        <w:rPr>
          <w:rFonts w:ascii="仿宋_GB2312" w:eastAsia="仿宋_GB2312"/>
          <w:szCs w:val="28"/>
        </w:rPr>
        <w:t>场区雨污分流+粪尿干湿分离+养殖废弃物浓淡分离+沼气池（或三格化粪池）+贮液池，</w:t>
      </w:r>
      <w:r>
        <w:rPr>
          <w:rFonts w:ascii="仿宋_GB2312" w:eastAsia="仿宋_GB2312"/>
          <w:szCs w:val="28"/>
        </w:rPr>
        <w:fldChar w:fldCharType="begin"/>
      </w:r>
      <w:r>
        <w:rPr>
          <w:rFonts w:ascii="仿宋_GB2312" w:eastAsia="仿宋_GB2312"/>
          <w:szCs w:val="28"/>
        </w:rPr>
        <w:instrText xml:space="preserve"> = 2 \* GB3 \* MERGEFORMAT </w:instrText>
      </w:r>
      <w:r>
        <w:rPr>
          <w:rFonts w:ascii="仿宋_GB2312" w:eastAsia="仿宋_GB2312"/>
          <w:szCs w:val="28"/>
        </w:rPr>
        <w:fldChar w:fldCharType="separate"/>
      </w:r>
      <w:r>
        <w:rPr>
          <w:rFonts w:ascii="仿宋_GB2312" w:eastAsia="仿宋_GB2312"/>
          <w:szCs w:val="28"/>
        </w:rPr>
        <w:t>②</w:t>
      </w:r>
      <w:r>
        <w:rPr>
          <w:rFonts w:ascii="仿宋_GB2312" w:eastAsia="仿宋_GB2312"/>
          <w:szCs w:val="28"/>
        </w:rPr>
        <w:fldChar w:fldCharType="end"/>
      </w:r>
      <w:r>
        <w:rPr>
          <w:rFonts w:ascii="仿宋_GB2312" w:eastAsia="仿宋_GB2312"/>
          <w:szCs w:val="28"/>
        </w:rPr>
        <w:t>漏缝地板（或尿泡粪）+节水型饮水器+高压水枪冲洗，</w:t>
      </w:r>
      <w:r>
        <w:rPr>
          <w:rFonts w:ascii="仿宋_GB2312" w:eastAsia="仿宋_GB2312"/>
          <w:szCs w:val="28"/>
        </w:rPr>
        <w:fldChar w:fldCharType="begin"/>
      </w:r>
      <w:r>
        <w:rPr>
          <w:rFonts w:ascii="仿宋_GB2312" w:eastAsia="仿宋_GB2312"/>
          <w:szCs w:val="28"/>
        </w:rPr>
        <w:instrText xml:space="preserve"> = 3 \* GB3 \* MERGEFORMAT </w:instrText>
      </w:r>
      <w:r>
        <w:rPr>
          <w:rFonts w:ascii="仿宋_GB2312" w:eastAsia="仿宋_GB2312"/>
          <w:szCs w:val="28"/>
        </w:rPr>
        <w:fldChar w:fldCharType="separate"/>
      </w:r>
      <w:r>
        <w:rPr>
          <w:rFonts w:ascii="仿宋_GB2312" w:eastAsia="仿宋_GB2312"/>
          <w:szCs w:val="28"/>
        </w:rPr>
        <w:t>③</w:t>
      </w:r>
      <w:r>
        <w:rPr>
          <w:rFonts w:ascii="仿宋_GB2312" w:eastAsia="仿宋_GB2312"/>
          <w:szCs w:val="28"/>
        </w:rPr>
        <w:fldChar w:fldCharType="end"/>
      </w:r>
      <w:r>
        <w:rPr>
          <w:rFonts w:ascii="仿宋_GB2312" w:eastAsia="仿宋_GB2312"/>
          <w:szCs w:val="28"/>
        </w:rPr>
        <w:t>滤渗式漏粪间+阳光棚堆制间+ 异位微生物发酵床生产有机肥原料+有机肥厂（腐熟化有机肥或生物有机肥），</w:t>
      </w:r>
      <w:r>
        <w:rPr>
          <w:rFonts w:ascii="仿宋_GB2312" w:eastAsia="仿宋_GB2312"/>
          <w:szCs w:val="28"/>
        </w:rPr>
        <w:fldChar w:fldCharType="begin"/>
      </w:r>
      <w:r>
        <w:rPr>
          <w:rFonts w:ascii="仿宋_GB2312" w:eastAsia="仿宋_GB2312"/>
          <w:szCs w:val="28"/>
        </w:rPr>
        <w:instrText xml:space="preserve"> = 4 \* GB3 \* MERGEFORMAT </w:instrText>
      </w:r>
      <w:r>
        <w:rPr>
          <w:rFonts w:ascii="仿宋_GB2312" w:eastAsia="仿宋_GB2312"/>
          <w:szCs w:val="28"/>
        </w:rPr>
        <w:fldChar w:fldCharType="separate"/>
      </w:r>
      <w:r>
        <w:rPr>
          <w:rFonts w:ascii="仿宋_GB2312" w:eastAsia="仿宋_GB2312"/>
          <w:szCs w:val="28"/>
        </w:rPr>
        <w:t>④</w:t>
      </w:r>
      <w:r>
        <w:rPr>
          <w:rFonts w:ascii="仿宋_GB2312" w:eastAsia="仿宋_GB2312"/>
          <w:szCs w:val="28"/>
        </w:rPr>
        <w:fldChar w:fldCharType="end"/>
      </w:r>
      <w:r>
        <w:rPr>
          <w:rFonts w:ascii="仿宋_GB2312" w:eastAsia="仿宋_GB2312"/>
          <w:szCs w:val="28"/>
        </w:rPr>
        <w:t>畜禽—固液态有机肥、沼液沼渣—果（林、草、菜）。</w:t>
      </w:r>
      <w:bookmarkEnd w:id="781"/>
      <w:bookmarkEnd w:id="782"/>
      <w:bookmarkEnd w:id="783"/>
      <w:bookmarkEnd w:id="784"/>
      <w:bookmarkEnd w:id="785"/>
      <w:bookmarkEnd w:id="786"/>
      <w:bookmarkEnd w:id="787"/>
    </w:p>
    <w:p>
      <w:pPr>
        <w:spacing w:line="360" w:lineRule="auto"/>
        <w:ind w:firstLine="602"/>
        <w:outlineLvl w:val="1"/>
        <w:rPr>
          <w:rFonts w:ascii="仿宋_GB2312" w:eastAsia="仿宋_GB2312"/>
          <w:b/>
          <w:sz w:val="30"/>
          <w:szCs w:val="30"/>
        </w:rPr>
      </w:pPr>
      <w:bookmarkStart w:id="788" w:name="_Toc3529"/>
      <w:bookmarkStart w:id="789" w:name="_Toc20365"/>
      <w:bookmarkStart w:id="790" w:name="_Toc11558"/>
      <w:bookmarkStart w:id="791" w:name="_Toc9514"/>
      <w:r>
        <w:rPr>
          <w:rFonts w:ascii="仿宋_GB2312" w:eastAsia="仿宋_GB2312"/>
          <w:b/>
          <w:sz w:val="30"/>
          <w:szCs w:val="30"/>
        </w:rPr>
        <w:t>（三）提升畜禽养殖废弃物综合利用水平</w:t>
      </w:r>
      <w:bookmarkEnd w:id="788"/>
      <w:bookmarkEnd w:id="789"/>
      <w:bookmarkEnd w:id="790"/>
      <w:bookmarkEnd w:id="791"/>
    </w:p>
    <w:p>
      <w:pPr>
        <w:spacing w:line="360" w:lineRule="auto"/>
        <w:ind w:firstLine="560"/>
        <w:outlineLvl w:val="1"/>
        <w:rPr>
          <w:rFonts w:ascii="仿宋_GB2312" w:eastAsia="仿宋_GB2312"/>
          <w:strike/>
          <w:szCs w:val="28"/>
        </w:rPr>
      </w:pPr>
      <w:bookmarkStart w:id="792" w:name="_Toc3877"/>
      <w:bookmarkStart w:id="793" w:name="_Toc16214"/>
      <w:bookmarkStart w:id="794" w:name="_Toc5611"/>
      <w:bookmarkStart w:id="795" w:name="_Toc26162"/>
      <w:bookmarkStart w:id="796" w:name="_Toc3488"/>
      <w:bookmarkStart w:id="797" w:name="_Toc30323"/>
      <w:bookmarkStart w:id="798" w:name="_Toc9561"/>
      <w:r>
        <w:rPr>
          <w:rFonts w:ascii="仿宋_GB2312" w:eastAsia="仿宋_GB2312"/>
          <w:szCs w:val="28"/>
        </w:rPr>
        <w:t>督促畜禽养殖场户落实污染防治主体责任，配套建设畜禽养殖废弃物综合利用和无害化处理设施。加快畜禽养殖废弃物资源化利用步伐，加强养殖废弃物收集、贮存、处理、利用设施建设，加强无害化处理设备研发、利用、推广，以肥料化和能源化为主要利用方向，加快畜禽养殖废弃物资源化利用整县推进项目建设。鼓励养殖场内配套建设养殖废弃物贮存发酵与田间粪肥贮存利用设施，对经过无害化处理的沼液、肥水等液态肥推广还田利用。支持畜禽规模养殖场或第三方服务机构收购养殖场经发酵的粪便或腐殖质加工成为有机肥；开展沼气发电或集中供气或生产生物天然气。</w:t>
      </w:r>
      <w:bookmarkEnd w:id="792"/>
      <w:bookmarkEnd w:id="793"/>
      <w:bookmarkEnd w:id="794"/>
      <w:bookmarkEnd w:id="795"/>
      <w:bookmarkEnd w:id="796"/>
      <w:bookmarkEnd w:id="797"/>
      <w:bookmarkEnd w:id="798"/>
    </w:p>
    <w:p>
      <w:pPr>
        <w:spacing w:line="360" w:lineRule="auto"/>
        <w:ind w:firstLine="602"/>
        <w:outlineLvl w:val="1"/>
        <w:rPr>
          <w:rFonts w:ascii="仿宋_GB2312" w:eastAsia="仿宋_GB2312"/>
          <w:b/>
          <w:sz w:val="30"/>
          <w:szCs w:val="30"/>
        </w:rPr>
      </w:pPr>
      <w:bookmarkStart w:id="799" w:name="_Toc24549"/>
      <w:bookmarkStart w:id="800" w:name="_Toc15598"/>
      <w:bookmarkStart w:id="801" w:name="_Toc26857"/>
      <w:bookmarkStart w:id="802" w:name="_Toc59656511"/>
      <w:bookmarkStart w:id="803" w:name="_Toc18229"/>
      <w:r>
        <w:rPr>
          <w:rFonts w:ascii="仿宋_GB2312" w:eastAsia="仿宋_GB2312"/>
          <w:b/>
          <w:sz w:val="30"/>
          <w:szCs w:val="30"/>
        </w:rPr>
        <w:t>（四）推进畜禽种养循环示范建设</w:t>
      </w:r>
      <w:bookmarkEnd w:id="799"/>
      <w:bookmarkEnd w:id="800"/>
      <w:bookmarkEnd w:id="801"/>
      <w:bookmarkEnd w:id="802"/>
      <w:bookmarkEnd w:id="803"/>
      <w:bookmarkStart w:id="804" w:name="_Toc59656512"/>
    </w:p>
    <w:bookmarkEnd w:id="804"/>
    <w:p>
      <w:pPr>
        <w:spacing w:line="360" w:lineRule="auto"/>
        <w:ind w:firstLine="560"/>
        <w:outlineLvl w:val="1"/>
        <w:rPr>
          <w:rFonts w:ascii="仿宋_GB2312" w:eastAsia="仿宋_GB2312"/>
          <w:szCs w:val="28"/>
        </w:rPr>
      </w:pPr>
      <w:bookmarkStart w:id="805" w:name="_Toc32078"/>
      <w:bookmarkStart w:id="806" w:name="_Toc9180"/>
      <w:bookmarkStart w:id="807" w:name="_Toc8091"/>
      <w:bookmarkStart w:id="808" w:name="_Toc13450"/>
      <w:bookmarkStart w:id="809" w:name="_Toc24402"/>
      <w:bookmarkStart w:id="810" w:name="_Toc26803"/>
      <w:bookmarkStart w:id="811" w:name="_Toc3200"/>
      <w:r>
        <w:rPr>
          <w:rFonts w:ascii="仿宋_GB2312" w:eastAsia="仿宋_GB2312"/>
          <w:szCs w:val="28"/>
        </w:rPr>
        <w:t>坚持适地适草，因地制宜利用山垅田、冬闲田、休耕地等大力发展青贮玉米、狗牙狼尾草、巨菌草等优质饲草料，发展“</w:t>
      </w:r>
      <w:r>
        <w:rPr>
          <w:rFonts w:ascii="仿宋_GB2312" w:eastAsia="仿宋_GB2312"/>
          <w:bCs/>
          <w:szCs w:val="28"/>
        </w:rPr>
        <w:t>畜</w:t>
      </w:r>
      <w:r>
        <w:rPr>
          <w:rFonts w:ascii="仿宋_GB2312" w:eastAsia="仿宋_GB2312"/>
          <w:szCs w:val="28"/>
        </w:rPr>
        <w:t>禽—沼—草—</w:t>
      </w:r>
      <w:r>
        <w:rPr>
          <w:rFonts w:ascii="仿宋_GB2312" w:eastAsia="仿宋_GB2312"/>
          <w:bCs/>
          <w:szCs w:val="28"/>
        </w:rPr>
        <w:t>畜</w:t>
      </w:r>
      <w:r>
        <w:rPr>
          <w:rFonts w:ascii="仿宋_GB2312" w:eastAsia="仿宋_GB2312"/>
          <w:szCs w:val="28"/>
        </w:rPr>
        <w:t>禽”生态养殖模式，实现农牧结合，适度规模，草畜平衡，循环发展。因地制宜推广水禽无水面养殖和家禽笼养、圈养、网床饲养等生态养殖模式，加快实施畜禽养殖废弃物资源化利用整县推进项目，建立健全种养紧密结合、农牧循环发展机制。巩固规模养殖场废弃物治理工程成果，持续培育</w:t>
      </w:r>
      <w:r>
        <w:rPr>
          <w:rFonts w:ascii="仿宋_GB2312" w:eastAsia="仿宋_GB2312"/>
          <w:szCs w:val="28"/>
          <w:lang w:val="en-US"/>
        </w:rPr>
        <w:t>1</w:t>
      </w:r>
      <w:r>
        <w:rPr>
          <w:rFonts w:ascii="仿宋_GB2312" w:eastAsia="仿宋_GB2312"/>
          <w:szCs w:val="28"/>
        </w:rPr>
        <w:t>家种养一体、循环利用的绿色畜牧示范场。</w:t>
      </w:r>
      <w:bookmarkEnd w:id="805"/>
      <w:bookmarkEnd w:id="806"/>
      <w:bookmarkEnd w:id="807"/>
      <w:bookmarkEnd w:id="808"/>
      <w:bookmarkEnd w:id="809"/>
      <w:bookmarkEnd w:id="810"/>
      <w:bookmarkEnd w:id="811"/>
    </w:p>
    <w:p>
      <w:pPr>
        <w:pStyle w:val="6"/>
        <w:numPr>
          <w:ilvl w:val="1"/>
          <w:numId w:val="0"/>
        </w:numPr>
        <w:spacing w:before="156" w:beforeLines="50" w:after="156" w:afterLines="50"/>
        <w:ind w:left="560" w:leftChars="200"/>
        <w:rPr>
          <w:rFonts w:hint="eastAsia" w:ascii="黑体" w:hAnsi="黑体" w:eastAsia="黑体"/>
          <w:b w:val="0"/>
          <w:bCs w:val="0"/>
          <w:sz w:val="30"/>
          <w:szCs w:val="30"/>
        </w:rPr>
      </w:pPr>
      <w:bookmarkStart w:id="812" w:name="_Toc59656513"/>
      <w:bookmarkStart w:id="813" w:name="_Toc26374"/>
      <w:bookmarkStart w:id="814" w:name="_Toc8332"/>
      <w:bookmarkStart w:id="815" w:name="_Toc23708"/>
      <w:r>
        <w:rPr>
          <w:rFonts w:hint="eastAsia" w:ascii="黑体" w:hAnsi="黑体" w:eastAsia="黑体"/>
          <w:b w:val="0"/>
          <w:bCs w:val="0"/>
          <w:sz w:val="30"/>
          <w:szCs w:val="30"/>
          <w:lang w:eastAsia="zh-CN"/>
        </w:rPr>
        <w:t>六</w:t>
      </w:r>
      <w:r>
        <w:rPr>
          <w:rFonts w:hint="eastAsia" w:ascii="黑体" w:hAnsi="黑体" w:eastAsia="黑体"/>
          <w:b w:val="0"/>
          <w:bCs w:val="0"/>
          <w:sz w:val="30"/>
          <w:szCs w:val="30"/>
        </w:rPr>
        <w:t>、构建动物疫病防控</w:t>
      </w:r>
      <w:bookmarkEnd w:id="812"/>
      <w:r>
        <w:rPr>
          <w:rFonts w:hint="eastAsia" w:ascii="黑体" w:hAnsi="黑体" w:eastAsia="黑体"/>
          <w:b w:val="0"/>
          <w:bCs w:val="0"/>
          <w:sz w:val="30"/>
          <w:szCs w:val="30"/>
        </w:rPr>
        <w:t>体系</w:t>
      </w:r>
      <w:bookmarkEnd w:id="813"/>
      <w:bookmarkEnd w:id="814"/>
      <w:bookmarkEnd w:id="815"/>
    </w:p>
    <w:p>
      <w:pPr>
        <w:spacing w:line="360" w:lineRule="auto"/>
        <w:ind w:firstLine="602"/>
        <w:outlineLvl w:val="1"/>
        <w:rPr>
          <w:rFonts w:ascii="仿宋_GB2312" w:eastAsia="仿宋_GB2312"/>
          <w:b/>
          <w:sz w:val="30"/>
          <w:szCs w:val="30"/>
        </w:rPr>
      </w:pPr>
      <w:bookmarkStart w:id="816" w:name="_Toc22945"/>
      <w:bookmarkStart w:id="817" w:name="_Toc9481"/>
      <w:bookmarkStart w:id="818" w:name="_Toc5990"/>
      <w:bookmarkStart w:id="819" w:name="_Toc16364"/>
      <w:r>
        <w:rPr>
          <w:rFonts w:ascii="仿宋_GB2312" w:eastAsia="仿宋_GB2312"/>
          <w:b/>
          <w:sz w:val="30"/>
          <w:szCs w:val="30"/>
        </w:rPr>
        <w:t>（一）推进动物疫病防控工作</w:t>
      </w:r>
      <w:bookmarkEnd w:id="816"/>
      <w:bookmarkEnd w:id="817"/>
      <w:bookmarkEnd w:id="818"/>
      <w:bookmarkEnd w:id="819"/>
    </w:p>
    <w:p>
      <w:pPr>
        <w:spacing w:line="360" w:lineRule="auto"/>
        <w:ind w:firstLine="560"/>
        <w:outlineLvl w:val="1"/>
        <w:rPr>
          <w:rFonts w:ascii="仿宋_GB2312" w:eastAsia="仿宋_GB2312"/>
          <w:szCs w:val="28"/>
        </w:rPr>
      </w:pPr>
      <w:bookmarkStart w:id="820" w:name="_Toc18685"/>
      <w:bookmarkStart w:id="821" w:name="_Toc27116"/>
      <w:bookmarkStart w:id="822" w:name="_Toc14242"/>
      <w:bookmarkStart w:id="823" w:name="_Toc26053"/>
      <w:bookmarkStart w:id="824" w:name="_Toc22812"/>
      <w:bookmarkStart w:id="825" w:name="_Toc1133"/>
      <w:r>
        <w:rPr>
          <w:rFonts w:ascii="仿宋_GB2312" w:eastAsia="仿宋_GB2312"/>
          <w:szCs w:val="28"/>
        </w:rPr>
        <w:t>建立全面的动物防疫公共财政保障机制，构建网络健全、队伍稳定、保障有力、处置高效的动物疫病防控体系。加强动物特聘防疫专员建设，夯实</w:t>
      </w:r>
      <w:r>
        <w:rPr>
          <w:rFonts w:ascii="仿宋_GB2312" w:eastAsia="仿宋_GB2312"/>
          <w:szCs w:val="28"/>
          <w:lang w:val="en-US"/>
        </w:rPr>
        <w:t>以</w:t>
      </w:r>
      <w:r>
        <w:rPr>
          <w:rFonts w:ascii="仿宋_GB2312" w:eastAsia="仿宋_GB2312"/>
          <w:szCs w:val="28"/>
        </w:rPr>
        <w:t>动物疫病预防控制机构和农业综合行政执法机构为监督，以村级动物防疫员、特聘动物防疫专员为技术支撑，以社会化服务机构为有力补充的动物疫病防控体系建设，提高动物疫病综合防控能力。推进兽医社会化服务体系建设，鼓励社会资本参与建设区域性无害化集中处理场，建立健全病死畜禽无害化收集转运体系。</w:t>
      </w:r>
      <w:bookmarkEnd w:id="820"/>
      <w:bookmarkEnd w:id="821"/>
      <w:bookmarkEnd w:id="822"/>
      <w:bookmarkEnd w:id="823"/>
      <w:bookmarkEnd w:id="824"/>
      <w:bookmarkEnd w:id="825"/>
    </w:p>
    <w:p>
      <w:pPr>
        <w:spacing w:line="360" w:lineRule="auto"/>
        <w:ind w:firstLine="602"/>
        <w:outlineLvl w:val="1"/>
        <w:rPr>
          <w:rFonts w:ascii="仿宋_GB2312" w:hAnsi="仿宋" w:eastAsia="仿宋_GB2312"/>
          <w:b/>
          <w:sz w:val="30"/>
          <w:szCs w:val="30"/>
        </w:rPr>
      </w:pPr>
      <w:bookmarkStart w:id="826" w:name="_Toc19241"/>
      <w:bookmarkStart w:id="827" w:name="_Toc10091"/>
      <w:bookmarkStart w:id="828" w:name="_Toc26766"/>
      <w:bookmarkStart w:id="829" w:name="_Toc599"/>
      <w:r>
        <w:rPr>
          <w:rFonts w:ascii="仿宋_GB2312" w:hAnsi="仿宋" w:eastAsia="仿宋_GB2312"/>
          <w:b/>
          <w:sz w:val="30"/>
          <w:szCs w:val="30"/>
        </w:rPr>
        <w:t>（二）提升重大动物疫病防控能力</w:t>
      </w:r>
      <w:bookmarkEnd w:id="826"/>
      <w:bookmarkEnd w:id="827"/>
      <w:bookmarkEnd w:id="828"/>
      <w:bookmarkEnd w:id="829"/>
    </w:p>
    <w:p>
      <w:pPr>
        <w:spacing w:line="360" w:lineRule="auto"/>
        <w:ind w:firstLine="560"/>
        <w:outlineLvl w:val="1"/>
        <w:rPr>
          <w:rFonts w:ascii="仿宋_GB2312" w:eastAsia="仿宋_GB2312"/>
          <w:szCs w:val="28"/>
        </w:rPr>
      </w:pPr>
      <w:bookmarkStart w:id="830" w:name="_Toc28584"/>
      <w:bookmarkStart w:id="831" w:name="_Toc25800"/>
      <w:bookmarkStart w:id="832" w:name="_Toc32677"/>
      <w:bookmarkStart w:id="833" w:name="_Toc8715"/>
      <w:bookmarkStart w:id="834" w:name="_Toc16916"/>
      <w:bookmarkStart w:id="835" w:name="_Toc6612"/>
      <w:bookmarkStart w:id="836" w:name="_Toc2346"/>
      <w:r>
        <w:rPr>
          <w:rFonts w:ascii="仿宋_GB2312" w:eastAsia="仿宋_GB2312"/>
          <w:szCs w:val="28"/>
        </w:rPr>
        <w:t>增强重大动物疫情监测能力。实施分区防控策略，推进动物疫病无疫小区建设，降低动物及其产品长距离调运传播疫情的风险。健全养殖、屠宰和运输全链条监管机制，优化动物疫病监测与流行病学调查制度。统筹做好家畜布病、牛结核病、动物狂犬病等主要人畜共患病防治，以及牛结节性皮肤病，</w:t>
      </w:r>
      <w:r>
        <w:rPr>
          <w:rFonts w:hint="default" w:eastAsia="仿宋_GB2312"/>
          <w:szCs w:val="28"/>
        </w:rPr>
        <w:t>H5N1、H7N9、H5N6、H5N8禽流</w:t>
      </w:r>
      <w:r>
        <w:rPr>
          <w:rFonts w:ascii="仿宋_GB2312" w:eastAsia="仿宋_GB2312"/>
          <w:szCs w:val="28"/>
        </w:rPr>
        <w:t>感的监测和防控；开展生猪高传染疫病扑杀保险工作，确保不发生非洲猪瘟疫情。</w:t>
      </w:r>
      <w:bookmarkEnd w:id="830"/>
      <w:bookmarkEnd w:id="831"/>
      <w:bookmarkEnd w:id="832"/>
      <w:bookmarkEnd w:id="833"/>
      <w:bookmarkEnd w:id="834"/>
      <w:bookmarkEnd w:id="835"/>
      <w:bookmarkEnd w:id="836"/>
    </w:p>
    <w:p>
      <w:pPr>
        <w:spacing w:line="360" w:lineRule="auto"/>
        <w:ind w:firstLine="602"/>
        <w:outlineLvl w:val="1"/>
        <w:rPr>
          <w:rFonts w:ascii="仿宋_GB2312" w:eastAsia="仿宋_GB2312"/>
          <w:b/>
          <w:sz w:val="30"/>
          <w:szCs w:val="30"/>
        </w:rPr>
      </w:pPr>
      <w:bookmarkStart w:id="837" w:name="_Toc32073"/>
      <w:bookmarkStart w:id="838" w:name="_Toc17641"/>
      <w:bookmarkStart w:id="839" w:name="_Toc9913"/>
      <w:bookmarkStart w:id="840" w:name="_Toc25909"/>
      <w:r>
        <w:rPr>
          <w:rFonts w:ascii="仿宋_GB2312" w:eastAsia="仿宋_GB2312"/>
          <w:b/>
          <w:sz w:val="30"/>
          <w:szCs w:val="30"/>
        </w:rPr>
        <w:t>（三）推进病死畜禽无害化处理</w:t>
      </w:r>
      <w:bookmarkEnd w:id="837"/>
      <w:bookmarkEnd w:id="838"/>
      <w:bookmarkEnd w:id="839"/>
      <w:bookmarkEnd w:id="840"/>
    </w:p>
    <w:p>
      <w:pPr>
        <w:spacing w:line="360" w:lineRule="auto"/>
        <w:ind w:firstLine="560"/>
        <w:outlineLvl w:val="1"/>
        <w:rPr>
          <w:rFonts w:ascii="仿宋_GB2312" w:eastAsia="仿宋_GB2312"/>
          <w:szCs w:val="28"/>
        </w:rPr>
      </w:pPr>
      <w:bookmarkStart w:id="841" w:name="_Toc27579"/>
      <w:bookmarkStart w:id="842" w:name="_Toc32085"/>
      <w:bookmarkStart w:id="843" w:name="_Toc26735"/>
      <w:bookmarkStart w:id="844" w:name="_Toc19559"/>
      <w:bookmarkStart w:id="845" w:name="_Toc17971"/>
      <w:bookmarkStart w:id="846" w:name="_Toc26739"/>
      <w:bookmarkStart w:id="847" w:name="_Toc14253"/>
      <w:r>
        <w:rPr>
          <w:rFonts w:ascii="仿宋_GB2312" w:eastAsia="仿宋_GB2312"/>
          <w:szCs w:val="28"/>
        </w:rPr>
        <w:t>养殖规模企业配备无害化处理设施设备，严格按照相关技术规范进行处理，逐步减少深埋、化尸窖、堆肥等处理方式，确保有效杀灭病原体，清洁安全，不污染环境。充分发挥财政资金的引导作用，引导社会资本投资建设大型无害化处理场，建立集中处理为主、自行分散处理为补充的处理体系，逐步提高专业无害化处理覆盖率。采用间热式高温高压灭菌脱水工艺处理病死畜禽，建设动物固废资源化利用项目。</w:t>
      </w:r>
      <w:bookmarkEnd w:id="841"/>
      <w:bookmarkEnd w:id="842"/>
      <w:bookmarkEnd w:id="843"/>
      <w:bookmarkEnd w:id="844"/>
      <w:bookmarkEnd w:id="845"/>
      <w:bookmarkEnd w:id="846"/>
      <w:bookmarkEnd w:id="847"/>
      <w:r>
        <w:rPr>
          <w:rFonts w:ascii="仿宋_GB2312" w:eastAsia="仿宋_GB2312"/>
          <w:szCs w:val="28"/>
        </w:rPr>
        <w:t>到</w:t>
      </w:r>
      <w:r>
        <w:rPr>
          <w:rFonts w:hint="default" w:ascii="仿宋_GB2312" w:eastAsia="仿宋_GB2312"/>
          <w:szCs w:val="28"/>
        </w:rPr>
        <w:t xml:space="preserve">2025年, </w:t>
      </w:r>
      <w:r>
        <w:rPr>
          <w:rFonts w:ascii="仿宋_GB2312" w:eastAsia="仿宋_GB2312"/>
          <w:szCs w:val="28"/>
          <w:lang w:val="en-US"/>
        </w:rPr>
        <w:t>全县病死畜禽无害化处理体系基本完善。</w:t>
      </w:r>
    </w:p>
    <w:p>
      <w:pPr>
        <w:spacing w:line="360" w:lineRule="auto"/>
        <w:ind w:firstLine="602"/>
        <w:outlineLvl w:val="1"/>
        <w:rPr>
          <w:rFonts w:ascii="仿宋_GB2312" w:eastAsia="仿宋_GB2312"/>
          <w:b/>
          <w:sz w:val="30"/>
          <w:szCs w:val="30"/>
        </w:rPr>
      </w:pPr>
      <w:bookmarkStart w:id="848" w:name="_Toc1789"/>
      <w:bookmarkStart w:id="849" w:name="_Toc30483"/>
      <w:bookmarkStart w:id="850" w:name="_Toc27784"/>
      <w:bookmarkStart w:id="851" w:name="_Toc10959"/>
      <w:r>
        <w:rPr>
          <w:rFonts w:ascii="仿宋_GB2312" w:eastAsia="仿宋_GB2312"/>
          <w:b/>
          <w:sz w:val="30"/>
          <w:szCs w:val="30"/>
        </w:rPr>
        <w:t>（四）推进动物疫病净化工作</w:t>
      </w:r>
      <w:bookmarkEnd w:id="848"/>
      <w:bookmarkEnd w:id="849"/>
      <w:bookmarkEnd w:id="850"/>
      <w:bookmarkEnd w:id="851"/>
    </w:p>
    <w:p>
      <w:pPr>
        <w:spacing w:line="360" w:lineRule="auto"/>
        <w:ind w:firstLine="560"/>
        <w:outlineLvl w:val="1"/>
        <w:rPr>
          <w:rFonts w:ascii="仿宋_GB2312" w:eastAsia="仿宋_GB2312"/>
          <w:szCs w:val="28"/>
          <w:lang w:val="en-US"/>
        </w:rPr>
      </w:pPr>
      <w:bookmarkStart w:id="852" w:name="_Toc30405"/>
      <w:bookmarkStart w:id="853" w:name="_Toc178"/>
      <w:bookmarkStart w:id="854" w:name="_Toc26918"/>
      <w:bookmarkStart w:id="855" w:name="_Toc27944"/>
      <w:bookmarkStart w:id="856" w:name="_Toc5462"/>
      <w:bookmarkStart w:id="857" w:name="_Toc6921"/>
      <w:bookmarkStart w:id="858" w:name="_Toc9787"/>
      <w:r>
        <w:rPr>
          <w:rFonts w:hint="eastAsia" w:ascii="仿宋_GB2312" w:eastAsia="仿宋_GB2312"/>
          <w:szCs w:val="28"/>
        </w:rPr>
        <w:t>以种畜禽场为重点，开展猪伪狂犬病、猪瘟、猪繁殖与呼吸综合征、禽白血病、禽沙门氏菌病等垂直传播性疫病净化，从源头提高畜禽健康安全水平。以规模奶畜养殖场为对象，稳步推进布鲁氏菌病、牛结核病等人畜共患病净化。以种畜禽场和规模养殖场为切入点，探索进行非洲猪瘟、高致病性禽流感、口蹄疫等重大动物疫病净化。推广免疫、监测、检疫、隔离、消毒、淘汰、扑杀、无害化处理等净化综合技术措施。优先选择有自然或人工屏障优势以及工作基础较好的养殖场户开展净化，通过净化一种或多种疫病提升区域动物疫病综合防控水平。探索构建点、线、面相结合的动物疫病净化组织形式，推广垂直净化和水平净化、免疫净化和非免疫净化、单病种净化和多病种协同净化等多种净化模式，培育一批先进典型净化场，打造一批动物疫病净化品牌。支持各类兽医技术服务单位、动物疫病诊断检测机构、兽药生产经营企业等延伸服务内容，提供动物疫病净化相关的免疫、监测、消毒、无害化处理等社会化服务。</w:t>
      </w:r>
      <w:r>
        <w:rPr>
          <w:rFonts w:ascii="仿宋_GB2312" w:eastAsia="仿宋_GB2312"/>
          <w:szCs w:val="28"/>
        </w:rPr>
        <w:t>继续实行净化认证奖补政策，推进种畜禽场重点疫病净化。切实做好净化维持，强化种畜禽场疫病监测和状况调查，跟踪监测阴性认证场的净化维持状态，开展认证场风险评估，对发现的生物安全漏洞及时督促整改。到</w:t>
      </w:r>
      <w:r>
        <w:rPr>
          <w:rFonts w:hint="default" w:ascii="仿宋_GB2312" w:eastAsia="仿宋_GB2312"/>
          <w:szCs w:val="28"/>
        </w:rPr>
        <w:t xml:space="preserve">2025年, </w:t>
      </w:r>
      <w:bookmarkEnd w:id="852"/>
      <w:bookmarkEnd w:id="853"/>
      <w:bookmarkEnd w:id="854"/>
      <w:bookmarkEnd w:id="855"/>
      <w:bookmarkEnd w:id="856"/>
      <w:r>
        <w:rPr>
          <w:rFonts w:ascii="仿宋_GB2312" w:eastAsia="仿宋_GB2312"/>
          <w:szCs w:val="28"/>
          <w:lang w:val="en-US"/>
        </w:rPr>
        <w:t>全县</w:t>
      </w:r>
      <w:r>
        <w:rPr>
          <w:rFonts w:hint="eastAsia" w:ascii="仿宋_GB2312" w:eastAsia="仿宋_GB2312"/>
          <w:szCs w:val="28"/>
          <w:lang w:val="en-US"/>
        </w:rPr>
        <w:t>畜禽核心育种场通过省级动物疫病净化场评估</w:t>
      </w:r>
      <w:r>
        <w:rPr>
          <w:rFonts w:ascii="仿宋_GB2312" w:eastAsia="仿宋_GB2312"/>
          <w:szCs w:val="28"/>
          <w:lang w:val="en-US"/>
        </w:rPr>
        <w:t>。</w:t>
      </w:r>
      <w:bookmarkEnd w:id="857"/>
      <w:bookmarkEnd w:id="858"/>
    </w:p>
    <w:p>
      <w:pPr>
        <w:spacing w:line="360" w:lineRule="auto"/>
        <w:ind w:firstLine="602"/>
        <w:outlineLvl w:val="1"/>
        <w:rPr>
          <w:rFonts w:ascii="仿宋_GB2312" w:eastAsia="仿宋_GB2312"/>
          <w:b/>
          <w:sz w:val="30"/>
          <w:szCs w:val="30"/>
        </w:rPr>
      </w:pPr>
      <w:bookmarkStart w:id="859" w:name="_Toc14506"/>
      <w:bookmarkStart w:id="860" w:name="_Toc31387"/>
      <w:bookmarkStart w:id="861" w:name="_Toc31956"/>
      <w:bookmarkStart w:id="862" w:name="_Toc19810"/>
      <w:r>
        <w:rPr>
          <w:rFonts w:ascii="仿宋_GB2312" w:eastAsia="仿宋_GB2312"/>
          <w:b/>
          <w:sz w:val="30"/>
          <w:szCs w:val="30"/>
        </w:rPr>
        <w:t>（五）完善动物防疫保障机制</w:t>
      </w:r>
      <w:bookmarkEnd w:id="859"/>
      <w:bookmarkEnd w:id="860"/>
      <w:bookmarkEnd w:id="861"/>
      <w:bookmarkEnd w:id="862"/>
    </w:p>
    <w:p>
      <w:pPr>
        <w:spacing w:line="360" w:lineRule="auto"/>
        <w:ind w:firstLine="560"/>
        <w:outlineLvl w:val="1"/>
        <w:rPr>
          <w:rFonts w:ascii="仿宋_GB2312" w:eastAsia="仿宋_GB2312"/>
          <w:szCs w:val="28"/>
        </w:rPr>
      </w:pPr>
      <w:bookmarkStart w:id="863" w:name="_Toc18225"/>
      <w:bookmarkStart w:id="864" w:name="_Toc6314"/>
      <w:bookmarkStart w:id="865" w:name="_Toc30332"/>
      <w:bookmarkStart w:id="866" w:name="_Toc2397"/>
      <w:bookmarkStart w:id="867" w:name="_Toc22325"/>
      <w:bookmarkStart w:id="868" w:name="_Toc18386"/>
      <w:bookmarkStart w:id="869" w:name="_Toc9456"/>
      <w:r>
        <w:rPr>
          <w:rFonts w:ascii="仿宋_GB2312" w:eastAsia="仿宋_GB2312"/>
          <w:szCs w:val="28"/>
        </w:rPr>
        <w:t>建立健全动物卫生监督体系，尽快依法配足与履行动物、动物产品检疫相适应的官方兽医力量，加强基层动物防疫冷链体系建设，提升动物疫病防控保障能力和社会化服务能力。</w:t>
      </w:r>
      <w:bookmarkEnd w:id="863"/>
      <w:bookmarkEnd w:id="864"/>
      <w:bookmarkEnd w:id="865"/>
      <w:bookmarkEnd w:id="866"/>
    </w:p>
    <w:p>
      <w:pPr>
        <w:spacing w:line="360" w:lineRule="auto"/>
        <w:ind w:firstLine="560"/>
        <w:outlineLvl w:val="1"/>
        <w:rPr>
          <w:rFonts w:ascii="仿宋_GB2312" w:eastAsia="仿宋_GB2312"/>
          <w:szCs w:val="28"/>
        </w:rPr>
      </w:pPr>
      <w:bookmarkStart w:id="870" w:name="_Toc14234"/>
      <w:bookmarkStart w:id="871" w:name="_Toc22282"/>
      <w:bookmarkStart w:id="872" w:name="_Toc17702"/>
      <w:bookmarkStart w:id="873" w:name="_Toc3845"/>
      <w:r>
        <w:rPr>
          <w:rFonts w:ascii="仿宋_GB2312" w:eastAsia="仿宋_GB2312"/>
          <w:szCs w:val="28"/>
        </w:rPr>
        <w:t>增强畜禽养殖行业管理、动物疫病防控预警能力，建立健全突发重</w:t>
      </w:r>
      <w:r>
        <w:rPr>
          <w:rFonts w:hint="default" w:eastAsia="仿宋_GB2312"/>
          <w:szCs w:val="28"/>
        </w:rPr>
        <w:t>大动物疫情的应急处置工作机制。对被评为省、部级标准化示范场的生猪养殖场（或存栏30万羽及以上的设施蛋鸡养殖场）实行生物安全</w:t>
      </w:r>
      <w:r>
        <w:rPr>
          <w:rFonts w:ascii="仿宋_GB2312" w:eastAsia="仿宋_GB2312"/>
          <w:szCs w:val="28"/>
        </w:rPr>
        <w:t>保护区制度。健全完善县、乡镇动物疫病防控应急预案，强化应急队伍演练，加强应急防控物资库建设，提升动物疫情应急处置能力。</w:t>
      </w:r>
      <w:bookmarkEnd w:id="867"/>
      <w:bookmarkEnd w:id="868"/>
      <w:bookmarkEnd w:id="869"/>
      <w:bookmarkEnd w:id="870"/>
      <w:bookmarkEnd w:id="871"/>
      <w:bookmarkEnd w:id="872"/>
      <w:bookmarkEnd w:id="873"/>
    </w:p>
    <w:p>
      <w:pPr>
        <w:pStyle w:val="14"/>
        <w:tabs>
          <w:tab w:val="right" w:leader="dot" w:pos="8296"/>
        </w:tabs>
        <w:spacing w:before="468" w:beforeLines="150" w:after="312" w:afterLines="100" w:line="240" w:lineRule="auto"/>
        <w:ind w:firstLine="0" w:firstLineChars="0"/>
        <w:jc w:val="center"/>
        <w:outlineLvl w:val="0"/>
        <w:rPr>
          <w:rFonts w:ascii="黑体" w:hAnsi="黑体" w:eastAsia="黑体"/>
          <w:kern w:val="2"/>
          <w:sz w:val="32"/>
          <w:szCs w:val="32"/>
          <w:lang w:val="en-US"/>
        </w:rPr>
      </w:pPr>
      <w:bookmarkStart w:id="874" w:name="_Toc2160"/>
      <w:bookmarkStart w:id="875" w:name="_Toc29063"/>
      <w:bookmarkStart w:id="876" w:name="_Toc22826"/>
      <w:r>
        <w:rPr>
          <w:rFonts w:ascii="黑体" w:hAnsi="黑体" w:eastAsia="黑体"/>
          <w:kern w:val="2"/>
          <w:sz w:val="32"/>
          <w:szCs w:val="32"/>
          <w:lang w:val="en-US"/>
        </w:rPr>
        <w:t>第六章  保障措施</w:t>
      </w:r>
      <w:bookmarkEnd w:id="874"/>
      <w:bookmarkEnd w:id="875"/>
      <w:bookmarkEnd w:id="876"/>
    </w:p>
    <w:bookmarkEnd w:id="557"/>
    <w:bookmarkEnd w:id="558"/>
    <w:p>
      <w:pPr>
        <w:pStyle w:val="6"/>
        <w:keepNext/>
        <w:keepLines/>
        <w:numPr>
          <w:ilvl w:val="0"/>
          <w:numId w:val="0"/>
        </w:numPr>
        <w:spacing w:before="156" w:beforeLines="50" w:after="156" w:afterLines="50"/>
        <w:ind w:left="560" w:leftChars="200"/>
        <w:rPr>
          <w:rFonts w:hint="eastAsia" w:ascii="黑体" w:hAnsi="黑体" w:eastAsia="黑体"/>
          <w:b w:val="0"/>
          <w:bCs w:val="0"/>
          <w:sz w:val="30"/>
          <w:szCs w:val="30"/>
        </w:rPr>
      </w:pPr>
      <w:bookmarkStart w:id="877" w:name="_Toc15883"/>
      <w:bookmarkStart w:id="878" w:name="_Toc25740"/>
      <w:bookmarkStart w:id="879" w:name="_Toc6469"/>
      <w:bookmarkStart w:id="880" w:name="_Toc26377"/>
      <w:bookmarkStart w:id="881" w:name="_Toc532972908"/>
      <w:r>
        <w:rPr>
          <w:rFonts w:hint="eastAsia" w:ascii="黑体" w:hAnsi="黑体" w:eastAsia="黑体"/>
          <w:b w:val="0"/>
          <w:bCs w:val="0"/>
          <w:sz w:val="30"/>
          <w:szCs w:val="30"/>
        </w:rPr>
        <w:t>一、强化组织领导</w:t>
      </w:r>
      <w:bookmarkEnd w:id="877"/>
      <w:bookmarkEnd w:id="878"/>
      <w:bookmarkEnd w:id="879"/>
      <w:bookmarkEnd w:id="880"/>
    </w:p>
    <w:bookmarkEnd w:id="881"/>
    <w:p>
      <w:pPr>
        <w:spacing w:line="360" w:lineRule="auto"/>
        <w:ind w:firstLine="560"/>
        <w:rPr>
          <w:rFonts w:ascii="仿宋_GB2312" w:eastAsia="仿宋_GB2312"/>
          <w:szCs w:val="28"/>
        </w:rPr>
      </w:pPr>
      <w:r>
        <w:rPr>
          <w:rFonts w:eastAsia="仿宋"/>
          <w:szCs w:val="28"/>
          <w:shd w:val="clear" w:color="auto" w:fill="FFFFFF"/>
        </w:rPr>
        <w:t>落实属地责任，将畜牧业高质量发展纳入乡村振兴考核范围和年度国民经济和社会发展计划，各地生猪出栏量不得低于目标任务。建立由县政府分管领导牵头，农业农村部门会同</w:t>
      </w:r>
      <w:r>
        <w:rPr>
          <w:rFonts w:ascii="仿宋_GB2312" w:eastAsia="仿宋_GB2312"/>
          <w:szCs w:val="28"/>
        </w:rPr>
        <w:t>发改、环保、财政、</w:t>
      </w:r>
      <w:r>
        <w:rPr>
          <w:rFonts w:ascii="仿宋_GB2312" w:eastAsia="仿宋_GB2312"/>
          <w:szCs w:val="28"/>
          <w:lang w:val="en-US"/>
        </w:rPr>
        <w:t>自然资源</w:t>
      </w:r>
      <w:r>
        <w:rPr>
          <w:rFonts w:ascii="仿宋_GB2312" w:eastAsia="仿宋_GB2312"/>
          <w:szCs w:val="28"/>
        </w:rPr>
        <w:t>等多部门协调联动机制，在环境影响审批、用地落实、技术攻关和财政金融扶持等方面形成工作合力，共同推进生态畜牧业发展。要加大宣传力度，总结推广先进典型和成功经验，增强养殖主体生态环保意识，营造全社会共同关注、支持畜牧业发展的良好氛围，促进全县现代畜牧业更好更快发展。</w:t>
      </w:r>
    </w:p>
    <w:p>
      <w:pPr>
        <w:spacing w:line="360" w:lineRule="auto"/>
        <w:ind w:firstLine="560"/>
        <w:rPr>
          <w:rFonts w:ascii="仿宋_GB2312" w:eastAsia="仿宋_GB2312"/>
          <w:szCs w:val="28"/>
        </w:rPr>
      </w:pPr>
      <w:r>
        <w:rPr>
          <w:rFonts w:ascii="仿宋_GB2312" w:eastAsia="仿宋_GB2312"/>
          <w:szCs w:val="28"/>
        </w:rPr>
        <w:t>各部门结合实际，围绕畜牧业布局方案及分解到的指标任务，制定畜牧业发展规划，明确发展目标，认真细化落实方案，统筹开展工作。各级主管部门认真履行规划指导、政策落实、项目落地、协调服务职能；财政部门落实各类畜牧业发展扶持资金，把畜牧一、二、三产业及其融合发展项目纳入乡村振兴及其产业振兴的重要扶持内容；其他部门立足自身职责，加强协同协作，密切配合推进规划实施，为全县畜牧业持续健康发展提供支撑。</w:t>
      </w:r>
    </w:p>
    <w:p>
      <w:pPr>
        <w:pStyle w:val="6"/>
        <w:keepNext/>
        <w:keepLines/>
        <w:numPr>
          <w:ilvl w:val="1"/>
          <w:numId w:val="0"/>
        </w:numPr>
        <w:spacing w:before="156" w:beforeLines="50" w:after="156" w:afterLines="50"/>
        <w:ind w:left="560" w:leftChars="200"/>
        <w:rPr>
          <w:rFonts w:hint="eastAsia" w:ascii="黑体" w:hAnsi="黑体" w:eastAsia="黑体"/>
          <w:b w:val="0"/>
          <w:bCs w:val="0"/>
          <w:sz w:val="30"/>
          <w:szCs w:val="30"/>
        </w:rPr>
      </w:pPr>
      <w:bookmarkStart w:id="882" w:name="_Toc14038"/>
      <w:bookmarkStart w:id="883" w:name="_Toc26343"/>
      <w:bookmarkStart w:id="884" w:name="_Toc20649"/>
      <w:bookmarkStart w:id="885" w:name="_Toc31373"/>
      <w:r>
        <w:rPr>
          <w:rFonts w:hint="eastAsia" w:ascii="黑体" w:hAnsi="黑体" w:eastAsia="黑体"/>
          <w:b w:val="0"/>
          <w:bCs w:val="0"/>
          <w:sz w:val="30"/>
          <w:szCs w:val="30"/>
        </w:rPr>
        <w:t>二、完善政策扶持</w:t>
      </w:r>
      <w:bookmarkEnd w:id="882"/>
      <w:bookmarkEnd w:id="883"/>
      <w:bookmarkEnd w:id="884"/>
      <w:bookmarkEnd w:id="885"/>
    </w:p>
    <w:p>
      <w:pPr>
        <w:spacing w:line="540" w:lineRule="exact"/>
        <w:ind w:firstLine="560"/>
        <w:rPr>
          <w:rFonts w:ascii="仿宋_GB2312" w:eastAsia="仿宋_GB2312"/>
          <w:szCs w:val="28"/>
        </w:rPr>
      </w:pPr>
      <w:bookmarkStart w:id="886" w:name="_Toc27450"/>
      <w:r>
        <w:rPr>
          <w:rFonts w:ascii="仿宋_GB2312" w:eastAsia="仿宋_GB2312"/>
          <w:szCs w:val="28"/>
        </w:rPr>
        <w:t>充分运用各类扶持政策，积极健全以绿色发展为导向的现代畜牧业政策框架体系。落实</w:t>
      </w:r>
      <w:r>
        <w:rPr>
          <w:rFonts w:ascii="仿宋_GB2312" w:hAnsi="宋体" w:eastAsia="仿宋_GB2312" w:cs="宋体"/>
          <w:szCs w:val="28"/>
          <w:lang w:val="en-US"/>
        </w:rPr>
        <w:t>相关</w:t>
      </w:r>
      <w:r>
        <w:rPr>
          <w:rFonts w:ascii="仿宋_GB2312" w:eastAsia="仿宋_GB2312"/>
          <w:szCs w:val="28"/>
        </w:rPr>
        <w:t>文件确定的扶持措施，尤其是加大财政支持力度，重点对龙头企业基地建设、良种繁育、养殖废弃物治理、产业融合、“畜牧五新”项目推广以及屠宰企业新（改、扩、迁）建等项目给予支持，带动社会资本投资。</w:t>
      </w:r>
      <w:bookmarkEnd w:id="886"/>
      <w:r>
        <w:rPr>
          <w:rFonts w:ascii="仿宋_GB2312" w:eastAsia="仿宋_GB2312"/>
          <w:szCs w:val="28"/>
        </w:rPr>
        <w:t>积极争取上级对畜牧业机械补贴力度，对符合补贴范围和条件的饲料加工机械设备、自动喂料系统、病死畜禽无害化处理设备、畜禽养殖废弃物资源化利用装备等实行敞开补贴。落实畜禽粪污资源化利用配套政策及规模养殖场内养殖相关活动农业用电政策。加大对畜牧业绿色发展的信贷支持力度，完善畜牧业保险政策，健全畜牧业信贷担保服务网络体系。对农业园区内配套建设的规模养殖场要区别于工业企业，简化环境评价手续。对畜牧业项目涉及的规费收取，依照支农惠农相关政策，经权限部门批准后可适当予以减免。根据《建设项目环境影响评价分类管理名录》，对于不涉及环境敏感区的规模化以下养殖场，不纳入建设项目环境影响评价管理。</w:t>
      </w:r>
    </w:p>
    <w:p>
      <w:pPr>
        <w:pStyle w:val="6"/>
        <w:keepNext/>
        <w:keepLines/>
        <w:numPr>
          <w:ilvl w:val="1"/>
          <w:numId w:val="0"/>
        </w:numPr>
        <w:spacing w:before="156" w:beforeLines="50" w:after="156" w:afterLines="50"/>
        <w:ind w:left="560" w:leftChars="200"/>
        <w:rPr>
          <w:rFonts w:hint="eastAsia" w:ascii="黑体" w:hAnsi="黑体" w:eastAsia="黑体"/>
          <w:b w:val="0"/>
          <w:bCs w:val="0"/>
          <w:sz w:val="30"/>
          <w:szCs w:val="30"/>
        </w:rPr>
      </w:pPr>
      <w:bookmarkStart w:id="887" w:name="_Toc2511"/>
      <w:bookmarkStart w:id="888" w:name="_Toc16407"/>
      <w:bookmarkStart w:id="889" w:name="_Toc3639"/>
      <w:bookmarkStart w:id="890" w:name="_Toc23689"/>
      <w:r>
        <w:rPr>
          <w:rFonts w:hint="eastAsia" w:ascii="黑体" w:hAnsi="黑体" w:eastAsia="黑体"/>
          <w:b w:val="0"/>
          <w:bCs w:val="0"/>
          <w:sz w:val="30"/>
          <w:szCs w:val="30"/>
        </w:rPr>
        <w:t>三、提供科技支撑</w:t>
      </w:r>
      <w:bookmarkEnd w:id="887"/>
      <w:bookmarkEnd w:id="888"/>
      <w:bookmarkEnd w:id="889"/>
      <w:bookmarkEnd w:id="890"/>
    </w:p>
    <w:p>
      <w:pPr>
        <w:spacing w:line="540" w:lineRule="exact"/>
        <w:ind w:firstLine="560"/>
        <w:rPr>
          <w:rFonts w:ascii="仿宋_GB2312" w:eastAsia="仿宋_GB2312"/>
          <w:szCs w:val="28"/>
        </w:rPr>
      </w:pPr>
      <w:r>
        <w:rPr>
          <w:rFonts w:ascii="仿宋_GB2312" w:eastAsia="仿宋_GB2312"/>
          <w:szCs w:val="28"/>
        </w:rPr>
        <w:t>加强产学研合作，充分利用科研院所、高等院校、技术推广机构、科技型企业等单位的科技创新平台，跨学科、跨部门、跨领域集聚科技资源，建立农科教、产学研紧密结合的科技创新体系。围绕制约畜牧业绿色发展的重大科技瓶颈、重点领域，开展科技攻关和研发，力争在良种培育、清洁生产、种养循环、疫病防控、质量安全、畜禽养殖废弃物资源化利用等关键环节取得突破。建立健全畜牧业科技示范推广体系，创新技术推广机制，加强科技推广力度，集成应用一批“两节一增”、非洲猪瘟综合防控、粪污资源化利用等畜牧业绿色发展新技术、新模式。进一步完善畜牧业标准体系，支持畜牧业龙头企业、行业协会修订相关标准，提升标准质量，加快标准推广实施。</w:t>
      </w:r>
    </w:p>
    <w:p>
      <w:pPr>
        <w:pStyle w:val="6"/>
        <w:keepNext/>
        <w:keepLines/>
        <w:numPr>
          <w:ilvl w:val="1"/>
          <w:numId w:val="0"/>
        </w:numPr>
        <w:spacing w:before="156" w:beforeLines="50" w:after="156" w:afterLines="50"/>
        <w:ind w:left="560" w:leftChars="200"/>
        <w:rPr>
          <w:rFonts w:hint="eastAsia" w:ascii="黑体" w:hAnsi="黑体" w:eastAsia="黑体"/>
          <w:b w:val="0"/>
          <w:bCs w:val="0"/>
          <w:sz w:val="30"/>
          <w:szCs w:val="30"/>
        </w:rPr>
      </w:pPr>
      <w:bookmarkStart w:id="891" w:name="_Toc2509"/>
      <w:bookmarkStart w:id="892" w:name="_Toc6828"/>
      <w:bookmarkStart w:id="893" w:name="_Toc31304"/>
      <w:bookmarkStart w:id="894" w:name="_Toc31739"/>
      <w:r>
        <w:rPr>
          <w:rFonts w:hint="eastAsia" w:ascii="黑体" w:hAnsi="黑体" w:eastAsia="黑体"/>
          <w:b w:val="0"/>
          <w:bCs w:val="0"/>
          <w:sz w:val="30"/>
          <w:szCs w:val="30"/>
        </w:rPr>
        <w:t>四、</w:t>
      </w:r>
      <w:bookmarkStart w:id="895" w:name="_Toc59656528"/>
      <w:r>
        <w:rPr>
          <w:rFonts w:hint="eastAsia" w:ascii="黑体" w:hAnsi="黑体" w:eastAsia="黑体"/>
          <w:b w:val="0"/>
          <w:bCs w:val="0"/>
          <w:sz w:val="30"/>
          <w:szCs w:val="30"/>
        </w:rPr>
        <w:t>强化项目管理</w:t>
      </w:r>
      <w:bookmarkEnd w:id="891"/>
      <w:bookmarkEnd w:id="892"/>
      <w:bookmarkEnd w:id="893"/>
      <w:bookmarkEnd w:id="894"/>
    </w:p>
    <w:p>
      <w:pPr>
        <w:spacing w:line="360" w:lineRule="auto"/>
        <w:ind w:firstLine="560"/>
        <w:rPr>
          <w:rFonts w:ascii="仿宋_GB2312" w:hAnsi="宋体" w:eastAsia="仿宋_GB2312"/>
          <w:szCs w:val="28"/>
        </w:rPr>
      </w:pPr>
      <w:r>
        <w:rPr>
          <w:rFonts w:ascii="仿宋_GB2312" w:eastAsia="仿宋_GB2312"/>
          <w:szCs w:val="28"/>
        </w:rPr>
        <w:t>根据工作部署，强化规划管理，通过规划生成计划和项目，不断完善优化项目库，实现任务项目化、项目清单化、清单具体化；保持战略定力又善于积极应变，抓部署、抓落实、抓反馈，抓龙头带动、抓链条配套，拓展畜牧业发展空间，加快发展特色现代畜牧产业；实行“先建后补”办法，发挥财政资金的引导和撬动作用，推动农业供给侧结构性改革，促进农业转型升级；推进信息公开，增强专项资金分配、使用、管理的透明度。督促项目实施单位维护项目计划的严肃性，按照批复（或备案）的投资计划、建设内容、绩效目标组织实施。</w:t>
      </w:r>
    </w:p>
    <w:p>
      <w:pPr>
        <w:pStyle w:val="6"/>
        <w:keepNext/>
        <w:keepLines/>
        <w:numPr>
          <w:ilvl w:val="1"/>
          <w:numId w:val="0"/>
        </w:numPr>
        <w:spacing w:before="156" w:beforeLines="50" w:after="156" w:afterLines="50"/>
        <w:ind w:left="560" w:leftChars="200"/>
        <w:rPr>
          <w:rFonts w:hint="eastAsia" w:ascii="黑体" w:hAnsi="黑体" w:eastAsia="黑体"/>
          <w:b w:val="0"/>
          <w:bCs w:val="0"/>
          <w:sz w:val="30"/>
          <w:szCs w:val="30"/>
        </w:rPr>
      </w:pPr>
      <w:bookmarkStart w:id="896" w:name="_Toc3198"/>
      <w:bookmarkStart w:id="897" w:name="_Toc18176"/>
      <w:bookmarkStart w:id="898" w:name="_Toc18532"/>
      <w:bookmarkStart w:id="899" w:name="_Toc14584"/>
      <w:r>
        <w:rPr>
          <w:rFonts w:hint="eastAsia" w:ascii="黑体" w:hAnsi="黑体" w:eastAsia="黑体"/>
          <w:b w:val="0"/>
          <w:bCs w:val="0"/>
          <w:sz w:val="30"/>
          <w:szCs w:val="30"/>
        </w:rPr>
        <w:t>五、加强依法治牧</w:t>
      </w:r>
      <w:bookmarkEnd w:id="895"/>
      <w:bookmarkEnd w:id="896"/>
      <w:bookmarkEnd w:id="897"/>
      <w:bookmarkEnd w:id="898"/>
      <w:bookmarkEnd w:id="899"/>
    </w:p>
    <w:p>
      <w:pPr>
        <w:spacing w:line="360" w:lineRule="auto"/>
        <w:ind w:firstLine="560"/>
        <w:rPr>
          <w:rFonts w:ascii="仿宋_GB2312" w:eastAsia="仿宋_GB2312"/>
          <w:szCs w:val="28"/>
        </w:rPr>
      </w:pPr>
      <w:r>
        <w:rPr>
          <w:rFonts w:ascii="仿宋_GB2312" w:eastAsia="仿宋_GB2312"/>
          <w:szCs w:val="28"/>
        </w:rPr>
        <w:t>严格执行畜牧兽医、畜禽养殖污染防治和公共安全监管等法律法规，健全完善畜种畜禽保护、动物疫病防控、畜禽屠宰管理、畜禽产品质量安全以及畜禽养殖污染防治等畜牧业规范管理机制。运用法律、经济、信用、监管、服务等手段，督促畜禽饲养、屠宰、经营等主体依法履行养殖污染治理、畜牧安全生产、重大动物疫病防控、畜产品安全等主体责任。指导督促新建扩建规模畜禽养殖场依法落实环保、动物防疫、设施农用地、使用林地等有关审批备案手续，依法加强监管。规范畜牧兽医服务准入制度，建立健全执业兽医继续教育机制，提高畜牧兽医服务队伍素质。加强畜牧兽医行政监管执法队伍和执业兽医、乡村兽医、防疫安全协管员队伍建设，强化再教育与培训，改善设施装备条件，夯实现代畜牧业发展基础。</w:t>
      </w:r>
      <w:bookmarkStart w:id="900" w:name="_Toc532972911"/>
      <w:bookmarkStart w:id="901" w:name="_Toc58781036"/>
      <w:bookmarkStart w:id="902" w:name="_Toc55808036"/>
    </w:p>
    <w:p>
      <w:pPr>
        <w:spacing w:line="360" w:lineRule="auto"/>
        <w:ind w:firstLine="560"/>
        <w:rPr>
          <w:rFonts w:ascii="仿宋_GB2312" w:eastAsia="仿宋_GB2312"/>
          <w:szCs w:val="28"/>
        </w:rPr>
      </w:pPr>
    </w:p>
    <w:p>
      <w:pPr>
        <w:spacing w:line="360" w:lineRule="auto"/>
        <w:rPr>
          <w:rFonts w:ascii="仿宋_GB2312" w:eastAsia="仿宋_GB2312"/>
          <w:sz w:val="32"/>
          <w:szCs w:val="32"/>
        </w:rPr>
      </w:pPr>
    </w:p>
    <w:p>
      <w:pPr>
        <w:spacing w:line="360" w:lineRule="auto"/>
        <w:rPr>
          <w:rFonts w:ascii="仿宋_GB2312" w:eastAsia="仿宋_GB2312"/>
          <w:sz w:val="32"/>
          <w:szCs w:val="32"/>
        </w:rPr>
      </w:pPr>
    </w:p>
    <w:p>
      <w:pPr>
        <w:spacing w:line="360" w:lineRule="auto"/>
        <w:rPr>
          <w:rFonts w:ascii="仿宋_GB2312" w:eastAsia="仿宋_GB2312"/>
          <w:sz w:val="32"/>
          <w:szCs w:val="32"/>
        </w:rPr>
      </w:pPr>
    </w:p>
    <w:bookmarkEnd w:id="900"/>
    <w:bookmarkEnd w:id="901"/>
    <w:bookmarkEnd w:id="902"/>
    <w:p>
      <w:pPr>
        <w:spacing w:line="360" w:lineRule="auto"/>
        <w:rPr>
          <w:rFonts w:ascii="仿宋_GB2312" w:hAnsi="宋体" w:eastAsia="仿宋_GB2312"/>
          <w:sz w:val="32"/>
          <w:szCs w:val="32"/>
        </w:rPr>
      </w:pPr>
    </w:p>
    <w:p>
      <w:pPr>
        <w:spacing w:line="360" w:lineRule="auto"/>
        <w:rPr>
          <w:rFonts w:ascii="仿宋_GB2312" w:hAnsi="宋体" w:eastAsia="仿宋_GB2312"/>
          <w:sz w:val="32"/>
          <w:szCs w:val="32"/>
        </w:rPr>
        <w:sectPr>
          <w:headerReference r:id="rId13" w:type="default"/>
          <w:footerReference r:id="rId14" w:type="default"/>
          <w:pgSz w:w="11906" w:h="16838"/>
          <w:pgMar w:top="1418" w:right="1440" w:bottom="1418" w:left="1440" w:header="851" w:footer="992" w:gutter="0"/>
          <w:cols w:space="720" w:num="1"/>
          <w:docGrid w:type="lines" w:linePitch="312" w:charSpace="0"/>
        </w:sectPr>
      </w:pPr>
    </w:p>
    <w:p>
      <w:pPr>
        <w:ind w:firstLine="560"/>
        <w:rPr>
          <w:rFonts w:hint="default"/>
          <w:szCs w:val="28"/>
          <w:lang w:val="en-US"/>
        </w:rPr>
      </w:pPr>
      <w:r>
        <w:rPr>
          <w:szCs w:val="28"/>
          <w:lang w:val="en-US"/>
        </w:rPr>
        <w:t>附件</w:t>
      </w:r>
    </w:p>
    <w:p>
      <w:pPr>
        <w:ind w:firstLine="560"/>
        <w:rPr>
          <w:szCs w:val="28"/>
        </w:rPr>
      </w:pPr>
      <w:r>
        <w:rPr>
          <w:szCs w:val="28"/>
        </w:rPr>
        <w:t xml:space="preserve">图1 </w:t>
      </w:r>
      <w:r>
        <w:rPr>
          <w:szCs w:val="28"/>
          <w:lang w:val="en-US"/>
        </w:rPr>
        <w:t>建宁县</w:t>
      </w:r>
      <w:r>
        <w:rPr>
          <w:szCs w:val="28"/>
        </w:rPr>
        <w:t>禁养区规划布局图</w:t>
      </w:r>
    </w:p>
    <w:p>
      <w:pPr>
        <w:pStyle w:val="17"/>
        <w:ind w:left="560" w:firstLine="560"/>
        <w:rPr>
          <w:szCs w:val="28"/>
        </w:rPr>
      </w:pPr>
      <w:r>
        <w:rPr>
          <w:szCs w:val="28"/>
        </w:rPr>
        <w:drawing>
          <wp:anchor distT="0" distB="0" distL="114300" distR="114300" simplePos="0" relativeHeight="251659264" behindDoc="0" locked="0" layoutInCell="1" allowOverlap="1">
            <wp:simplePos x="0" y="0"/>
            <wp:positionH relativeFrom="column">
              <wp:posOffset>41275</wp:posOffset>
            </wp:positionH>
            <wp:positionV relativeFrom="paragraph">
              <wp:posOffset>56515</wp:posOffset>
            </wp:positionV>
            <wp:extent cx="5261610" cy="7391400"/>
            <wp:effectExtent l="0" t="0" r="8890" b="0"/>
            <wp:wrapSquare wrapText="bothSides"/>
            <wp:docPr id="13" name="图片 2" descr="01建宁县禁养区规划布局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01建宁县禁养区规划布局图"/>
                    <pic:cNvPicPr>
                      <a:picLocks noChangeAspect="1"/>
                    </pic:cNvPicPr>
                  </pic:nvPicPr>
                  <pic:blipFill>
                    <a:blip r:embed="rId18"/>
                    <a:stretch>
                      <a:fillRect/>
                    </a:stretch>
                  </pic:blipFill>
                  <pic:spPr>
                    <a:xfrm>
                      <a:off x="0" y="0"/>
                      <a:ext cx="5261610" cy="7391400"/>
                    </a:xfrm>
                    <a:prstGeom prst="rect">
                      <a:avLst/>
                    </a:prstGeom>
                    <a:noFill/>
                    <a:ln>
                      <a:noFill/>
                    </a:ln>
                  </pic:spPr>
                </pic:pic>
              </a:graphicData>
            </a:graphic>
          </wp:anchor>
        </w:drawing>
      </w:r>
    </w:p>
    <w:p>
      <w:pPr>
        <w:ind w:firstLine="560"/>
        <w:rPr>
          <w:szCs w:val="28"/>
        </w:rPr>
      </w:pPr>
      <w:r>
        <w:rPr>
          <w:szCs w:val="28"/>
        </w:rPr>
        <w:t xml:space="preserve">图2 </w:t>
      </w:r>
      <w:r>
        <w:rPr>
          <w:szCs w:val="28"/>
          <w:lang w:val="en-US"/>
        </w:rPr>
        <w:t>建宁县</w:t>
      </w:r>
      <w:r>
        <w:rPr>
          <w:szCs w:val="28"/>
        </w:rPr>
        <w:t>生猪规模场分布示意图</w:t>
      </w:r>
    </w:p>
    <w:p>
      <w:pPr>
        <w:ind w:firstLine="560"/>
        <w:rPr>
          <w:szCs w:val="28"/>
        </w:rPr>
      </w:pPr>
      <w:r>
        <w:rPr>
          <w:szCs w:val="28"/>
        </w:rPr>
        <w:drawing>
          <wp:anchor distT="0" distB="0" distL="114300" distR="114300" simplePos="0" relativeHeight="251660288" behindDoc="0" locked="0" layoutInCell="1" allowOverlap="1">
            <wp:simplePos x="0" y="0"/>
            <wp:positionH relativeFrom="column">
              <wp:posOffset>49530</wp:posOffset>
            </wp:positionH>
            <wp:positionV relativeFrom="paragraph">
              <wp:posOffset>133350</wp:posOffset>
            </wp:positionV>
            <wp:extent cx="5261610" cy="7391400"/>
            <wp:effectExtent l="0" t="0" r="8890" b="0"/>
            <wp:wrapSquare wrapText="bothSides"/>
            <wp:docPr id="14" name="图片 3" descr="02建宁县生猪规模场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02建宁县生猪规模场分布示意图"/>
                    <pic:cNvPicPr>
                      <a:picLocks noChangeAspect="1"/>
                    </pic:cNvPicPr>
                  </pic:nvPicPr>
                  <pic:blipFill>
                    <a:blip r:embed="rId19"/>
                    <a:stretch>
                      <a:fillRect/>
                    </a:stretch>
                  </pic:blipFill>
                  <pic:spPr>
                    <a:xfrm>
                      <a:off x="0" y="0"/>
                      <a:ext cx="5261610" cy="7391400"/>
                    </a:xfrm>
                    <a:prstGeom prst="rect">
                      <a:avLst/>
                    </a:prstGeom>
                    <a:noFill/>
                    <a:ln>
                      <a:noFill/>
                    </a:ln>
                  </pic:spPr>
                </pic:pic>
              </a:graphicData>
            </a:graphic>
          </wp:anchor>
        </w:drawing>
      </w:r>
    </w:p>
    <w:p>
      <w:pPr>
        <w:ind w:firstLine="560"/>
        <w:rPr>
          <w:szCs w:val="28"/>
        </w:rPr>
      </w:pPr>
    </w:p>
    <w:p>
      <w:pPr>
        <w:ind w:firstLine="560"/>
        <w:rPr>
          <w:szCs w:val="28"/>
        </w:rPr>
      </w:pPr>
      <w:r>
        <w:rPr>
          <w:szCs w:val="28"/>
        </w:rPr>
        <w:t xml:space="preserve">图3 </w:t>
      </w:r>
      <w:r>
        <w:rPr>
          <w:szCs w:val="28"/>
          <w:lang w:val="en-US"/>
        </w:rPr>
        <w:t>建宁县</w:t>
      </w:r>
      <w:r>
        <w:rPr>
          <w:szCs w:val="28"/>
        </w:rPr>
        <w:t>家禽规模场分布示意图</w:t>
      </w:r>
    </w:p>
    <w:p>
      <w:pPr>
        <w:pStyle w:val="17"/>
        <w:ind w:left="560" w:firstLine="560"/>
        <w:rPr>
          <w:szCs w:val="28"/>
        </w:rPr>
      </w:pPr>
      <w:r>
        <w:rPr>
          <w:szCs w:val="28"/>
        </w:rPr>
        <w:drawing>
          <wp:anchor distT="0" distB="0" distL="114300" distR="114300" simplePos="0" relativeHeight="251661312" behindDoc="0" locked="0" layoutInCell="1" allowOverlap="1">
            <wp:simplePos x="0" y="0"/>
            <wp:positionH relativeFrom="column">
              <wp:posOffset>12700</wp:posOffset>
            </wp:positionH>
            <wp:positionV relativeFrom="paragraph">
              <wp:posOffset>127635</wp:posOffset>
            </wp:positionV>
            <wp:extent cx="5261610" cy="7391400"/>
            <wp:effectExtent l="0" t="0" r="8890" b="0"/>
            <wp:wrapSquare wrapText="bothSides"/>
            <wp:docPr id="10" name="图片 4" descr="03建宁县家禽规模场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03建宁县家禽规模场分布示意图"/>
                    <pic:cNvPicPr>
                      <a:picLocks noChangeAspect="1"/>
                    </pic:cNvPicPr>
                  </pic:nvPicPr>
                  <pic:blipFill>
                    <a:blip r:embed="rId20"/>
                    <a:stretch>
                      <a:fillRect/>
                    </a:stretch>
                  </pic:blipFill>
                  <pic:spPr>
                    <a:xfrm>
                      <a:off x="0" y="0"/>
                      <a:ext cx="5261610" cy="7391400"/>
                    </a:xfrm>
                    <a:prstGeom prst="rect">
                      <a:avLst/>
                    </a:prstGeom>
                    <a:noFill/>
                    <a:ln>
                      <a:noFill/>
                    </a:ln>
                  </pic:spPr>
                </pic:pic>
              </a:graphicData>
            </a:graphic>
          </wp:anchor>
        </w:drawing>
      </w:r>
    </w:p>
    <w:p>
      <w:pPr>
        <w:ind w:firstLine="560"/>
        <w:rPr>
          <w:szCs w:val="28"/>
        </w:rPr>
      </w:pPr>
      <w:r>
        <w:rPr>
          <w:szCs w:val="28"/>
        </w:rPr>
        <w:t xml:space="preserve">图4 </w:t>
      </w:r>
      <w:r>
        <w:rPr>
          <w:szCs w:val="28"/>
          <w:lang w:val="en-US"/>
        </w:rPr>
        <w:t>建宁县</w:t>
      </w:r>
      <w:r>
        <w:rPr>
          <w:szCs w:val="28"/>
        </w:rPr>
        <w:t>草食动物规模场分布示意图</w:t>
      </w:r>
    </w:p>
    <w:p>
      <w:pPr>
        <w:ind w:firstLine="560"/>
      </w:pPr>
      <w:r>
        <w:drawing>
          <wp:anchor distT="0" distB="0" distL="114300" distR="114300" simplePos="0" relativeHeight="251662336" behindDoc="0" locked="0" layoutInCell="1" allowOverlap="1">
            <wp:simplePos x="0" y="0"/>
            <wp:positionH relativeFrom="column">
              <wp:posOffset>124460</wp:posOffset>
            </wp:positionH>
            <wp:positionV relativeFrom="paragraph">
              <wp:posOffset>133985</wp:posOffset>
            </wp:positionV>
            <wp:extent cx="5261610" cy="7391400"/>
            <wp:effectExtent l="0" t="0" r="8890" b="0"/>
            <wp:wrapSquare wrapText="bothSides"/>
            <wp:docPr id="7" name="图片 5" descr="04建宁县草食动物规模场分布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04建宁县草食动物规模场分布示意图"/>
                    <pic:cNvPicPr>
                      <a:picLocks noChangeAspect="1"/>
                    </pic:cNvPicPr>
                  </pic:nvPicPr>
                  <pic:blipFill>
                    <a:blip r:embed="rId21"/>
                    <a:stretch>
                      <a:fillRect/>
                    </a:stretch>
                  </pic:blipFill>
                  <pic:spPr>
                    <a:xfrm>
                      <a:off x="0" y="0"/>
                      <a:ext cx="5261610" cy="7391400"/>
                    </a:xfrm>
                    <a:prstGeom prst="rect">
                      <a:avLst/>
                    </a:prstGeom>
                    <a:noFill/>
                    <a:ln>
                      <a:noFill/>
                    </a:ln>
                  </pic:spPr>
                </pic:pic>
              </a:graphicData>
            </a:graphic>
          </wp:anchor>
        </w:drawing>
      </w:r>
    </w:p>
    <w:bookmarkEnd w:id="7"/>
    <w:bookmarkEnd w:id="8"/>
    <w:bookmarkEnd w:id="9"/>
    <w:bookmarkEnd w:id="10"/>
    <w:bookmarkEnd w:id="11"/>
    <w:bookmarkEnd w:id="12"/>
    <w:bookmarkEnd w:id="13"/>
    <w:bookmarkEnd w:id="14"/>
    <w:bookmarkEnd w:id="15"/>
    <w:bookmarkEnd w:id="16"/>
    <w:p>
      <w:pPr>
        <w:pStyle w:val="6"/>
        <w:widowControl/>
        <w:numPr>
          <w:ilvl w:val="1"/>
          <w:numId w:val="0"/>
        </w:numPr>
        <w:tabs>
          <w:tab w:val="left" w:pos="720"/>
        </w:tabs>
        <w:spacing w:before="200" w:after="100" w:line="560" w:lineRule="exact"/>
        <w:ind w:firstLine="643" w:firstLineChars="200"/>
        <w:rPr>
          <w:rFonts w:eastAsia="仿宋"/>
          <w:iCs/>
          <w:color w:val="auto"/>
          <w:sz w:val="32"/>
          <w:szCs w:val="32"/>
        </w:rPr>
      </w:pPr>
      <w:bookmarkStart w:id="903" w:name="_Toc29995"/>
      <w:bookmarkStart w:id="904" w:name="_Toc3970"/>
      <w:bookmarkStart w:id="905" w:name="_Toc25346"/>
      <w:bookmarkStart w:id="906" w:name="_Toc28778"/>
      <w:bookmarkStart w:id="907" w:name="_Toc24568"/>
      <w:bookmarkStart w:id="908" w:name="_Toc20064"/>
      <w:bookmarkStart w:id="909" w:name="_Toc105676055"/>
      <w:bookmarkStart w:id="910" w:name="_Toc7374"/>
      <w:bookmarkStart w:id="911" w:name="_Toc19744"/>
      <w:bookmarkStart w:id="912" w:name="_Toc1706"/>
    </w:p>
    <w:bookmarkEnd w:id="903"/>
    <w:bookmarkEnd w:id="904"/>
    <w:bookmarkEnd w:id="905"/>
    <w:bookmarkEnd w:id="906"/>
    <w:bookmarkEnd w:id="907"/>
    <w:bookmarkEnd w:id="908"/>
    <w:bookmarkEnd w:id="909"/>
    <w:bookmarkEnd w:id="910"/>
    <w:bookmarkEnd w:id="911"/>
    <w:bookmarkEnd w:id="912"/>
    <w:p>
      <w:pPr>
        <w:widowControl/>
        <w:spacing w:line="240" w:lineRule="auto"/>
        <w:ind w:firstLine="0" w:firstLineChars="0"/>
        <w:outlineLvl w:val="0"/>
        <w:rPr>
          <w:rFonts w:hint="default" w:eastAsia="仿宋"/>
          <w:b/>
          <w:bCs/>
          <w:color w:val="auto"/>
          <w:kern w:val="2"/>
          <w:szCs w:val="22"/>
          <w:lang w:val="en-US"/>
        </w:rPr>
      </w:pPr>
      <w:bookmarkStart w:id="913" w:name="_Toc105676095"/>
      <w:bookmarkStart w:id="914" w:name="_Toc2096"/>
      <w:bookmarkStart w:id="915" w:name="_Toc11598"/>
      <w:bookmarkStart w:id="916" w:name="_Toc11372"/>
      <w:bookmarkStart w:id="917" w:name="_Toc25916"/>
      <w:bookmarkStart w:id="918" w:name="_Toc13905"/>
      <w:bookmarkStart w:id="919" w:name="_Toc8544"/>
      <w:bookmarkStart w:id="920" w:name="_Toc28802"/>
      <w:r>
        <w:rPr>
          <w:rFonts w:hint="default" w:eastAsia="仿宋"/>
          <w:b/>
          <w:bCs/>
          <w:color w:val="auto"/>
          <w:kern w:val="2"/>
          <w:szCs w:val="22"/>
          <w:lang w:val="en-US"/>
        </w:rPr>
        <w:t>附表1</w:t>
      </w:r>
      <w:r>
        <w:rPr>
          <w:rFonts w:eastAsia="仿宋"/>
          <w:b/>
          <w:bCs/>
          <w:color w:val="auto"/>
          <w:kern w:val="2"/>
          <w:szCs w:val="22"/>
          <w:lang w:val="en-US"/>
        </w:rPr>
        <w:t xml:space="preserve">     建宁</w:t>
      </w:r>
      <w:r>
        <w:rPr>
          <w:rFonts w:hint="default" w:eastAsia="仿宋"/>
          <w:b/>
          <w:bCs/>
          <w:color w:val="auto"/>
          <w:kern w:val="2"/>
          <w:szCs w:val="22"/>
          <w:lang w:val="en-US"/>
        </w:rPr>
        <w:t>县</w:t>
      </w:r>
      <w:r>
        <w:rPr>
          <w:rFonts w:eastAsia="仿宋"/>
          <w:b/>
          <w:bCs/>
          <w:color w:val="auto"/>
          <w:kern w:val="2"/>
          <w:szCs w:val="22"/>
          <w:lang w:val="en-US"/>
        </w:rPr>
        <w:t>“</w:t>
      </w:r>
      <w:r>
        <w:rPr>
          <w:rFonts w:hint="default" w:eastAsia="仿宋"/>
          <w:b/>
          <w:bCs/>
          <w:color w:val="auto"/>
          <w:kern w:val="2"/>
          <w:szCs w:val="22"/>
          <w:lang w:val="en-US"/>
        </w:rPr>
        <w:t>十四五</w:t>
      </w:r>
      <w:r>
        <w:rPr>
          <w:rFonts w:eastAsia="仿宋"/>
          <w:b/>
          <w:bCs/>
          <w:color w:val="auto"/>
          <w:kern w:val="2"/>
          <w:szCs w:val="22"/>
          <w:lang w:val="en-US"/>
        </w:rPr>
        <w:t>”</w:t>
      </w:r>
      <w:r>
        <w:rPr>
          <w:rFonts w:hint="default" w:eastAsia="仿宋"/>
          <w:b/>
          <w:bCs/>
          <w:color w:val="auto"/>
          <w:kern w:val="2"/>
          <w:szCs w:val="22"/>
          <w:lang w:val="en-US"/>
        </w:rPr>
        <w:t>畜牧业发展规划重点项目一览表</w:t>
      </w:r>
      <w:bookmarkEnd w:id="913"/>
      <w:bookmarkEnd w:id="914"/>
      <w:bookmarkEnd w:id="915"/>
      <w:bookmarkEnd w:id="916"/>
      <w:bookmarkEnd w:id="917"/>
      <w:bookmarkEnd w:id="918"/>
      <w:bookmarkEnd w:id="919"/>
      <w:bookmarkEnd w:id="920"/>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634"/>
        <w:gridCol w:w="3824"/>
        <w:gridCol w:w="926"/>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pStyle w:val="22"/>
              <w:spacing w:line="240" w:lineRule="auto"/>
              <w:ind w:firstLine="0" w:firstLineChars="0"/>
              <w:jc w:val="center"/>
              <w:rPr>
                <w:rFonts w:ascii="楷体" w:hAnsi="楷体" w:eastAsia="楷体" w:cs="楷体"/>
                <w:b/>
                <w:bCs/>
                <w:color w:val="auto"/>
                <w:kern w:val="2"/>
                <w:sz w:val="24"/>
                <w:szCs w:val="24"/>
                <w:lang w:val="en-US"/>
              </w:rPr>
            </w:pPr>
            <w:r>
              <w:rPr>
                <w:rFonts w:ascii="楷体" w:hAnsi="楷体" w:eastAsia="楷体" w:cs="楷体"/>
                <w:b/>
                <w:bCs/>
                <w:color w:val="auto"/>
                <w:kern w:val="2"/>
                <w:sz w:val="24"/>
                <w:szCs w:val="24"/>
                <w:lang w:val="en-US"/>
              </w:rPr>
              <w:t>序号</w:t>
            </w:r>
          </w:p>
        </w:tc>
        <w:tc>
          <w:tcPr>
            <w:tcW w:w="1634" w:type="dxa"/>
            <w:noWrap w:val="0"/>
            <w:vAlign w:val="center"/>
          </w:tcPr>
          <w:p>
            <w:pPr>
              <w:pStyle w:val="22"/>
              <w:spacing w:line="240" w:lineRule="auto"/>
              <w:ind w:firstLine="0" w:firstLineChars="0"/>
              <w:jc w:val="center"/>
              <w:rPr>
                <w:rFonts w:ascii="楷体" w:hAnsi="楷体" w:eastAsia="楷体" w:cs="楷体"/>
                <w:b/>
                <w:bCs/>
                <w:color w:val="auto"/>
                <w:kern w:val="2"/>
                <w:sz w:val="24"/>
                <w:szCs w:val="24"/>
                <w:lang w:val="en-US"/>
              </w:rPr>
            </w:pPr>
            <w:r>
              <w:rPr>
                <w:rFonts w:ascii="楷体" w:hAnsi="楷体" w:eastAsia="楷体" w:cs="楷体"/>
                <w:b/>
                <w:bCs/>
                <w:color w:val="auto"/>
                <w:kern w:val="2"/>
                <w:sz w:val="24"/>
                <w:szCs w:val="24"/>
                <w:lang w:val="en-US"/>
              </w:rPr>
              <w:t>项目名称</w:t>
            </w:r>
          </w:p>
        </w:tc>
        <w:tc>
          <w:tcPr>
            <w:tcW w:w="3824" w:type="dxa"/>
            <w:noWrap w:val="0"/>
            <w:vAlign w:val="center"/>
          </w:tcPr>
          <w:p>
            <w:pPr>
              <w:pStyle w:val="22"/>
              <w:spacing w:line="240" w:lineRule="auto"/>
              <w:ind w:firstLine="0" w:firstLineChars="0"/>
              <w:jc w:val="center"/>
              <w:rPr>
                <w:rFonts w:ascii="楷体" w:hAnsi="楷体" w:eastAsia="楷体" w:cs="楷体"/>
                <w:b/>
                <w:bCs/>
                <w:color w:val="auto"/>
                <w:kern w:val="2"/>
                <w:sz w:val="24"/>
                <w:szCs w:val="24"/>
                <w:lang w:val="en-US"/>
              </w:rPr>
            </w:pPr>
            <w:r>
              <w:rPr>
                <w:rFonts w:ascii="楷体" w:hAnsi="楷体" w:eastAsia="楷体" w:cs="楷体"/>
                <w:b/>
                <w:bCs/>
                <w:color w:val="auto"/>
                <w:kern w:val="2"/>
                <w:sz w:val="24"/>
                <w:szCs w:val="24"/>
                <w:lang w:val="en-US"/>
              </w:rPr>
              <w:t>主要建设内容及规模</w:t>
            </w:r>
          </w:p>
        </w:tc>
        <w:tc>
          <w:tcPr>
            <w:tcW w:w="926" w:type="dxa"/>
            <w:noWrap w:val="0"/>
            <w:vAlign w:val="center"/>
          </w:tcPr>
          <w:p>
            <w:pPr>
              <w:pStyle w:val="22"/>
              <w:spacing w:line="240" w:lineRule="auto"/>
              <w:ind w:firstLine="0" w:firstLineChars="0"/>
              <w:jc w:val="center"/>
              <w:rPr>
                <w:rFonts w:ascii="楷体" w:hAnsi="楷体" w:eastAsia="楷体" w:cs="楷体"/>
                <w:b/>
                <w:bCs/>
                <w:color w:val="auto"/>
                <w:kern w:val="2"/>
                <w:sz w:val="24"/>
                <w:szCs w:val="24"/>
                <w:lang w:val="en-US"/>
              </w:rPr>
            </w:pPr>
            <w:r>
              <w:rPr>
                <w:rFonts w:ascii="楷体" w:hAnsi="楷体" w:eastAsia="楷体" w:cs="楷体"/>
                <w:b/>
                <w:bCs/>
                <w:color w:val="auto"/>
                <w:kern w:val="2"/>
                <w:sz w:val="24"/>
                <w:szCs w:val="24"/>
                <w:lang w:val="en-US"/>
              </w:rPr>
              <w:t>总投资（万元）</w:t>
            </w:r>
          </w:p>
        </w:tc>
        <w:tc>
          <w:tcPr>
            <w:tcW w:w="1295" w:type="dxa"/>
            <w:noWrap w:val="0"/>
            <w:vAlign w:val="center"/>
          </w:tcPr>
          <w:p>
            <w:pPr>
              <w:pStyle w:val="22"/>
              <w:spacing w:line="240" w:lineRule="auto"/>
              <w:ind w:firstLine="0" w:firstLineChars="0"/>
              <w:jc w:val="center"/>
              <w:rPr>
                <w:rFonts w:ascii="楷体" w:hAnsi="楷体" w:eastAsia="楷体" w:cs="楷体"/>
                <w:b/>
                <w:bCs/>
                <w:color w:val="auto"/>
                <w:kern w:val="2"/>
                <w:sz w:val="24"/>
                <w:szCs w:val="24"/>
                <w:lang w:val="en-US"/>
              </w:rPr>
            </w:pPr>
            <w:r>
              <w:rPr>
                <w:rFonts w:ascii="楷体" w:hAnsi="楷体" w:eastAsia="楷体" w:cs="楷体"/>
                <w:b/>
                <w:bCs/>
                <w:color w:val="auto"/>
                <w:kern w:val="2"/>
                <w:sz w:val="24"/>
                <w:szCs w:val="24"/>
                <w:lang w:val="en-US"/>
              </w:rPr>
              <w:t>项目单位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3" w:hRule="atLeast"/>
        </w:trPr>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1</w:t>
            </w:r>
          </w:p>
        </w:tc>
        <w:tc>
          <w:tcPr>
            <w:tcW w:w="1634"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奶牛养殖基地项目</w:t>
            </w:r>
          </w:p>
        </w:tc>
        <w:tc>
          <w:tcPr>
            <w:tcW w:w="3824" w:type="dxa"/>
            <w:noWrap w:val="0"/>
            <w:vAlign w:val="center"/>
          </w:tcPr>
          <w:p>
            <w:pPr>
              <w:pStyle w:val="22"/>
              <w:spacing w:line="400" w:lineRule="exact"/>
              <w:ind w:firstLine="0" w:firstLineChars="0"/>
              <w:rPr>
                <w:rFonts w:hint="default" w:ascii="Times New Roman" w:hAnsi="Times New Roman" w:eastAsia="楷体" w:cs="Times New Roman"/>
                <w:sz w:val="24"/>
                <w:szCs w:val="24"/>
                <w:lang w:val="en-US"/>
              </w:rPr>
            </w:pPr>
            <w:r>
              <w:rPr>
                <w:rFonts w:hint="default" w:ascii="Times New Roman" w:hAnsi="Times New Roman" w:eastAsia="楷体" w:cs="Times New Roman"/>
                <w:color w:val="auto"/>
                <w:kern w:val="2"/>
                <w:sz w:val="24"/>
                <w:szCs w:val="24"/>
                <w:lang w:val="en-US"/>
              </w:rPr>
              <w:t>新增0.5万头奶牛养殖基地,建设牛舍及配套设施等17栋，购置自动精准饲喂系统1套、智能挤奶系统1套、自动环控系统1套、智能繁育系统1套、生物防疫系统1套、粪污资源化处理系统1套、远程可视化监管系统1套）。</w:t>
            </w:r>
          </w:p>
        </w:tc>
        <w:tc>
          <w:tcPr>
            <w:tcW w:w="926"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cs="Times New Roman"/>
                <w:sz w:val="24"/>
                <w:szCs w:val="24"/>
                <w:lang w:val="en-US"/>
              </w:rPr>
              <w:t>50000</w:t>
            </w:r>
          </w:p>
        </w:tc>
        <w:tc>
          <w:tcPr>
            <w:tcW w:w="129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建宁县竹薮牧业有限公司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2</w:t>
            </w:r>
          </w:p>
        </w:tc>
        <w:tc>
          <w:tcPr>
            <w:tcW w:w="1634"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标准化奶牛场建设项目</w:t>
            </w:r>
          </w:p>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p>
        </w:tc>
        <w:tc>
          <w:tcPr>
            <w:tcW w:w="382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建设标准化牛舍、饲料库、挤奶厅，购置养殖设施设备、饲料加工设备：挤奶加工设备、转盘清洗、制冷设备；及物联网信息化设施等。</w:t>
            </w:r>
          </w:p>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p>
        </w:tc>
        <w:tc>
          <w:tcPr>
            <w:tcW w:w="926" w:type="dxa"/>
            <w:noWrap w:val="0"/>
            <w:vAlign w:val="center"/>
          </w:tcPr>
          <w:p>
            <w:pPr>
              <w:pStyle w:val="22"/>
              <w:spacing w:line="400" w:lineRule="exact"/>
              <w:ind w:firstLine="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15000</w:t>
            </w:r>
          </w:p>
        </w:tc>
        <w:tc>
          <w:tcPr>
            <w:tcW w:w="129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建宁县滩角生态牧业有限</w:t>
            </w:r>
          </w:p>
          <w:p>
            <w:pPr>
              <w:pStyle w:val="22"/>
              <w:spacing w:line="400" w:lineRule="exact"/>
              <w:ind w:firstLine="0" w:firstLineChars="0"/>
              <w:jc w:val="center"/>
              <w:rPr>
                <w:rFonts w:hint="default" w:ascii="Times New Roman" w:hAnsi="Times New Roman" w:cs="Times New Roman"/>
              </w:rPr>
            </w:pPr>
            <w:r>
              <w:rPr>
                <w:rFonts w:hint="default" w:ascii="Times New Roman" w:hAnsi="Times New Roman" w:eastAsia="楷体" w:cs="Times New Roman"/>
                <w:color w:val="auto"/>
                <w:kern w:val="2"/>
                <w:sz w:val="24"/>
                <w:szCs w:val="24"/>
                <w:lang w:val="en-US"/>
              </w:rPr>
              <w:t>公司</w:t>
            </w:r>
          </w:p>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9" w:hRule="atLeast"/>
        </w:trPr>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3</w:t>
            </w:r>
          </w:p>
        </w:tc>
        <w:tc>
          <w:tcPr>
            <w:tcW w:w="1634"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标准化奶牛场建设项目</w:t>
            </w:r>
          </w:p>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p>
        </w:tc>
        <w:tc>
          <w:tcPr>
            <w:tcW w:w="382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建设标准化牛舍、饲料库、挤奶厅。购置养殖设施设备、饲料加工设备：挤奶加工设备、转盘清洗、制冷设备；及物联网信息化设施等。</w:t>
            </w:r>
          </w:p>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p>
        </w:tc>
        <w:tc>
          <w:tcPr>
            <w:tcW w:w="926" w:type="dxa"/>
            <w:noWrap w:val="0"/>
            <w:vAlign w:val="center"/>
          </w:tcPr>
          <w:p>
            <w:pPr>
              <w:pStyle w:val="22"/>
              <w:spacing w:line="400" w:lineRule="exact"/>
              <w:ind w:firstLine="0" w:firstLineChars="0"/>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20000</w:t>
            </w:r>
          </w:p>
        </w:tc>
        <w:tc>
          <w:tcPr>
            <w:tcW w:w="129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建宁县友兰生态牧业有限</w:t>
            </w:r>
          </w:p>
          <w:p>
            <w:pPr>
              <w:pStyle w:val="22"/>
              <w:spacing w:line="400" w:lineRule="exact"/>
              <w:ind w:firstLine="0" w:firstLineChars="0"/>
              <w:jc w:val="center"/>
              <w:rPr>
                <w:rFonts w:hint="default" w:ascii="Times New Roman" w:hAnsi="Times New Roman" w:cs="Times New Roman"/>
              </w:rPr>
            </w:pPr>
            <w:r>
              <w:rPr>
                <w:rFonts w:hint="default" w:ascii="Times New Roman" w:hAnsi="Times New Roman" w:eastAsia="楷体" w:cs="Times New Roman"/>
                <w:color w:val="auto"/>
                <w:kern w:val="2"/>
                <w:sz w:val="24"/>
                <w:szCs w:val="24"/>
                <w:lang w:val="en-US"/>
              </w:rPr>
              <w:t>公司</w:t>
            </w:r>
          </w:p>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eastAsia="zh-CN"/>
              </w:rPr>
            </w:pPr>
            <w:r>
              <w:rPr>
                <w:rFonts w:hint="default" w:ascii="Times New Roman" w:hAnsi="Times New Roman" w:eastAsia="楷体" w:cs="Times New Roman"/>
                <w:color w:val="auto"/>
                <w:kern w:val="2"/>
                <w:sz w:val="24"/>
                <w:szCs w:val="24"/>
                <w:lang w:val="en-US" w:eastAsia="zh-CN"/>
              </w:rPr>
              <w:t>4</w:t>
            </w:r>
          </w:p>
        </w:tc>
        <w:tc>
          <w:tcPr>
            <w:tcW w:w="1634"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畜禽粪污资源化利用（规模养殖场粪污治理）项目</w:t>
            </w:r>
          </w:p>
        </w:tc>
        <w:tc>
          <w:tcPr>
            <w:tcW w:w="3824"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1)“人工智能+沼液资源化利用”站区（2）沼液资源化利用管网。（3）新建设储液池，增加沼液运输车、铲车、拉粪车、沼液发电机。（4）污水流量计，远程水表，固液分离机。（5）智能可视化监控平台。（6）发酵罐工程、陈化车间。有机肥发酵车间、成品库房。</w:t>
            </w:r>
          </w:p>
        </w:tc>
        <w:tc>
          <w:tcPr>
            <w:tcW w:w="926"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eastAsia="zh-CN"/>
              </w:rPr>
              <w:t>2312</w:t>
            </w:r>
          </w:p>
        </w:tc>
        <w:tc>
          <w:tcPr>
            <w:tcW w:w="129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eastAsia="zh-CN"/>
              </w:rPr>
            </w:pPr>
            <w:r>
              <w:rPr>
                <w:rFonts w:hint="default" w:ascii="Times New Roman" w:hAnsi="Times New Roman" w:eastAsia="楷体" w:cs="Times New Roman"/>
                <w:color w:val="auto"/>
                <w:kern w:val="2"/>
                <w:sz w:val="24"/>
                <w:szCs w:val="24"/>
                <w:lang w:val="en-US"/>
              </w:rPr>
              <w:t>福建鑫锦宏农牧开发有限公司</w:t>
            </w:r>
            <w:r>
              <w:rPr>
                <w:rFonts w:hint="default" w:ascii="Times New Roman" w:hAnsi="Times New Roman" w:eastAsia="楷体" w:cs="Times New Roman"/>
                <w:color w:val="auto"/>
                <w:kern w:val="2"/>
                <w:sz w:val="24"/>
                <w:szCs w:val="24"/>
                <w:lang w:val="en-US" w:eastAsia="zh-CN"/>
              </w:rPr>
              <w:t>、</w:t>
            </w:r>
            <w:r>
              <w:rPr>
                <w:rFonts w:hint="default" w:ascii="Times New Roman" w:hAnsi="Times New Roman" w:eastAsia="楷体" w:cs="Times New Roman"/>
                <w:color w:val="auto"/>
                <w:kern w:val="2"/>
                <w:sz w:val="24"/>
                <w:szCs w:val="24"/>
                <w:lang w:val="en-US"/>
              </w:rPr>
              <w:t>建宁县上黎生态牧业有限公司</w:t>
            </w:r>
            <w:r>
              <w:rPr>
                <w:rFonts w:hint="default" w:ascii="Times New Roman" w:hAnsi="Times New Roman" w:eastAsia="楷体" w:cs="Times New Roman"/>
                <w:color w:val="auto"/>
                <w:kern w:val="2"/>
                <w:sz w:val="24"/>
                <w:szCs w:val="24"/>
                <w:lang w:val="en-US"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eastAsia="zh-CN"/>
              </w:rPr>
            </w:pPr>
            <w:r>
              <w:rPr>
                <w:rFonts w:hint="default" w:ascii="Times New Roman" w:hAnsi="Times New Roman" w:eastAsia="楷体" w:cs="Times New Roman"/>
                <w:color w:val="auto"/>
                <w:kern w:val="2"/>
                <w:sz w:val="24"/>
                <w:szCs w:val="24"/>
                <w:lang w:val="en-US" w:eastAsia="zh-CN"/>
              </w:rPr>
              <w:t>5</w:t>
            </w:r>
          </w:p>
        </w:tc>
        <w:tc>
          <w:tcPr>
            <w:tcW w:w="1634"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畜禽粪污资源化利用</w:t>
            </w:r>
            <w:r>
              <w:rPr>
                <w:rFonts w:hint="default" w:ascii="Times New Roman" w:hAnsi="Times New Roman" w:eastAsia="楷体" w:cs="Times New Roman"/>
                <w:color w:val="auto"/>
                <w:kern w:val="2"/>
                <w:sz w:val="24"/>
                <w:szCs w:val="24"/>
                <w:lang w:val="en-US" w:eastAsia="zh-CN"/>
              </w:rPr>
              <w:t>提升工程</w:t>
            </w:r>
            <w:r>
              <w:rPr>
                <w:rFonts w:hint="default" w:ascii="Times New Roman" w:hAnsi="Times New Roman" w:eastAsia="楷体" w:cs="Times New Roman"/>
                <w:color w:val="auto"/>
                <w:kern w:val="2"/>
                <w:sz w:val="24"/>
                <w:szCs w:val="24"/>
                <w:lang w:val="en-US"/>
              </w:rPr>
              <w:t>项目</w:t>
            </w:r>
          </w:p>
        </w:tc>
        <w:tc>
          <w:tcPr>
            <w:tcW w:w="3824"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新建核心区管道100亩、人工区管道1400亩、智能“水肥菌”一体</w:t>
            </w:r>
          </w:p>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化施肥机1台、叠片过滤器1台、砂石过滤器、电缆100米、配肥单元3个、储液桶3个、系统说明牌2块、田间分区管理机3台、堆粪棚1座、叠螺机1台、固液分离机2台、黑膜储液池7000立方米。</w:t>
            </w:r>
          </w:p>
        </w:tc>
        <w:tc>
          <w:tcPr>
            <w:tcW w:w="926"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eastAsia="zh-CN"/>
              </w:rPr>
            </w:pPr>
            <w:r>
              <w:rPr>
                <w:rFonts w:hint="default" w:ascii="Times New Roman" w:hAnsi="Times New Roman" w:eastAsia="楷体" w:cs="Times New Roman"/>
                <w:color w:val="auto"/>
                <w:kern w:val="2"/>
                <w:sz w:val="24"/>
                <w:szCs w:val="24"/>
                <w:lang w:val="en-US" w:eastAsia="zh-CN"/>
              </w:rPr>
              <w:t>318</w:t>
            </w:r>
          </w:p>
        </w:tc>
        <w:tc>
          <w:tcPr>
            <w:tcW w:w="129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仿宋_GB2312" w:cs="Times New Roman"/>
                <w:sz w:val="24"/>
                <w:lang w:val="en-US" w:bidi="ar"/>
              </w:rPr>
              <w:t>建宁县三泉生态农牧有限公司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5</w:t>
            </w:r>
          </w:p>
        </w:tc>
        <w:tc>
          <w:tcPr>
            <w:tcW w:w="163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标准有机肥厂项目</w:t>
            </w:r>
          </w:p>
        </w:tc>
        <w:tc>
          <w:tcPr>
            <w:tcW w:w="382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新建标准有机肥厂1个。</w:t>
            </w:r>
          </w:p>
        </w:tc>
        <w:tc>
          <w:tcPr>
            <w:tcW w:w="926"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1000</w:t>
            </w:r>
          </w:p>
        </w:tc>
        <w:tc>
          <w:tcPr>
            <w:tcW w:w="1295"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建宁天籁农业科技有限公司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b/>
                <w:bCs/>
                <w:sz w:val="24"/>
                <w:szCs w:val="24"/>
                <w:lang w:val="en-US"/>
              </w:rPr>
              <w:t>6</w:t>
            </w:r>
          </w:p>
        </w:tc>
        <w:tc>
          <w:tcPr>
            <w:tcW w:w="163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饲草料机械化生产加工示范基地项目</w:t>
            </w:r>
          </w:p>
        </w:tc>
        <w:tc>
          <w:tcPr>
            <w:tcW w:w="382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新建饲草料机械化生产加工示范基地1个，建设青贮窖、黄贮窖、干草库、精料库、饲料调配站等设施，购置土地翻耕机、起垄机、收割机、粉碎机、打包机、联合打捆机、青贮取料机、装卸车等设备。</w:t>
            </w:r>
          </w:p>
        </w:tc>
        <w:tc>
          <w:tcPr>
            <w:tcW w:w="926"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15000</w:t>
            </w:r>
          </w:p>
        </w:tc>
        <w:tc>
          <w:tcPr>
            <w:tcW w:w="1295"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建宁天籁农业科技有限公司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7</w:t>
            </w:r>
          </w:p>
        </w:tc>
        <w:tc>
          <w:tcPr>
            <w:tcW w:w="163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鲜奶加工生产线项目</w:t>
            </w:r>
          </w:p>
        </w:tc>
        <w:tc>
          <w:tcPr>
            <w:tcW w:w="382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新建鲜奶加工生产线1条，年新增产能1万吨。</w:t>
            </w:r>
          </w:p>
        </w:tc>
        <w:tc>
          <w:tcPr>
            <w:tcW w:w="926"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1000</w:t>
            </w:r>
          </w:p>
        </w:tc>
        <w:tc>
          <w:tcPr>
            <w:tcW w:w="1295"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福建明一天籁生态营养品有限公司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8</w:t>
            </w:r>
          </w:p>
        </w:tc>
        <w:tc>
          <w:tcPr>
            <w:tcW w:w="163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优质繁殖母猪生产基地</w:t>
            </w:r>
          </w:p>
        </w:tc>
        <w:tc>
          <w:tcPr>
            <w:tcW w:w="382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繁殖优质二元母猪3000头。年生产商品猪苗6万头。</w:t>
            </w:r>
          </w:p>
          <w:p>
            <w:pPr>
              <w:pStyle w:val="22"/>
              <w:spacing w:line="400" w:lineRule="exact"/>
              <w:ind w:firstLine="0" w:firstLineChars="0"/>
              <w:rPr>
                <w:rFonts w:hint="default" w:ascii="Times New Roman" w:hAnsi="Times New Roman" w:eastAsia="楷体" w:cs="Times New Roman"/>
                <w:color w:val="auto"/>
                <w:kern w:val="2"/>
                <w:sz w:val="24"/>
                <w:szCs w:val="24"/>
                <w:lang w:val="en-US"/>
              </w:rPr>
            </w:pPr>
          </w:p>
        </w:tc>
        <w:tc>
          <w:tcPr>
            <w:tcW w:w="926"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17500</w:t>
            </w:r>
          </w:p>
        </w:tc>
        <w:tc>
          <w:tcPr>
            <w:tcW w:w="1295"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rPr>
              <w:t>福建鑫锦宏农牧开发有限公司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3" w:hRule="atLeast"/>
        </w:trPr>
        <w:tc>
          <w:tcPr>
            <w:tcW w:w="645" w:type="dxa"/>
            <w:noWrap w:val="0"/>
            <w:vAlign w:val="center"/>
          </w:tcPr>
          <w:p>
            <w:pPr>
              <w:pStyle w:val="22"/>
              <w:spacing w:line="400" w:lineRule="exact"/>
              <w:ind w:firstLine="0" w:firstLineChars="0"/>
              <w:jc w:val="center"/>
              <w:rPr>
                <w:rFonts w:hint="default" w:ascii="Times New Roman" w:hAnsi="Times New Roman" w:eastAsia="楷体" w:cs="Times New Roman"/>
                <w:color w:val="auto"/>
                <w:kern w:val="2"/>
                <w:sz w:val="24"/>
                <w:szCs w:val="24"/>
                <w:lang w:val="en-US" w:eastAsia="zh-CN"/>
              </w:rPr>
            </w:pPr>
            <w:r>
              <w:rPr>
                <w:rFonts w:hint="default" w:ascii="Times New Roman" w:hAnsi="Times New Roman" w:eastAsia="楷体" w:cs="Times New Roman"/>
                <w:color w:val="auto"/>
                <w:kern w:val="2"/>
                <w:sz w:val="24"/>
                <w:szCs w:val="24"/>
                <w:lang w:val="en-US" w:eastAsia="zh-CN"/>
              </w:rPr>
              <w:t>9</w:t>
            </w:r>
          </w:p>
        </w:tc>
        <w:tc>
          <w:tcPr>
            <w:tcW w:w="163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eastAsia="zh-CN"/>
              </w:rPr>
              <w:t>蛋禽产业基地建设</w:t>
            </w:r>
          </w:p>
        </w:tc>
        <w:tc>
          <w:tcPr>
            <w:tcW w:w="3824"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eastAsia="zh-CN"/>
              </w:rPr>
              <w:t>新建面积1250平方钢结构标准化养殖场房一幢。笼架系统采用高品质铝锌合金材料；喂料行车及轨道，采用晟兴科技公司三项专利喂料设备；饮水系统，使用双水线保证用水均匀；采用自动清粪系统；自动集鸡蛋系统；自动通风降温系统；照明设备采用畜牧专用红光LED灯；自动电气控制系统和报警系统提高封闭式高密度养殖安全系数。建成后，新增养殖规模5万羽，新增产能年产鲜鸡蛋1090吨。</w:t>
            </w:r>
          </w:p>
        </w:tc>
        <w:tc>
          <w:tcPr>
            <w:tcW w:w="926"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eastAsia="zh-CN"/>
              </w:rPr>
            </w:pPr>
            <w:r>
              <w:rPr>
                <w:rFonts w:hint="default" w:ascii="Times New Roman" w:hAnsi="Times New Roman" w:eastAsia="楷体" w:cs="Times New Roman"/>
                <w:color w:val="auto"/>
                <w:kern w:val="2"/>
                <w:sz w:val="24"/>
                <w:szCs w:val="24"/>
                <w:lang w:val="en-US" w:eastAsia="zh-CN"/>
              </w:rPr>
              <w:t>450</w:t>
            </w:r>
          </w:p>
        </w:tc>
        <w:tc>
          <w:tcPr>
            <w:tcW w:w="1295" w:type="dxa"/>
            <w:noWrap w:val="0"/>
            <w:vAlign w:val="center"/>
          </w:tcPr>
          <w:p>
            <w:pPr>
              <w:pStyle w:val="22"/>
              <w:spacing w:line="400" w:lineRule="exact"/>
              <w:ind w:firstLine="0" w:firstLineChars="0"/>
              <w:rPr>
                <w:rFonts w:hint="default" w:ascii="Times New Roman" w:hAnsi="Times New Roman" w:eastAsia="楷体" w:cs="Times New Roman"/>
                <w:color w:val="auto"/>
                <w:kern w:val="2"/>
                <w:sz w:val="24"/>
                <w:szCs w:val="24"/>
                <w:lang w:val="en-US"/>
              </w:rPr>
            </w:pPr>
            <w:r>
              <w:rPr>
                <w:rFonts w:hint="default" w:ascii="Times New Roman" w:hAnsi="Times New Roman" w:eastAsia="楷体" w:cs="Times New Roman"/>
                <w:color w:val="auto"/>
                <w:kern w:val="2"/>
                <w:sz w:val="24"/>
                <w:szCs w:val="24"/>
                <w:lang w:val="en-US" w:eastAsia="zh-CN"/>
              </w:rPr>
              <w:t>建宁县建奇牧业有限责任公司</w:t>
            </w:r>
          </w:p>
        </w:tc>
      </w:tr>
    </w:tbl>
    <w:p/>
    <w:sectPr>
      <w:headerReference r:id="rId15" w:type="default"/>
      <w:footerReference r:id="rId16" w:type="default"/>
      <w:pgSz w:w="11906" w:h="16838"/>
      <w:pgMar w:top="1440" w:right="1800" w:bottom="1440" w:left="1800" w:header="851" w:footer="992"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pPr>
                          <w:r>
                            <w:fldChar w:fldCharType="begin"/>
                          </w:r>
                          <w:r>
                            <w:instrText xml:space="preserve"> PAGE  \* MERGEFORMAT </w:instrText>
                          </w:r>
                          <w:r>
                            <w:fldChar w:fldCharType="separate"/>
                          </w:r>
                          <w:r>
                            <w:rPr>
                              <w:rFonts w:hint="default"/>
                            </w:rP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G+QoMkBAACZ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Eb5CgyQEAAJkDAAAOAAAAAAAAAAEAIAAAAB4BAABkcnMvZTJvRG9j&#10;LnhtbFBLBQYAAAAABgAGAFkBAABZBQAAAAA=&#10;">
              <v:fill on="f" focussize="0,0"/>
              <v:stroke on="f"/>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rPr>
                        <w:rFonts w:hint="default"/>
                      </w:rP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pPr>
                          <w:r>
                            <w:fldChar w:fldCharType="begin"/>
                          </w:r>
                          <w:r>
                            <w:instrText xml:space="preserve"> PAGE  \* MERGEFORMAT </w:instrText>
                          </w:r>
                          <w:r>
                            <w:fldChar w:fldCharType="separate"/>
                          </w:r>
                          <w:r>
                            <w:rPr>
                              <w:rFonts w:hint="default"/>
                            </w:rPr>
                            <w:t>III</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rPr>
                        <w:rFonts w:hint="default"/>
                      </w:rP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pPr>
                          <w:r>
                            <w:fldChar w:fldCharType="begin"/>
                          </w:r>
                          <w:r>
                            <w:instrText xml:space="preserve"> PAGE  \* MERGEFORMAT </w:instrText>
                          </w:r>
                          <w:r>
                            <w:fldChar w:fldCharType="separate"/>
                          </w:r>
                          <w:r>
                            <w:rPr>
                              <w:rFonts w:hint="default"/>
                            </w:rPr>
                            <w:t>19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rPr>
                        <w:rFonts w:hint="default"/>
                      </w:rPr>
                      <w:t>19</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pPr>
                          <w:r>
                            <w:fldChar w:fldCharType="begin"/>
                          </w:r>
                          <w:r>
                            <w:instrText xml:space="preserve"> PAGE  \* MERGEFORMAT </w:instrText>
                          </w:r>
                          <w:r>
                            <w:fldChar w:fldCharType="separate"/>
                          </w:r>
                          <w:r>
                            <w:rPr>
                              <w:rFonts w:hint="default"/>
                            </w:rPr>
                            <w:t>25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v:fill on="f" focussize="0,0"/>
              <v:stroke on="f"/>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rPr>
                        <w:rFonts w:hint="default"/>
                      </w:rPr>
                      <w:t>25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pPr>
                          <w:r>
                            <w:fldChar w:fldCharType="begin"/>
                          </w:r>
                          <w:r>
                            <w:instrText xml:space="preserve"> PAGE  \* MERGEFORMAT </w:instrText>
                          </w:r>
                          <w:r>
                            <w:fldChar w:fldCharType="separate"/>
                          </w:r>
                          <w:r>
                            <w:rPr>
                              <w:rFonts w:hint="default"/>
                            </w:rPr>
                            <w:t>53</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xjdksgBAACb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VhS4rjFiV9+/rj8+nP5/Z2g&#10;DwXqA9SYdx8wMw3v/IDJsx/QmXkPKtr8RUYE4yjv+SqvHBIR+dF6tV5XGBIYmy+Izx6ehwjpvfSW&#10;ZKOhEedXZOWnj5DG1DklV3P+ThtTZmjcPw7EzB6Wex97zFYa9sNEaO/bM/LpcfQNdbjplJgPDpXN&#10;WzIbcTb2s3EMUR+6ska5HoTbY8ImSm+5wgg7FcaZFXbTfuWleHwvWQ//1PY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BcY3ZLIAQAAmwMAAA4AAAAAAAAAAQAgAAAAHgEAAGRycy9lMm9Eb2Mu&#10;eG1sUEsFBgAAAAAGAAYAWQEAAFgFAAAAAA==&#10;">
              <v:fill on="f" focussize="0,0"/>
              <v:stroke on="f"/>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rPr>
                        <w:rFonts w:hint="default"/>
                      </w:rPr>
                      <w:t>53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ind w:firstLine="360"/>
                            <w:jc w:val="center"/>
                          </w:pPr>
                          <w:r>
                            <w:fldChar w:fldCharType="begin"/>
                          </w:r>
                          <w:r>
                            <w:instrText xml:space="preserve">PAGE   \* MERGEFORMAT</w:instrText>
                          </w:r>
                          <w:r>
                            <w:fldChar w:fldCharType="separate"/>
                          </w:r>
                          <w:r>
                            <w:rPr>
                              <w:rFonts w:hint="default"/>
                            </w:rPr>
                            <w:t>59</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13"/>
                      <w:ind w:firstLine="360"/>
                      <w:jc w:val="center"/>
                    </w:pPr>
                    <w:r>
                      <w:fldChar w:fldCharType="begin"/>
                    </w:r>
                    <w:r>
                      <w:instrText xml:space="preserve">PAGE   \* MERGEFORMAT</w:instrText>
                    </w:r>
                    <w:r>
                      <w:fldChar w:fldCharType="separate"/>
                    </w:r>
                    <w:r>
                      <w:rPr>
                        <w:rFonts w:hint="default"/>
                      </w:rPr>
                      <w:t>59</w:t>
                    </w:r>
                    <w:r>
                      <w:fldChar w:fldCharType="end"/>
                    </w:r>
                  </w:p>
                </w:txbxContent>
              </v:textbox>
            </v:shape>
          </w:pict>
        </mc:Fallback>
      </mc:AlternateContent>
    </w:r>
  </w:p>
  <w:p>
    <w:pPr>
      <w:pStyle w:val="13"/>
      <w:ind w:firstLine="360"/>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jc w:val="center"/>
      <w:rPr>
        <w:rFonts w:ascii="仿宋" w:hAnsi="仿宋" w:eastAsia="仿宋"/>
      </w:rPr>
    </w:pPr>
    <w:r>
      <w:rPr>
        <w:rFonts w:ascii="仿宋" w:hAnsi="仿宋" w:eastAsia="仿宋"/>
        <w:lang w:val="en-US"/>
      </w:rPr>
      <w:t>建宁</w:t>
    </w:r>
    <w:r>
      <w:rPr>
        <w:rFonts w:ascii="仿宋" w:hAnsi="仿宋" w:eastAsia="仿宋"/>
      </w:rPr>
      <w:t>县畜牧业发展规划（2021-2025）</w:t>
    </w:r>
  </w:p>
  <w:p>
    <w:pPr>
      <w:pStyle w:val="4"/>
      <w:ind w:firstLine="0" w:firstLineChars="0"/>
      <w:jc w:val="center"/>
    </w:pPr>
    <w:r>
      <mc:AlternateContent>
        <mc:Choice Requires="wps">
          <w:drawing>
            <wp:anchor distT="0" distB="0" distL="114300" distR="114300" simplePos="0" relativeHeight="251665408" behindDoc="0" locked="0" layoutInCell="1" allowOverlap="1">
              <wp:simplePos x="0" y="0"/>
              <wp:positionH relativeFrom="column">
                <wp:posOffset>-3175</wp:posOffset>
              </wp:positionH>
              <wp:positionV relativeFrom="paragraph">
                <wp:posOffset>51435</wp:posOffset>
              </wp:positionV>
              <wp:extent cx="5282565"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2825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5pt;margin-top:4.05pt;height:0.05pt;width:415.95pt;z-index:251665408;mso-width-relative:page;mso-height-relative:page;" filled="f" stroked="t" coordsize="21600,21600" o:gfxdata="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9PfQPUAAAABQEAAA8AAAAAAAAAAQAgAAAAIgAAAGRycy9kb3ducmV2LnhtbFBLAQIU&#10;ABQAAAAIAIdO4kBOraln9wEAAOYDAAAOAAAAAAAAAAEAIAAAACMBAABkcnMvZTJvRG9jLnhtbFBL&#10;BQYAAAAABgAGAFkBAACMBQAAAAA=&#10;">
              <v:fill on="f" focussize="0,0"/>
              <v:stroke color="#000000" joinstyle="round"/>
              <v:imagedata o:title=""/>
              <o:lock v:ext="edit" aspectratio="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jc w:val="center"/>
      <w:rPr>
        <w:rFonts w:ascii="仿宋" w:hAnsi="仿宋" w:eastAsia="仿宋"/>
      </w:rPr>
    </w:pPr>
    <w:r>
      <w:rPr>
        <w:rFonts w:hint="default"/>
        <w:lang w:val="en-US"/>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219075</wp:posOffset>
              </wp:positionV>
              <wp:extent cx="5282565" cy="635"/>
              <wp:effectExtent l="0" t="0" r="0" b="0"/>
              <wp:wrapNone/>
              <wp:docPr id="9" name="直接连接符 9"/>
              <wp:cNvGraphicFramePr/>
              <a:graphic xmlns:a="http://schemas.openxmlformats.org/drawingml/2006/main">
                <a:graphicData uri="http://schemas.microsoft.com/office/word/2010/wordprocessingShape">
                  <wps:wsp>
                    <wps:cNvCnPr/>
                    <wps:spPr>
                      <a:xfrm>
                        <a:off x="0" y="0"/>
                        <a:ext cx="52825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7.25pt;height:0.05pt;width:415.95pt;z-index:251668480;mso-width-relative:page;mso-height-relative:page;" filled="f" stroked="t" coordsize="21600,21600" o:gfxdata="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nbUjjWAAAABgEAAA8AAAAAAAAAAQAgAAAAIgAAAGRycy9kb3ducmV2LnhtbFBLAQIU&#10;ABQAAAAIAIdO4kC73TS69QEAAOYDAAAOAAAAAAAAAAEAIAAAACUBAABkcnMvZTJvRG9jLnhtbFBL&#10;BQYAAAAABgAGAFkBAACMBQAAAAA=&#10;">
              <v:fill on="f" focussize="0,0"/>
              <v:stroke color="#000000" joinstyle="round"/>
              <v:imagedata o:title=""/>
              <o:lock v:ext="edit" aspectratio="f"/>
            </v:line>
          </w:pict>
        </mc:Fallback>
      </mc:AlternateContent>
    </w:r>
    <w:r>
      <w:rPr>
        <w:lang w:val="en-US"/>
      </w:rPr>
      <w:t>建宁</w:t>
    </w:r>
    <w:r>
      <w:rPr>
        <w:rFonts w:ascii="仿宋" w:hAnsi="仿宋" w:eastAsia="仿宋"/>
      </w:rPr>
      <w:t>县畜牧业发展规划（2021-2025）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5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jc w:val="center"/>
      <w:rPr>
        <w:rFonts w:ascii="仿宋" w:hAnsi="仿宋" w:eastAsia="仿宋"/>
      </w:rPr>
    </w:pPr>
    <w:r>
      <w:rPr>
        <w:rFonts w:hint="default"/>
        <w:lang w:val="en-US"/>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219075</wp:posOffset>
              </wp:positionV>
              <wp:extent cx="5282565" cy="635"/>
              <wp:effectExtent l="0" t="0" r="0" b="0"/>
              <wp:wrapNone/>
              <wp:docPr id="12" name="直接连接符 12"/>
              <wp:cNvGraphicFramePr/>
              <a:graphic xmlns:a="http://schemas.openxmlformats.org/drawingml/2006/main">
                <a:graphicData uri="http://schemas.microsoft.com/office/word/2010/wordprocessingShape">
                  <wps:wsp>
                    <wps:cNvCnPr/>
                    <wps:spPr>
                      <a:xfrm>
                        <a:off x="0" y="0"/>
                        <a:ext cx="52825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7.25pt;height:0.05pt;width:415.95pt;z-index:251667456;mso-width-relative:page;mso-height-relative:page;" filled="f" stroked="t" coordsize="21600,21600" o:gfxdata="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Z21I41gAAAAYBAAAPAAAAAAAAAAEAIAAAACIAAABkcnMvZG93bnJldi54bWxQSwEC&#10;FAAUAAAACACHTuJAdOPA8fYBAADoAwAADgAAAAAAAAABACAAAAAlAQAAZHJzL2Uyb0RvYy54bWxQ&#10;SwUGAAAAAAYABgBZAQAAjQUAAAAA&#10;">
              <v:fill on="f" focussize="0,0"/>
              <v:stroke color="#000000" joinstyle="round"/>
              <v:imagedata o:title=""/>
              <o:lock v:ext="edit" aspectratio="f"/>
            </v:line>
          </w:pict>
        </mc:Fallback>
      </mc:AlternateContent>
    </w:r>
    <w:r>
      <w:rPr>
        <w:lang w:val="en-US"/>
      </w:rPr>
      <w:t>建宁</w:t>
    </w:r>
    <w:r>
      <w:rPr>
        <w:rFonts w:ascii="仿宋" w:hAnsi="仿宋" w:eastAsia="仿宋"/>
      </w:rPr>
      <w:t>县畜牧业发展规划（2021-2025）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firstLine="0" w:firstLineChars="0"/>
      <w:jc w:val="center"/>
      <w:rPr>
        <w:rFonts w:ascii="仿宋" w:hAnsi="仿宋" w:eastAsia="仿宋"/>
      </w:rPr>
    </w:pPr>
    <w:r>
      <w:rPr>
        <w:rFonts w:hint="default"/>
        <w:lang w:val="en-US"/>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219075</wp:posOffset>
              </wp:positionV>
              <wp:extent cx="5282565" cy="635"/>
              <wp:effectExtent l="0" t="0" r="0" b="0"/>
              <wp:wrapNone/>
              <wp:docPr id="2" name="直接连接符 2"/>
              <wp:cNvGraphicFramePr/>
              <a:graphic xmlns:a="http://schemas.openxmlformats.org/drawingml/2006/main">
                <a:graphicData uri="http://schemas.microsoft.com/office/word/2010/wordprocessingShape">
                  <wps:wsp>
                    <wps:cNvCnPr/>
                    <wps:spPr>
                      <a:xfrm>
                        <a:off x="0" y="0"/>
                        <a:ext cx="52825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17.25pt;height:0.05pt;width:415.95pt;z-index:251666432;mso-width-relative:page;mso-height-relative:page;" filled="f" stroked="t" coordsize="21600,21600" o:gfxdata="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NnbUjjWAAAABgEAAA8AAAAAAAAAAQAgAAAAIgAAAGRycy9kb3ducmV2LnhtbFBLAQIU&#10;ABQAAAAIAIdO4kCwYGZt9QEAAOYDAAAOAAAAAAAAAAEAIAAAACUBAABkcnMvZTJvRG9jLnhtbFBL&#10;BQYAAAAABgAGAFkBAACMBQAAAAA=&#10;">
              <v:fill on="f" focussize="0,0"/>
              <v:stroke color="#000000" joinstyle="round"/>
              <v:imagedata o:title=""/>
              <o:lock v:ext="edit" aspectratio="f"/>
            </v:line>
          </w:pict>
        </mc:Fallback>
      </mc:AlternateContent>
    </w:r>
    <w:r>
      <w:rPr>
        <w:lang w:val="en-US"/>
      </w:rPr>
      <w:t>建宁</w:t>
    </w:r>
    <w:r>
      <w:rPr>
        <w:rFonts w:ascii="仿宋" w:hAnsi="仿宋" w:eastAsia="仿宋"/>
      </w:rPr>
      <w:t>县畜牧业发展规划（2021-2025）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A0F90A8"/>
    <w:multiLevelType w:val="singleLevel"/>
    <w:tmpl w:val="AA0F90A8"/>
    <w:lvl w:ilvl="0" w:tentative="0">
      <w:start w:val="3"/>
      <w:numFmt w:val="chineseCounting"/>
      <w:suff w:val="nothing"/>
      <w:lvlText w:val="（%1）"/>
      <w:lvlJc w:val="left"/>
      <w:rPr>
        <w:rFonts w:hint="eastAsia"/>
      </w:rPr>
    </w:lvl>
  </w:abstractNum>
  <w:abstractNum w:abstractNumId="1">
    <w:nsid w:val="F57F120A"/>
    <w:multiLevelType w:val="singleLevel"/>
    <w:tmpl w:val="F57F120A"/>
    <w:lvl w:ilvl="0" w:tentative="0">
      <w:start w:val="3"/>
      <w:numFmt w:val="decimal"/>
      <w:lvlText w:val="%1."/>
      <w:lvlJc w:val="left"/>
      <w:pPr>
        <w:tabs>
          <w:tab w:val="left" w:pos="312"/>
        </w:tabs>
      </w:pPr>
    </w:lvl>
  </w:abstractNum>
  <w:abstractNum w:abstractNumId="2">
    <w:nsid w:val="00276105"/>
    <w:multiLevelType w:val="singleLevel"/>
    <w:tmpl w:val="00276105"/>
    <w:lvl w:ilvl="0" w:tentative="0">
      <w:start w:val="6"/>
      <w:numFmt w:val="decimal"/>
      <w:lvlText w:val="%1."/>
      <w:lvlJc w:val="left"/>
      <w:pPr>
        <w:tabs>
          <w:tab w:val="left" w:pos="312"/>
        </w:tabs>
      </w:pPr>
    </w:lvl>
  </w:abstractNum>
  <w:abstractNum w:abstractNumId="3">
    <w:nsid w:val="1D69A0E4"/>
    <w:multiLevelType w:val="multilevel"/>
    <w:tmpl w:val="1D69A0E4"/>
    <w:lvl w:ilvl="0" w:tentative="0">
      <w:start w:val="1"/>
      <w:numFmt w:val="chineseCounting"/>
      <w:pStyle w:val="5"/>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8"/>
      <w:suff w:val="nothing"/>
      <w:lvlText w:val="（%4）"/>
      <w:lvlJc w:val="left"/>
      <w:pPr>
        <w:tabs>
          <w:tab w:val="left" w:pos="0"/>
        </w:tabs>
        <w:ind w:left="0"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4">
    <w:nsid w:val="5AC4B18D"/>
    <w:multiLevelType w:val="multilevel"/>
    <w:tmpl w:val="5AC4B18D"/>
    <w:lvl w:ilvl="0" w:tentative="0">
      <w:start w:val="1"/>
      <w:numFmt w:val="chineseCountingThousand"/>
      <w:suff w:val="space"/>
      <w:lvlText w:val="第%1章."/>
      <w:lvlJc w:val="left"/>
      <w:pPr>
        <w:ind w:left="425" w:hanging="425"/>
      </w:pPr>
      <w:rPr>
        <w:rFonts w:hint="eastAsia"/>
      </w:rPr>
    </w:lvl>
    <w:lvl w:ilvl="1" w:tentative="0">
      <w:start w:val="1"/>
      <w:numFmt w:val="decimal"/>
      <w:pStyle w:val="6"/>
      <w:isLgl/>
      <w:suff w:val="space"/>
      <w:lvlText w:val="%1.%2."/>
      <w:lvlJc w:val="left"/>
      <w:pPr>
        <w:ind w:left="1276" w:hanging="567"/>
      </w:pPr>
      <w:rPr>
        <w:rFonts w:hint="eastAsia"/>
      </w:rPr>
    </w:lvl>
    <w:lvl w:ilvl="2" w:tentative="0">
      <w:start w:val="1"/>
      <w:numFmt w:val="decimal"/>
      <w:isLgl/>
      <w:suff w:val="space"/>
      <w:lvlText w:val="%1.%2.%3."/>
      <w:lvlJc w:val="left"/>
      <w:pPr>
        <w:ind w:left="709" w:hanging="709"/>
      </w:pPr>
      <w:rPr>
        <w:rFonts w:hint="eastAsia"/>
      </w:rPr>
    </w:lvl>
    <w:lvl w:ilvl="3" w:tentative="0">
      <w:start w:val="1"/>
      <w:numFmt w:val="decimal"/>
      <w:lvlText w:val="%1.%2.%3.%4."/>
      <w:lvlJc w:val="left"/>
      <w:pPr>
        <w:ind w:left="850" w:hanging="850"/>
      </w:pPr>
      <w:rPr>
        <w:rFonts w:hint="eastAsia"/>
      </w:rPr>
    </w:lvl>
    <w:lvl w:ilvl="4" w:tentative="0">
      <w:start w:val="1"/>
      <w:numFmt w:val="decimal"/>
      <w:lvlText w:val="%1.%2.%3.%4.%5."/>
      <w:lvlJc w:val="left"/>
      <w:pPr>
        <w:ind w:left="991" w:hanging="991"/>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5" w:hanging="1275"/>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8" w:hanging="1558"/>
      </w:pPr>
      <w:rPr>
        <w:rFonts w:hint="eastAsia"/>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NlYzc2Y2E1Y2M0NjIwMDg0NjNhYjFiYzdmMmQ1MjgifQ=="/>
  </w:docVars>
  <w:rsids>
    <w:rsidRoot w:val="781C6DEE"/>
    <w:rsid w:val="122F0ABD"/>
    <w:rsid w:val="144F0F63"/>
    <w:rsid w:val="28C24964"/>
    <w:rsid w:val="32790043"/>
    <w:rsid w:val="44965AC2"/>
    <w:rsid w:val="4C7C21E6"/>
    <w:rsid w:val="4D344BA2"/>
    <w:rsid w:val="54FE14AC"/>
    <w:rsid w:val="66760986"/>
    <w:rsid w:val="73A85610"/>
    <w:rsid w:val="753B71DD"/>
    <w:rsid w:val="77507238"/>
    <w:rsid w:val="7783444E"/>
    <w:rsid w:val="781C6D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440" w:lineRule="exact"/>
      <w:ind w:firstLine="640" w:firstLineChars="200"/>
    </w:pPr>
    <w:rPr>
      <w:rFonts w:hint="eastAsia" w:ascii="Times New Roman" w:hAnsi="Times New Roman" w:eastAsia="宋体" w:cs="Times New Roman"/>
      <w:color w:val="000000"/>
      <w:sz w:val="28"/>
      <w:szCs w:val="24"/>
      <w:lang w:val="zh-CN" w:eastAsia="zh-CN" w:bidi="ar-SA"/>
    </w:rPr>
  </w:style>
  <w:style w:type="paragraph" w:styleId="5">
    <w:name w:val="heading 1"/>
    <w:basedOn w:val="1"/>
    <w:next w:val="1"/>
    <w:autoRedefine/>
    <w:qFormat/>
    <w:uiPriority w:val="9"/>
    <w:pPr>
      <w:numPr>
        <w:ilvl w:val="0"/>
        <w:numId w:val="1"/>
      </w:numPr>
      <w:tabs>
        <w:tab w:val="left" w:pos="0"/>
      </w:tabs>
      <w:autoSpaceDE w:val="0"/>
      <w:autoSpaceDN w:val="0"/>
      <w:adjustRightInd w:val="0"/>
      <w:ind w:left="0" w:firstLine="0" w:firstLineChars="0"/>
      <w:jc w:val="center"/>
      <w:outlineLvl w:val="0"/>
    </w:pPr>
    <w:rPr>
      <w:rFonts w:hint="default" w:ascii="宋体" w:hAnsi="宋体" w:eastAsia="黑体"/>
      <w:bCs/>
      <w:color w:val="auto"/>
      <w:kern w:val="2"/>
      <w:szCs w:val="30"/>
    </w:rPr>
  </w:style>
  <w:style w:type="paragraph" w:styleId="6">
    <w:name w:val="heading 2"/>
    <w:basedOn w:val="1"/>
    <w:next w:val="1"/>
    <w:autoRedefine/>
    <w:qFormat/>
    <w:uiPriority w:val="9"/>
    <w:pPr>
      <w:numPr>
        <w:ilvl w:val="1"/>
        <w:numId w:val="2"/>
      </w:numPr>
      <w:spacing w:line="360" w:lineRule="auto"/>
      <w:ind w:left="0" w:firstLine="0"/>
      <w:jc w:val="left"/>
      <w:outlineLvl w:val="1"/>
    </w:pPr>
    <w:rPr>
      <w:rFonts w:hint="default"/>
      <w:b/>
      <w:bCs/>
      <w:kern w:val="2"/>
      <w:szCs w:val="22"/>
      <w:lang w:val="en-US"/>
    </w:rPr>
  </w:style>
  <w:style w:type="paragraph" w:styleId="7">
    <w:name w:val="heading 3"/>
    <w:basedOn w:val="1"/>
    <w:next w:val="1"/>
    <w:autoRedefine/>
    <w:qFormat/>
    <w:uiPriority w:val="0"/>
    <w:pPr>
      <w:keepNext/>
      <w:keepLines/>
      <w:numPr>
        <w:ilvl w:val="2"/>
        <w:numId w:val="0"/>
      </w:numPr>
      <w:tabs>
        <w:tab w:val="left" w:pos="0"/>
        <w:tab w:val="left" w:pos="40"/>
      </w:tabs>
      <w:spacing w:line="240" w:lineRule="auto"/>
      <w:ind w:left="0" w:firstLine="480" w:firstLineChars="200"/>
      <w:outlineLvl w:val="2"/>
    </w:pPr>
    <w:rPr>
      <w:rFonts w:eastAsia="楷体"/>
      <w:b/>
      <w:bCs/>
      <w:kern w:val="2"/>
      <w:sz w:val="24"/>
      <w:szCs w:val="32"/>
      <w:lang w:val="en-US"/>
    </w:rPr>
  </w:style>
  <w:style w:type="paragraph" w:styleId="8">
    <w:name w:val="heading 4"/>
    <w:basedOn w:val="1"/>
    <w:next w:val="1"/>
    <w:autoRedefine/>
    <w:qFormat/>
    <w:uiPriority w:val="0"/>
    <w:pPr>
      <w:keepNext/>
      <w:keepLines/>
      <w:numPr>
        <w:ilvl w:val="3"/>
        <w:numId w:val="1"/>
      </w:numPr>
      <w:spacing w:line="360" w:lineRule="exact"/>
      <w:ind w:left="0" w:leftChars="0" w:firstLine="480" w:firstLineChars="200"/>
      <w:jc w:val="left"/>
      <w:outlineLvl w:val="3"/>
    </w:pPr>
    <w:rPr>
      <w:rFonts w:hint="default" w:ascii="Cambria" w:hAnsi="Cambria"/>
      <w:bCs/>
      <w:color w:val="auto"/>
      <w:sz w:val="21"/>
      <w:szCs w:val="28"/>
    </w:rPr>
  </w:style>
  <w:style w:type="character" w:default="1" w:styleId="19">
    <w:name w:val="Default Paragraph Font"/>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customStyle="1" w:styleId="2">
    <w:name w:val="新正文"/>
    <w:basedOn w:val="3"/>
    <w:next w:val="4"/>
    <w:autoRedefine/>
    <w:qFormat/>
    <w:uiPriority w:val="99"/>
    <w:pPr>
      <w:ind w:firstLine="200" w:firstLineChars="200"/>
    </w:pPr>
    <w:rPr>
      <w:rFonts w:ascii="仿宋_GB2312" w:hAnsi="Times New Roman" w:cs="Times New Roman"/>
      <w:sz w:val="32"/>
    </w:rPr>
  </w:style>
  <w:style w:type="paragraph" w:styleId="3">
    <w:name w:val="Plain Text"/>
    <w:basedOn w:val="1"/>
    <w:autoRedefine/>
    <w:qFormat/>
    <w:uiPriority w:val="99"/>
    <w:rPr>
      <w:rFonts w:ascii="宋体" w:hAnsi="Courier New" w:cs="Courier New"/>
      <w:szCs w:val="21"/>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index 5"/>
    <w:basedOn w:val="1"/>
    <w:next w:val="1"/>
    <w:unhideWhenUsed/>
    <w:qFormat/>
    <w:uiPriority w:val="0"/>
    <w:pPr>
      <w:ind w:left="1680"/>
    </w:pPr>
    <w:rPr>
      <w:rFonts w:ascii="Times New Roman" w:hAnsi="Times New Roman" w:eastAsia="仿宋_GB2312"/>
      <w:sz w:val="32"/>
      <w:szCs w:val="32"/>
    </w:rPr>
  </w:style>
  <w:style w:type="paragraph" w:styleId="10">
    <w:name w:val="annotation text"/>
    <w:basedOn w:val="1"/>
    <w:autoRedefine/>
    <w:qFormat/>
    <w:uiPriority w:val="0"/>
    <w:pPr>
      <w:jc w:val="left"/>
    </w:pPr>
  </w:style>
  <w:style w:type="paragraph" w:styleId="11">
    <w:name w:val="Body Text"/>
    <w:basedOn w:val="1"/>
    <w:autoRedefine/>
    <w:qFormat/>
    <w:uiPriority w:val="0"/>
    <w:rPr>
      <w:sz w:val="32"/>
    </w:rPr>
  </w:style>
  <w:style w:type="paragraph" w:styleId="12">
    <w:name w:val="Body Text Indent"/>
    <w:basedOn w:val="1"/>
    <w:next w:val="9"/>
    <w:autoRedefine/>
    <w:qFormat/>
    <w:uiPriority w:val="0"/>
    <w:pPr>
      <w:spacing w:after="120"/>
      <w:ind w:left="420" w:leftChars="200"/>
    </w:pPr>
  </w:style>
  <w:style w:type="paragraph" w:styleId="13">
    <w:name w:val="footer"/>
    <w:basedOn w:val="1"/>
    <w:qFormat/>
    <w:uiPriority w:val="99"/>
    <w:pPr>
      <w:tabs>
        <w:tab w:val="center" w:pos="4153"/>
        <w:tab w:val="right" w:pos="8306"/>
      </w:tabs>
      <w:snapToGrid w:val="0"/>
    </w:pPr>
    <w:rPr>
      <w:sz w:val="18"/>
      <w:szCs w:val="18"/>
    </w:rPr>
  </w:style>
  <w:style w:type="paragraph" w:styleId="14">
    <w:name w:val="toc 1"/>
    <w:basedOn w:val="1"/>
    <w:next w:val="1"/>
    <w:autoRedefine/>
    <w:qFormat/>
    <w:uiPriority w:val="0"/>
  </w:style>
  <w:style w:type="paragraph" w:styleId="15">
    <w:name w:val="toc 2"/>
    <w:basedOn w:val="1"/>
    <w:next w:val="1"/>
    <w:autoRedefine/>
    <w:qFormat/>
    <w:uiPriority w:val="0"/>
    <w:pPr>
      <w:ind w:left="420" w:leftChars="200"/>
    </w:pPr>
  </w:style>
  <w:style w:type="paragraph" w:styleId="16">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7">
    <w:name w:val="Body Text First Indent 2"/>
    <w:basedOn w:val="12"/>
    <w:next w:val="1"/>
    <w:autoRedefine/>
    <w:qFormat/>
    <w:uiPriority w:val="0"/>
    <w:pPr>
      <w:spacing w:before="100" w:beforeAutospacing="1"/>
      <w:ind w:left="0" w:firstLine="420"/>
    </w:pPr>
  </w:style>
  <w:style w:type="character" w:styleId="20">
    <w:name w:val="Hyperlink"/>
    <w:basedOn w:val="19"/>
    <w:autoRedefine/>
    <w:qFormat/>
    <w:uiPriority w:val="0"/>
    <w:rPr>
      <w:color w:val="0000FF"/>
      <w:u w:val="single"/>
    </w:rPr>
  </w:style>
  <w:style w:type="character" w:styleId="21">
    <w:name w:val="annotation reference"/>
    <w:basedOn w:val="19"/>
    <w:autoRedefine/>
    <w:qFormat/>
    <w:uiPriority w:val="0"/>
    <w:rPr>
      <w:sz w:val="21"/>
      <w:szCs w:val="21"/>
    </w:rPr>
  </w:style>
  <w:style w:type="paragraph" w:customStyle="1" w:styleId="22">
    <w:name w:val="p0"/>
    <w:basedOn w:val="1"/>
    <w:autoRedefine/>
    <w:qFormat/>
    <w:uiPriority w:val="0"/>
    <w:rPr>
      <w:sz w:val="28"/>
      <w:szCs w:val="20"/>
    </w:rPr>
  </w:style>
  <w:style w:type="character" w:customStyle="1" w:styleId="23">
    <w:name w:val="NormalCharacter"/>
    <w:autoRedefine/>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jpe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62</Pages>
  <Words>28245</Words>
  <Characters>30431</Characters>
  <Lines>0</Lines>
  <Paragraphs>0</Paragraphs>
  <TotalTime>0</TotalTime>
  <ScaleCrop>false</ScaleCrop>
  <LinksUpToDate>false</LinksUpToDate>
  <CharactersWithSpaces>30744</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2022-11-15T12:40:00Z</dcterms:created>
  <dc:creator>顺其自然</dc:creator>
  <cp:lastModifiedBy>Administrator</cp:lastModifiedBy>
  <dcterms:modified xsi:type="dcterms:W3CDTF">2024-03-12T02:23:44Z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8EC26555C25B4B5AB2F72D2BFD8952D4</vt:lpwstr>
  </property>
</Properties>
</file>