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0B30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w:t>
      </w:r>
    </w:p>
    <w:p w14:paraId="15062E3C">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w:t>
      </w:r>
    </w:p>
    <w:p w14:paraId="614A548B">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货物和服务项目</w:t>
      </w:r>
    </w:p>
    <w:p w14:paraId="17C3F352">
      <w:pPr>
        <w:pStyle w:val="7"/>
        <w:jc w:val="center"/>
        <w:outlineLvl w:val="0"/>
        <w:rPr>
          <w:rFonts w:hint="eastAsia" w:asciiTheme="minorEastAsia" w:hAnsiTheme="minorEastAsia" w:eastAsiaTheme="minorEastAsia" w:cstheme="minorEastAsia"/>
          <w:b/>
          <w:sz w:val="48"/>
        </w:rPr>
      </w:pPr>
      <w:r>
        <w:rPr>
          <w:rFonts w:hint="eastAsia" w:asciiTheme="minorEastAsia" w:hAnsiTheme="minorEastAsia" w:eastAsiaTheme="minorEastAsia" w:cstheme="minorEastAsia"/>
          <w:b/>
          <w:sz w:val="48"/>
        </w:rPr>
        <w:t>公开招标文件</w:t>
      </w:r>
    </w:p>
    <w:p w14:paraId="2EBC6BAF">
      <w:pPr>
        <w:pStyle w:val="7"/>
        <w:jc w:val="center"/>
        <w:outlineLvl w:val="0"/>
        <w:rPr>
          <w:rFonts w:hint="eastAsia" w:asciiTheme="minorEastAsia" w:hAnsiTheme="minorEastAsia" w:eastAsiaTheme="minorEastAsia" w:cstheme="minorEastAsia"/>
          <w:b/>
          <w:sz w:val="48"/>
        </w:rPr>
      </w:pPr>
    </w:p>
    <w:p w14:paraId="58E85978">
      <w:pPr>
        <w:pStyle w:val="7"/>
        <w:jc w:val="center"/>
        <w:outlineLvl w:val="0"/>
        <w:rPr>
          <w:rFonts w:hint="eastAsia" w:asciiTheme="minorEastAsia" w:hAnsiTheme="minorEastAsia" w:eastAsiaTheme="minorEastAsia" w:cstheme="minorEastAsia"/>
          <w:b/>
          <w:sz w:val="48"/>
        </w:rPr>
      </w:pPr>
    </w:p>
    <w:p w14:paraId="2194F645">
      <w:pPr>
        <w:pStyle w:val="7"/>
        <w:jc w:val="center"/>
        <w:outlineLvl w:val="0"/>
        <w:rPr>
          <w:rFonts w:hint="eastAsia" w:asciiTheme="minorEastAsia" w:hAnsiTheme="minorEastAsia" w:eastAsiaTheme="minorEastAsia" w:cstheme="minorEastAsia"/>
          <w:b/>
          <w:sz w:val="48"/>
        </w:rPr>
      </w:pPr>
    </w:p>
    <w:p w14:paraId="28393AA6">
      <w:pPr>
        <w:pStyle w:val="7"/>
        <w:jc w:val="center"/>
        <w:outlineLvl w:val="0"/>
        <w:rPr>
          <w:rFonts w:hint="eastAsia" w:asciiTheme="minorEastAsia" w:hAnsiTheme="minorEastAsia" w:eastAsiaTheme="minorEastAsia" w:cstheme="minorEastAsia"/>
          <w:b/>
          <w:sz w:val="48"/>
        </w:rPr>
      </w:pPr>
    </w:p>
    <w:p w14:paraId="12336540">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项目名称：福建闽江源国家级自然保护区智慧化建设（一期）项目</w:t>
      </w:r>
    </w:p>
    <w:p w14:paraId="3B8A32D7">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备案编号：CGXM-2026-350430-00249[2026]00273</w:t>
      </w:r>
    </w:p>
    <w:p w14:paraId="74CEC29C">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项目编号：[350430]HJZB[GK]2026004</w:t>
      </w:r>
    </w:p>
    <w:p w14:paraId="01401A01">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采购人：福建闽江源国家级自然保护区管理局</w:t>
      </w:r>
    </w:p>
    <w:p w14:paraId="351A618C">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代理机构：三明华建招标代理有限公司</w:t>
      </w:r>
    </w:p>
    <w:p w14:paraId="549650CE">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编制时间：2026年09月</w:t>
      </w:r>
    </w:p>
    <w:p w14:paraId="07EFEDC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47CC967">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第一章 投标邀请</w:t>
      </w:r>
    </w:p>
    <w:p w14:paraId="695F1C8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三明华建招标代理有限公司 采用公开招标方式组织 福建闽江源国家级自然保护区智慧化建设（一期）项目 （以下简称：“本项目”）的政府采购活动，现邀请供应商参加投标。</w:t>
      </w:r>
    </w:p>
    <w:p w14:paraId="477B3AD1">
      <w:pPr>
        <w:pStyle w:val="7"/>
        <w:ind w:firstLine="480"/>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1、备案编号：CGXM-2026-350430-00249[2026]00273</w:t>
      </w:r>
    </w:p>
    <w:p w14:paraId="3E4B271C">
      <w:pPr>
        <w:pStyle w:val="7"/>
        <w:ind w:firstLine="480"/>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2、项目编号：[350430]HJZB[GK]2026004</w:t>
      </w:r>
    </w:p>
    <w:p w14:paraId="49F36378">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3、预算金额、最高限价：详见《采购标的一览表》。</w:t>
      </w:r>
    </w:p>
    <w:p w14:paraId="5C50A1E6">
      <w:pPr>
        <w:pStyle w:val="7"/>
        <w:ind w:firstLine="480"/>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4、招标内容及要求：详见《采购标的一览表》及招标文件第五章。</w:t>
      </w:r>
    </w:p>
    <w:p w14:paraId="653D8641">
      <w:pPr>
        <w:pStyle w:val="7"/>
        <w:ind w:firstLine="480"/>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5、需要落实的政府采购政策</w:t>
      </w:r>
    </w:p>
    <w:p w14:paraId="05AF831B">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进口产品：不适用于本项目</w:t>
      </w:r>
    </w:p>
    <w:p w14:paraId="4665A741">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节能产品：适用于（采购包1），按照财政部《关于印发节能产品政府采购品目清单》（财库〔2019〕19号）或最新公布的品目清单执行</w:t>
      </w:r>
    </w:p>
    <w:p w14:paraId="2EE0E257">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环境标志产品：适用于（采购包1），按照财政部《关于印发环境标志产品政府采购品目清单的通知》（财库 〔2019〕18号）或最新公布的品目清单执行</w:t>
      </w:r>
    </w:p>
    <w:p w14:paraId="5BE2E1FC">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促进中小企业发展的相关政策：</w:t>
      </w:r>
    </w:p>
    <w:p w14:paraId="4EA4F6D7">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采购包1：不专门面向中小企业采购</w:t>
      </w:r>
    </w:p>
    <w:p w14:paraId="3260FA87">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6、投标人的资格要求</w:t>
      </w:r>
    </w:p>
    <w:p w14:paraId="4522423D">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6.1法定条件：符合政府采购法第二十二条第一款规定的条件。</w:t>
      </w:r>
    </w:p>
    <w:p w14:paraId="59F4985B">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6.2特定条件：</w:t>
      </w:r>
    </w:p>
    <w:p w14:paraId="027C493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36AF17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812E88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资格审查要求概况</w:t>
            </w:r>
          </w:p>
        </w:tc>
        <w:tc>
          <w:tcPr>
            <w:tcW w:w="4614" w:type="dxa"/>
          </w:tcPr>
          <w:p w14:paraId="03AFCB0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评审点具体描述</w:t>
            </w:r>
          </w:p>
        </w:tc>
      </w:tr>
      <w:tr w14:paraId="1D94A8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25A7080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资格承诺函</w:t>
            </w:r>
          </w:p>
        </w:tc>
        <w:tc>
          <w:tcPr>
            <w:tcW w:w="4614" w:type="dxa"/>
          </w:tcPr>
          <w:p w14:paraId="28E5768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3037B7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6D5A8B7">
            <w:pPr>
              <w:pStyle w:val="7"/>
              <w:rPr>
                <w:rFonts w:hint="default" w:asciiTheme="minorEastAsia" w:hAnsiTheme="minorEastAsia" w:eastAsiaTheme="minorEastAsia" w:cstheme="minorEastAsia"/>
                <w:lang w:val="en-US" w:eastAsia="zh-CN"/>
              </w:rPr>
            </w:pPr>
            <w:r>
              <w:rPr>
                <w:rFonts w:hint="eastAsia" w:asciiTheme="minorEastAsia" w:hAnsiTheme="minorEastAsia" w:cstheme="minorEastAsia"/>
                <w:lang w:val="en-US" w:eastAsia="zh-CN"/>
              </w:rPr>
              <w:t>授权委托书</w:t>
            </w:r>
          </w:p>
        </w:tc>
        <w:tc>
          <w:tcPr>
            <w:tcW w:w="4614" w:type="dxa"/>
          </w:tcPr>
          <w:p w14:paraId="5994986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参加投标时需随身携带本人身份证原件，授权代表参加投标时需随身携带本人身份证原件、单位负责人的授权委托书（以分公司名义参与投标，需提供如下证明材料之一：一是出具其总公司明确授权该分公司独立开展业务、且由总公司承担相应民事责任的书面授权书；二是提供总公司内部的相关文件或制度等证明材料，以证明总公司已授予该分公司独立开展业务的权限，并明确相关民事责任由总公司承担。）</w:t>
            </w:r>
          </w:p>
        </w:tc>
      </w:tr>
    </w:tbl>
    <w:p w14:paraId="667FC1DB">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6.3是否接受联合体投标：</w:t>
      </w:r>
    </w:p>
    <w:p w14:paraId="11E34FFA">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采购包1：不接受</w:t>
      </w:r>
    </w:p>
    <w:p w14:paraId="19C9809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rPr>
        <w:t>※根据上述资格要求，电子投标文件中应提交的“投标人的资格及资信证明文件”详见招标文件第四章。</w:t>
      </w:r>
    </w:p>
    <w:p w14:paraId="2DB83CA0">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7、招标文件的获取</w:t>
      </w:r>
    </w:p>
    <w:p w14:paraId="33381A74">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7.1、招标文件获取期限：详见招标公告或更正公告，若不一致，以更正公告为准。</w:t>
      </w:r>
    </w:p>
    <w:p w14:paraId="130326B8">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6ECCD8CC">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7.3、获取地点及方式：注册账号后，通过福建省政府采购网上公开信息系统以下载方式获取。</w:t>
      </w:r>
    </w:p>
    <w:p w14:paraId="1EE814C8">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7.4、招标文件售价：0元。</w:t>
      </w:r>
    </w:p>
    <w:p w14:paraId="3ABA769B">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8、投标截止</w:t>
      </w:r>
    </w:p>
    <w:p w14:paraId="76EF81B4">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8.1、投标截止时间：详见招标公告或更正公告，若不一致，以更正公告为准。</w:t>
      </w:r>
    </w:p>
    <w:p w14:paraId="6A9A44BA">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8.2、投标人应在投标截止时间前按照福建省政府采购网上公开信息系统设定的操作流程将电子投标文件上传至福建省政府采购网上公开信息系统，否则投标将被拒绝。</w:t>
      </w:r>
    </w:p>
    <w:p w14:paraId="28926E2C">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9、开标时间及地点</w:t>
      </w:r>
    </w:p>
    <w:p w14:paraId="0EB2ADFA">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详见招标公告或更正公告，若不一致，以更正公告为准。</w:t>
      </w:r>
    </w:p>
    <w:p w14:paraId="0106607E">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10、公告期限</w:t>
      </w:r>
    </w:p>
    <w:p w14:paraId="45C1F467">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10.1、招标公告的公告期限：自财政部和福建省财政厅指定的政府采购信息发布媒体最先发布公告之日起5个工作日。</w:t>
      </w:r>
    </w:p>
    <w:p w14:paraId="3505625B">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10.2、招标文件公告期限：招标文件随同招标公告一并发布，其公告期限与招标公告的公告期限保持一致。</w:t>
      </w:r>
    </w:p>
    <w:p w14:paraId="49132EEF">
      <w:pPr>
        <w:pStyle w:val="7"/>
        <w:ind w:firstLine="480"/>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11、采购人：福建闽江源国家级自然保护区管理局</w:t>
      </w:r>
    </w:p>
    <w:p w14:paraId="0C821F88">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地址： 福建省三明市建宁县濉溪镇学苑东路9号</w:t>
      </w:r>
    </w:p>
    <w:p w14:paraId="49854FA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邮编： 354500</w:t>
      </w:r>
    </w:p>
    <w:p w14:paraId="3D888C6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联系人： 黄先生</w:t>
      </w:r>
    </w:p>
    <w:p w14:paraId="7F8D132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联系电话： 0598-3956373</w:t>
      </w:r>
    </w:p>
    <w:p w14:paraId="48FFDEC1">
      <w:pPr>
        <w:pStyle w:val="7"/>
        <w:ind w:firstLine="480"/>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12、代理机构：三明华建招标代理有限公司</w:t>
      </w:r>
    </w:p>
    <w:p w14:paraId="114948A3">
      <w:pPr>
        <w:pStyle w:val="7"/>
        <w:ind w:firstLine="96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地址： 福建省三明市沙县区长泰路与金沙路交叉口东南侧金泰加油站综合楼四楼</w:t>
      </w:r>
    </w:p>
    <w:p w14:paraId="4D443FA3">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邮编： 蔡荣平</w:t>
      </w:r>
    </w:p>
    <w:p w14:paraId="7507D21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联系人： 朱美燕</w:t>
      </w:r>
    </w:p>
    <w:p w14:paraId="5BE541E4">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联系电话： 0598-8259969</w:t>
      </w:r>
    </w:p>
    <w:p w14:paraId="522F1451">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附1：账户信息</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3C6B71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8AADD6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投标保证金账户</w:t>
            </w:r>
          </w:p>
          <w:p w14:paraId="1D0BE633">
            <w:pPr>
              <w:pStyle w:val="7"/>
              <w:rPr>
                <w:rFonts w:hint="eastAsia" w:asciiTheme="minorEastAsia" w:hAnsiTheme="minorEastAsia" w:eastAsiaTheme="minorEastAsia" w:cstheme="minorEastAsia"/>
              </w:rPr>
            </w:pPr>
          </w:p>
        </w:tc>
      </w:tr>
      <w:tr w14:paraId="158B1C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CF7B92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开户名称： 三明华建招标代理有限公司</w:t>
            </w:r>
          </w:p>
        </w:tc>
      </w:tr>
      <w:tr w14:paraId="449744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990EE1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开户银行：供应商在福建省政府采购网上公开信息系统获取招标文件后，根据其提示自行选择要缴交的投标保证金托管银行。</w:t>
            </w:r>
          </w:p>
        </w:tc>
      </w:tr>
      <w:tr w14:paraId="36F7B8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BB4585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13C038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6AF9D4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特别提示</w:t>
            </w:r>
          </w:p>
        </w:tc>
      </w:tr>
      <w:tr w14:paraId="4BE47A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06DEE0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1、投标人应认真核对账户信息，将投标保证金汇入以上账户，并自行承担因汇错投标保证金而产生的一切后果。</w:t>
            </w:r>
          </w:p>
          <w:p w14:paraId="1F2013D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2、投标人在转账或电汇的凭证上应按照以下格式注明，以便核对：“（项目编号：***）的投标保证金”。</w:t>
            </w:r>
          </w:p>
        </w:tc>
      </w:tr>
    </w:tbl>
    <w:p w14:paraId="6D426013">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附2：采购标的一览表</w:t>
      </w:r>
    </w:p>
    <w:p w14:paraId="3A89774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p w14:paraId="1422CC9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采购包预算金额（元）: 4,000,000.00</w:t>
      </w:r>
    </w:p>
    <w:p w14:paraId="413F0133">
      <w:pPr>
        <w:pStyle w:val="7"/>
        <w:rPr>
          <w:rFonts w:hint="default" w:asciiTheme="minorEastAsia" w:hAnsiTheme="minorEastAsia" w:eastAsiaTheme="minorEastAsia" w:cstheme="minorEastAsia"/>
          <w:lang w:val="en-US"/>
        </w:rPr>
      </w:pPr>
      <w:r>
        <w:rPr>
          <w:rFonts w:hint="eastAsia" w:asciiTheme="minorEastAsia" w:hAnsiTheme="minorEastAsia" w:eastAsiaTheme="minorEastAsia" w:cstheme="minorEastAsia"/>
        </w:rPr>
        <w:t xml:space="preserve">采购包最高限价（元）: </w:t>
      </w:r>
      <w:r>
        <w:rPr>
          <w:rFonts w:hint="eastAsia" w:asciiTheme="minorEastAsia" w:hAnsiTheme="minorEastAsia" w:cstheme="minorEastAsia"/>
          <w:lang w:val="en-US" w:eastAsia="zh-CN"/>
        </w:rPr>
        <w:t>3981000.00</w:t>
      </w:r>
    </w:p>
    <w:p w14:paraId="751B08F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采购包保证金金额（元）: 0.00</w:t>
      </w:r>
    </w:p>
    <w:tbl>
      <w:tblPr>
        <w:tblStyle w:val="5"/>
        <w:tblW w:w="881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479"/>
        <w:gridCol w:w="1185"/>
        <w:gridCol w:w="1416"/>
        <w:gridCol w:w="1184"/>
        <w:gridCol w:w="1184"/>
        <w:gridCol w:w="1184"/>
      </w:tblGrid>
      <w:tr w14:paraId="0A939A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4" w:type="dxa"/>
          </w:tcPr>
          <w:p w14:paraId="506315B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1479" w:type="dxa"/>
          </w:tcPr>
          <w:p w14:paraId="515790D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标的名称</w:t>
            </w:r>
          </w:p>
        </w:tc>
        <w:tc>
          <w:tcPr>
            <w:tcW w:w="1185" w:type="dxa"/>
          </w:tcPr>
          <w:p w14:paraId="5C8FDA4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数量</w:t>
            </w:r>
          </w:p>
        </w:tc>
        <w:tc>
          <w:tcPr>
            <w:tcW w:w="1416" w:type="dxa"/>
          </w:tcPr>
          <w:p w14:paraId="3665E3D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标的金额 （元）</w:t>
            </w:r>
          </w:p>
        </w:tc>
        <w:tc>
          <w:tcPr>
            <w:tcW w:w="1184" w:type="dxa"/>
          </w:tcPr>
          <w:p w14:paraId="27D06E4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计量单位</w:t>
            </w:r>
          </w:p>
        </w:tc>
        <w:tc>
          <w:tcPr>
            <w:tcW w:w="1184" w:type="dxa"/>
          </w:tcPr>
          <w:p w14:paraId="2BB9268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所属行业</w:t>
            </w:r>
          </w:p>
        </w:tc>
        <w:tc>
          <w:tcPr>
            <w:tcW w:w="1184" w:type="dxa"/>
          </w:tcPr>
          <w:p w14:paraId="575D5A3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是否允许进口产品</w:t>
            </w:r>
          </w:p>
        </w:tc>
      </w:tr>
      <w:tr w14:paraId="71A3FA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4" w:type="dxa"/>
          </w:tcPr>
          <w:p w14:paraId="6DB686D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479" w:type="dxa"/>
          </w:tcPr>
          <w:p w14:paraId="0BA3E9C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福建闽江源国家级自然保护区智慧化建设（一期）项目</w:t>
            </w:r>
          </w:p>
        </w:tc>
        <w:tc>
          <w:tcPr>
            <w:tcW w:w="1185" w:type="dxa"/>
          </w:tcPr>
          <w:p w14:paraId="06A574E0">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1.00</w:t>
            </w:r>
          </w:p>
        </w:tc>
        <w:tc>
          <w:tcPr>
            <w:tcW w:w="1416" w:type="dxa"/>
          </w:tcPr>
          <w:p w14:paraId="43AAE32F">
            <w:pPr>
              <w:pStyle w:val="7"/>
              <w:jc w:val="right"/>
              <w:rPr>
                <w:rFonts w:hint="default" w:asciiTheme="minorEastAsia" w:hAnsiTheme="minorEastAsia" w:eastAsiaTheme="minorEastAsia" w:cstheme="minorEastAsia"/>
                <w:lang w:val="en-US" w:eastAsia="zh-CN"/>
              </w:rPr>
            </w:pPr>
            <w:r>
              <w:rPr>
                <w:rFonts w:hint="eastAsia" w:asciiTheme="minorEastAsia" w:hAnsiTheme="minorEastAsia" w:cstheme="minorEastAsia"/>
                <w:lang w:val="en-US" w:eastAsia="zh-CN"/>
              </w:rPr>
              <w:t>3981000.00</w:t>
            </w:r>
          </w:p>
        </w:tc>
        <w:tc>
          <w:tcPr>
            <w:tcW w:w="1184" w:type="dxa"/>
          </w:tcPr>
          <w:p w14:paraId="3377EC5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批</w:t>
            </w:r>
          </w:p>
        </w:tc>
        <w:tc>
          <w:tcPr>
            <w:tcW w:w="1184" w:type="dxa"/>
          </w:tcPr>
          <w:p w14:paraId="23B045B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工业</w:t>
            </w:r>
          </w:p>
        </w:tc>
        <w:tc>
          <w:tcPr>
            <w:tcW w:w="1184" w:type="dxa"/>
          </w:tcPr>
          <w:p w14:paraId="2F4E335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否</w:t>
            </w:r>
          </w:p>
        </w:tc>
      </w:tr>
    </w:tbl>
    <w:p w14:paraId="0332470E">
      <w:pPr>
        <w:pStyle w:val="7"/>
        <w:rPr>
          <w:rFonts w:hint="eastAsia" w:asciiTheme="minorEastAsia" w:hAnsiTheme="minorEastAsia" w:eastAsiaTheme="minorEastAsia" w:cstheme="minorEastAsia"/>
        </w:rPr>
      </w:pPr>
      <w:r>
        <w:rPr>
          <w:rFonts w:hint="eastAsia" w:asciiTheme="minorEastAsia" w:hAnsiTheme="minorEastAsia" w:cstheme="minorEastAsia"/>
          <w:lang w:eastAsia="zh-CN"/>
        </w:rPr>
        <w:t>3</w:t>
      </w:r>
      <w:r>
        <w:rPr>
          <w:rFonts w:hint="eastAsia" w:asciiTheme="minorEastAsia" w:hAnsiTheme="minorEastAsia" w:cstheme="minorEastAsia"/>
          <w:lang w:val="en-US" w:eastAsia="zh-CN"/>
        </w:rPr>
        <w:t>98</w:t>
      </w:r>
      <w:r>
        <w:rPr>
          <w:rFonts w:hint="eastAsia" w:asciiTheme="minorEastAsia" w:hAnsiTheme="minorEastAsia" w:eastAsiaTheme="minorEastAsia" w:cstheme="minorEastAsia"/>
        </w:rPr>
        <w:t>本国产品标准适用范围：</w:t>
      </w:r>
    </w:p>
    <w:p w14:paraId="07E289A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2076"/>
        <w:gridCol w:w="3115"/>
        <w:gridCol w:w="2076"/>
      </w:tblGrid>
      <w:tr w14:paraId="367739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1D17B97">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2076" w:type="dxa"/>
          </w:tcPr>
          <w:p w14:paraId="45D8B78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采购品目名称</w:t>
            </w:r>
          </w:p>
        </w:tc>
        <w:tc>
          <w:tcPr>
            <w:tcW w:w="3115" w:type="dxa"/>
          </w:tcPr>
          <w:p w14:paraId="4DFB45A0">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标的名称</w:t>
            </w:r>
          </w:p>
        </w:tc>
        <w:tc>
          <w:tcPr>
            <w:tcW w:w="2076" w:type="dxa"/>
          </w:tcPr>
          <w:p w14:paraId="66EC0C1F">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产品名称</w:t>
            </w:r>
          </w:p>
        </w:tc>
      </w:tr>
      <w:tr w14:paraId="0E1129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452AB7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2076" w:type="dxa"/>
          </w:tcPr>
          <w:p w14:paraId="491D53A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其他信息化设备</w:t>
            </w:r>
          </w:p>
        </w:tc>
        <w:tc>
          <w:tcPr>
            <w:tcW w:w="3115" w:type="dxa"/>
          </w:tcPr>
          <w:p w14:paraId="173BDDD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福建闽江源国家级自然保护区智慧化建设（一期）项目</w:t>
            </w:r>
          </w:p>
        </w:tc>
        <w:tc>
          <w:tcPr>
            <w:tcW w:w="2076" w:type="dxa"/>
          </w:tcPr>
          <w:p w14:paraId="4EC5F94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福建闽江源国家级自然保护区智慧化建设（一期）项目</w:t>
            </w:r>
          </w:p>
        </w:tc>
      </w:tr>
    </w:tbl>
    <w:p w14:paraId="7D44D34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p w14:paraId="2EE2A56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（1）报价要求：</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384"/>
        <w:gridCol w:w="1384"/>
        <w:gridCol w:w="1038"/>
      </w:tblGrid>
      <w:tr w14:paraId="61F6EF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46" w:type="dxa"/>
          </w:tcPr>
          <w:p w14:paraId="40BEFD0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3046" w:type="dxa"/>
          </w:tcPr>
          <w:p w14:paraId="4268FD2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报价内容</w:t>
            </w:r>
          </w:p>
        </w:tc>
        <w:tc>
          <w:tcPr>
            <w:tcW w:w="554" w:type="dxa"/>
          </w:tcPr>
          <w:p w14:paraId="48A979C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计量单位</w:t>
            </w:r>
          </w:p>
        </w:tc>
        <w:tc>
          <w:tcPr>
            <w:tcW w:w="554" w:type="dxa"/>
          </w:tcPr>
          <w:p w14:paraId="39DA072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报价单位</w:t>
            </w:r>
          </w:p>
        </w:tc>
        <w:tc>
          <w:tcPr>
            <w:tcW w:w="1384" w:type="dxa"/>
          </w:tcPr>
          <w:p w14:paraId="3D68DAE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最高限价</w:t>
            </w:r>
          </w:p>
        </w:tc>
        <w:tc>
          <w:tcPr>
            <w:tcW w:w="1384" w:type="dxa"/>
          </w:tcPr>
          <w:p w14:paraId="6D93DD1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价款形式</w:t>
            </w:r>
          </w:p>
        </w:tc>
        <w:tc>
          <w:tcPr>
            <w:tcW w:w="1038" w:type="dxa"/>
          </w:tcPr>
          <w:p w14:paraId="105C360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报价说明</w:t>
            </w:r>
          </w:p>
        </w:tc>
      </w:tr>
      <w:tr w14:paraId="6B3F33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D79C32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046" w:type="dxa"/>
          </w:tcPr>
          <w:p w14:paraId="2DE7A09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福建闽江源国家级自然保护区智慧化建设（一期）项目</w:t>
            </w:r>
          </w:p>
        </w:tc>
        <w:tc>
          <w:tcPr>
            <w:tcW w:w="554" w:type="dxa"/>
          </w:tcPr>
          <w:p w14:paraId="5AB9BB3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批</w:t>
            </w:r>
          </w:p>
        </w:tc>
        <w:tc>
          <w:tcPr>
            <w:tcW w:w="554" w:type="dxa"/>
          </w:tcPr>
          <w:p w14:paraId="1CE5960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元</w:t>
            </w:r>
          </w:p>
        </w:tc>
        <w:tc>
          <w:tcPr>
            <w:tcW w:w="1384" w:type="dxa"/>
          </w:tcPr>
          <w:p w14:paraId="21B7F27D">
            <w:pPr>
              <w:pStyle w:val="7"/>
              <w:jc w:val="right"/>
              <w:rPr>
                <w:rFonts w:hint="default" w:asciiTheme="minorEastAsia" w:hAnsiTheme="minorEastAsia" w:eastAsiaTheme="minorEastAsia" w:cstheme="minorEastAsia"/>
                <w:lang w:val="en-US" w:eastAsia="zh-CN"/>
              </w:rPr>
            </w:pPr>
            <w:r>
              <w:rPr>
                <w:rFonts w:hint="eastAsia" w:asciiTheme="minorEastAsia" w:hAnsiTheme="minorEastAsia" w:cstheme="minorEastAsia"/>
                <w:lang w:val="en-US" w:eastAsia="zh-CN"/>
              </w:rPr>
              <w:t>3981000.00</w:t>
            </w:r>
          </w:p>
        </w:tc>
        <w:tc>
          <w:tcPr>
            <w:tcW w:w="1384" w:type="dxa"/>
          </w:tcPr>
          <w:p w14:paraId="1BBA03D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总价</w:t>
            </w:r>
          </w:p>
        </w:tc>
        <w:tc>
          <w:tcPr>
            <w:tcW w:w="1038" w:type="dxa"/>
          </w:tcPr>
          <w:p w14:paraId="14A786D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无</w:t>
            </w:r>
          </w:p>
        </w:tc>
      </w:tr>
    </w:tbl>
    <w:p w14:paraId="48B1E59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（2）报价明细要求：</w:t>
      </w:r>
    </w:p>
    <w:p w14:paraId="55D3114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福建闽江源国家级自然保护区智慧化建设（一期）项目</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6"/>
        <w:gridCol w:w="2016"/>
        <w:gridCol w:w="416"/>
        <w:gridCol w:w="416"/>
        <w:gridCol w:w="1216"/>
        <w:gridCol w:w="814"/>
        <w:gridCol w:w="1212"/>
      </w:tblGrid>
      <w:tr w14:paraId="11A54A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AF99FC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2076" w:type="dxa"/>
          </w:tcPr>
          <w:p w14:paraId="5E34176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报价明细内容</w:t>
            </w:r>
          </w:p>
        </w:tc>
        <w:tc>
          <w:tcPr>
            <w:tcW w:w="2076" w:type="dxa"/>
          </w:tcPr>
          <w:p w14:paraId="27233E9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报价要求</w:t>
            </w:r>
          </w:p>
        </w:tc>
        <w:tc>
          <w:tcPr>
            <w:tcW w:w="415" w:type="dxa"/>
          </w:tcPr>
          <w:p w14:paraId="5ECE2EF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计量单位</w:t>
            </w:r>
          </w:p>
        </w:tc>
        <w:tc>
          <w:tcPr>
            <w:tcW w:w="415" w:type="dxa"/>
          </w:tcPr>
          <w:p w14:paraId="4014C97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报价单位</w:t>
            </w:r>
          </w:p>
        </w:tc>
        <w:tc>
          <w:tcPr>
            <w:tcW w:w="831" w:type="dxa"/>
          </w:tcPr>
          <w:p w14:paraId="08456D1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最高限价</w:t>
            </w:r>
          </w:p>
        </w:tc>
        <w:tc>
          <w:tcPr>
            <w:tcW w:w="831" w:type="dxa"/>
          </w:tcPr>
          <w:p w14:paraId="6D03048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价款形式</w:t>
            </w:r>
          </w:p>
        </w:tc>
        <w:tc>
          <w:tcPr>
            <w:tcW w:w="1246" w:type="dxa"/>
          </w:tcPr>
          <w:p w14:paraId="24E14A4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报价说明</w:t>
            </w:r>
          </w:p>
        </w:tc>
      </w:tr>
      <w:tr w14:paraId="0456DE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3DBE43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2076" w:type="dxa"/>
          </w:tcPr>
          <w:p w14:paraId="7875AE3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福建闽江源国家级自然保护区智慧化建设（一期）项目</w:t>
            </w:r>
          </w:p>
        </w:tc>
        <w:tc>
          <w:tcPr>
            <w:tcW w:w="2076" w:type="dxa"/>
          </w:tcPr>
          <w:p w14:paraId="6B8DBC3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福建闽江源国家级自然保护区智慧化建设（一期）项目</w:t>
            </w:r>
          </w:p>
        </w:tc>
        <w:tc>
          <w:tcPr>
            <w:tcW w:w="415" w:type="dxa"/>
          </w:tcPr>
          <w:p w14:paraId="178F000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批</w:t>
            </w:r>
          </w:p>
        </w:tc>
        <w:tc>
          <w:tcPr>
            <w:tcW w:w="415" w:type="dxa"/>
          </w:tcPr>
          <w:p w14:paraId="6FFB442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元</w:t>
            </w:r>
          </w:p>
        </w:tc>
        <w:tc>
          <w:tcPr>
            <w:tcW w:w="831" w:type="dxa"/>
          </w:tcPr>
          <w:p w14:paraId="14E0DA0C">
            <w:pPr>
              <w:pStyle w:val="7"/>
              <w:jc w:val="right"/>
              <w:rPr>
                <w:rFonts w:hint="default" w:asciiTheme="minorEastAsia" w:hAnsiTheme="minorEastAsia" w:eastAsiaTheme="minorEastAsia" w:cstheme="minorEastAsia"/>
                <w:lang w:val="en-US" w:eastAsia="zh-CN"/>
              </w:rPr>
            </w:pPr>
            <w:r>
              <w:rPr>
                <w:rFonts w:hint="eastAsia" w:asciiTheme="minorEastAsia" w:hAnsiTheme="minorEastAsia" w:cstheme="minorEastAsia"/>
                <w:lang w:val="en-US" w:eastAsia="zh-CN"/>
              </w:rPr>
              <w:t>3981000.00</w:t>
            </w:r>
          </w:p>
        </w:tc>
        <w:tc>
          <w:tcPr>
            <w:tcW w:w="831" w:type="dxa"/>
          </w:tcPr>
          <w:p w14:paraId="222628E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总价</w:t>
            </w:r>
          </w:p>
        </w:tc>
        <w:tc>
          <w:tcPr>
            <w:tcW w:w="1246" w:type="dxa"/>
          </w:tcPr>
          <w:p w14:paraId="45A7947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无</w:t>
            </w:r>
          </w:p>
        </w:tc>
      </w:tr>
    </w:tbl>
    <w:p w14:paraId="314AF8B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ED64DF8">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第二章 投标人须知前附表</w:t>
      </w:r>
    </w:p>
    <w:p w14:paraId="422B533D">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一、投标人须知前附表1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496790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6663265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特别提示：本表与招标文件对应章节的内容若不一致，以本表为准。</w:t>
            </w:r>
          </w:p>
        </w:tc>
      </w:tr>
      <w:tr w14:paraId="49A0A1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76D58E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2769" w:type="dxa"/>
          </w:tcPr>
          <w:p w14:paraId="21B3281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招标文件</w:t>
            </w:r>
          </w:p>
          <w:p w14:paraId="28E11E9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（第三章）</w:t>
            </w:r>
          </w:p>
        </w:tc>
        <w:tc>
          <w:tcPr>
            <w:tcW w:w="2769" w:type="dxa"/>
          </w:tcPr>
          <w:p w14:paraId="7C4D7CC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编列内容</w:t>
            </w:r>
          </w:p>
        </w:tc>
      </w:tr>
      <w:tr w14:paraId="5A3929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AE4D33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2769" w:type="dxa"/>
          </w:tcPr>
          <w:p w14:paraId="785CE3E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6.1</w:t>
            </w:r>
          </w:p>
        </w:tc>
        <w:tc>
          <w:tcPr>
            <w:tcW w:w="2769" w:type="dxa"/>
          </w:tcPr>
          <w:p w14:paraId="08E9B7F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是否组织现场考察或召开开标前答疑会：</w:t>
            </w:r>
          </w:p>
          <w:p w14:paraId="7E5B2C5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采购包1：不组织</w:t>
            </w:r>
          </w:p>
        </w:tc>
      </w:tr>
      <w:tr w14:paraId="504FB4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5818A7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2769" w:type="dxa"/>
          </w:tcPr>
          <w:p w14:paraId="4E4E021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10.4</w:t>
            </w:r>
          </w:p>
        </w:tc>
        <w:tc>
          <w:tcPr>
            <w:tcW w:w="2769" w:type="dxa"/>
          </w:tcPr>
          <w:p w14:paraId="0AFE85F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投标文件的份数：</w:t>
            </w:r>
          </w:p>
          <w:p w14:paraId="59134BF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（1）可读介质（光盘或U盘） 0 份：投标人应将其上传至福建省政府采购网上公开信息系统的电子投标文件在该可读介质中另存 0 份。</w:t>
            </w:r>
          </w:p>
          <w:p w14:paraId="1A7C871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（2）电子投标文件：详见投标人须知前附表2《关于电子招标投标活动的专门规定》。</w:t>
            </w:r>
          </w:p>
        </w:tc>
      </w:tr>
      <w:tr w14:paraId="6472EC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E28630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2769" w:type="dxa"/>
          </w:tcPr>
          <w:p w14:paraId="7D7085B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10.7-（1）</w:t>
            </w:r>
          </w:p>
        </w:tc>
        <w:tc>
          <w:tcPr>
            <w:tcW w:w="2769" w:type="dxa"/>
          </w:tcPr>
          <w:p w14:paraId="6E90112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是否允许中标人将本项目的非主体、非关键性工作进行分包：</w:t>
            </w:r>
          </w:p>
          <w:p w14:paraId="552381B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采购包1：不允许合同分包；</w:t>
            </w:r>
          </w:p>
        </w:tc>
      </w:tr>
      <w:tr w14:paraId="19599F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DFE5DF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2769" w:type="dxa"/>
          </w:tcPr>
          <w:p w14:paraId="5E49079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10.8-（1）</w:t>
            </w:r>
          </w:p>
        </w:tc>
        <w:tc>
          <w:tcPr>
            <w:tcW w:w="2769" w:type="dxa"/>
          </w:tcPr>
          <w:p w14:paraId="42E8A58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投标有效期：投标截止时间起 90 个日历日。</w:t>
            </w:r>
          </w:p>
        </w:tc>
      </w:tr>
      <w:tr w14:paraId="16B426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D6281D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2769" w:type="dxa"/>
          </w:tcPr>
          <w:p w14:paraId="3650BF9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12.1</w:t>
            </w:r>
          </w:p>
        </w:tc>
        <w:tc>
          <w:tcPr>
            <w:tcW w:w="2769" w:type="dxa"/>
          </w:tcPr>
          <w:p w14:paraId="523C2F9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确定中标候选人名单：</w:t>
            </w:r>
          </w:p>
          <w:p w14:paraId="758D3C0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采购包1：3名</w:t>
            </w:r>
          </w:p>
        </w:tc>
      </w:tr>
      <w:tr w14:paraId="7B887F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EB905B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p>
        </w:tc>
        <w:tc>
          <w:tcPr>
            <w:tcW w:w="2769" w:type="dxa"/>
          </w:tcPr>
          <w:p w14:paraId="1329C52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12.2</w:t>
            </w:r>
          </w:p>
        </w:tc>
        <w:tc>
          <w:tcPr>
            <w:tcW w:w="2769" w:type="dxa"/>
          </w:tcPr>
          <w:p w14:paraId="3FD4D82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本项目中标人的确定（以采购包为单位）：</w:t>
            </w:r>
          </w:p>
          <w:p w14:paraId="3B8A41F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 采购人应在政府采购招投标管理办法规定的时限内确定中标人。</w:t>
            </w:r>
          </w:p>
          <w:p w14:paraId="64BF9D3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（2）若出现中标候选人并列情形，则按照下列方式确定中标人：</w:t>
            </w:r>
          </w:p>
          <w:p w14:paraId="38AED59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①招标文件规定的方式：</w:t>
            </w:r>
          </w:p>
          <w:p w14:paraId="6C2864D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中标候选人并列的，则按“价格部分”的得分高低排序；若价格得分相同则按“技术部分”的得分高低排序；若评审得分相同且价格部分与技术部分得分也相同的，则按“商务部分”的得分高低排序；若评审得分相同、价格部分得分相同且技术部分得分与商务部分得分也相同的，则采取随机抽取方式确定。</w:t>
            </w:r>
          </w:p>
          <w:p w14:paraId="2FF917E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②若本款第①点规定方式为“无”，则按照下列方式确定：</w:t>
            </w:r>
          </w:p>
          <w:p w14:paraId="0DEDE47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无</w:t>
            </w:r>
          </w:p>
          <w:p w14:paraId="271D276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③若本款第①、②点规定方式均为“无”，则按照下列方式确定：随机抽取。</w:t>
            </w:r>
          </w:p>
          <w:p w14:paraId="692D98A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（3）本项目确定的中标人家数：</w:t>
            </w:r>
          </w:p>
          <w:p w14:paraId="07CC9C4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采购包1：1名</w:t>
            </w:r>
          </w:p>
        </w:tc>
      </w:tr>
      <w:tr w14:paraId="74D346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CEEAD4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p>
        </w:tc>
        <w:tc>
          <w:tcPr>
            <w:tcW w:w="2769" w:type="dxa"/>
          </w:tcPr>
          <w:p w14:paraId="49FEF2E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13.2</w:t>
            </w:r>
          </w:p>
        </w:tc>
        <w:tc>
          <w:tcPr>
            <w:tcW w:w="2769" w:type="dxa"/>
          </w:tcPr>
          <w:p w14:paraId="610DBA8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合同签订时限： 自中标通知书发出之日起30个日历日内。</w:t>
            </w:r>
          </w:p>
        </w:tc>
      </w:tr>
      <w:tr w14:paraId="15F64C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56C5EC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8</w:t>
            </w:r>
          </w:p>
        </w:tc>
        <w:tc>
          <w:tcPr>
            <w:tcW w:w="2769" w:type="dxa"/>
          </w:tcPr>
          <w:p w14:paraId="1EF9EF6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15.1-（2）</w:t>
            </w:r>
          </w:p>
        </w:tc>
        <w:tc>
          <w:tcPr>
            <w:tcW w:w="2769" w:type="dxa"/>
          </w:tcPr>
          <w:p w14:paraId="22FCA12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质疑函原件应采用下列方式提交：书面形式。</w:t>
            </w:r>
          </w:p>
        </w:tc>
      </w:tr>
      <w:tr w14:paraId="1D3809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BA267A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9</w:t>
            </w:r>
          </w:p>
        </w:tc>
        <w:tc>
          <w:tcPr>
            <w:tcW w:w="2769" w:type="dxa"/>
          </w:tcPr>
          <w:p w14:paraId="52397D3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15.4</w:t>
            </w:r>
          </w:p>
        </w:tc>
        <w:tc>
          <w:tcPr>
            <w:tcW w:w="2769" w:type="dxa"/>
          </w:tcPr>
          <w:p w14:paraId="4C06A06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招标文件的质疑</w:t>
            </w:r>
          </w:p>
          <w:p w14:paraId="49C6CDE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（1）潜在投标人可在质疑时效期间内对招标文件以书面形式提出质疑。</w:t>
            </w:r>
          </w:p>
          <w:p w14:paraId="0DD5A65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（2）质疑时效期间：应在依法获取招标文件之日起7个工作日内向 三明华建招标代理有限公司 提出，依法获取招标文件的时间以福建省政府采购网上公开信息系统记载的为准。</w:t>
            </w:r>
          </w:p>
          <w:p w14:paraId="237D194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※除上述规定外，对招标文件提出的质疑还应符合招标文件第三章第15.1条的有关规定。</w:t>
            </w:r>
          </w:p>
        </w:tc>
      </w:tr>
      <w:tr w14:paraId="7FEA10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5CE330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10</w:t>
            </w:r>
          </w:p>
        </w:tc>
        <w:tc>
          <w:tcPr>
            <w:tcW w:w="2769" w:type="dxa"/>
          </w:tcPr>
          <w:p w14:paraId="1C81E21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16.1</w:t>
            </w:r>
          </w:p>
        </w:tc>
        <w:tc>
          <w:tcPr>
            <w:tcW w:w="2769" w:type="dxa"/>
          </w:tcPr>
          <w:p w14:paraId="1AB6D47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监督管理部门： 建宁县财政局采购监督管理办公室 （仅限依法进行政府采购的货物或服务类项目）。</w:t>
            </w:r>
          </w:p>
        </w:tc>
      </w:tr>
      <w:tr w14:paraId="04E9E4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56D5F6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11</w:t>
            </w:r>
          </w:p>
        </w:tc>
        <w:tc>
          <w:tcPr>
            <w:tcW w:w="2769" w:type="dxa"/>
          </w:tcPr>
          <w:p w14:paraId="5FB1705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18.1</w:t>
            </w:r>
          </w:p>
        </w:tc>
        <w:tc>
          <w:tcPr>
            <w:tcW w:w="2769" w:type="dxa"/>
          </w:tcPr>
          <w:p w14:paraId="7AD0241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财政部和福建省财政厅指定的政府采购信息发布媒体（以下简称：“指定媒体”）：</w:t>
            </w:r>
          </w:p>
          <w:p w14:paraId="4E23DCA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（1）中国政府采购网，网址www.ccgp.gov.cn。</w:t>
            </w:r>
          </w:p>
          <w:p w14:paraId="60FB349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（2）中国政府采购网福建分网（福建省政府采购网），网址zfcg.czt.fujian.gov.cn。</w:t>
            </w:r>
          </w:p>
          <w:p w14:paraId="6BBC856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※若出现上述指定媒体信息不一致情形，应以中国政府采购网福建分网（福建省政府采购网）发布的为准。</w:t>
            </w:r>
          </w:p>
        </w:tc>
      </w:tr>
      <w:tr w14:paraId="7E737D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EFD3AC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12</w:t>
            </w:r>
          </w:p>
        </w:tc>
        <w:tc>
          <w:tcPr>
            <w:tcW w:w="2769" w:type="dxa"/>
          </w:tcPr>
          <w:p w14:paraId="2C4208D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19</w:t>
            </w:r>
          </w:p>
        </w:tc>
        <w:tc>
          <w:tcPr>
            <w:tcW w:w="2769" w:type="dxa"/>
          </w:tcPr>
          <w:p w14:paraId="5262E07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其他事项：</w:t>
            </w:r>
          </w:p>
          <w:p w14:paraId="5972DDC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(1)本项目代理服务费：</w:t>
            </w:r>
          </w:p>
          <w:p w14:paraId="1811653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本项目收取代理服务费</w:t>
            </w:r>
          </w:p>
          <w:p w14:paraId="49BA132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代理服务费用收取对象：中标/成交供应商</w:t>
            </w:r>
          </w:p>
          <w:p w14:paraId="0A59194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代理服务费收费标准：以采购包的中标总金额为准，按差额定率累进法计取，具体按以下标准计取：中标总金额100万以内的：按中标总金额的1.5%计取。中标总金额超过100万的：其中100万按1.5%计取；100万-500万部分按1.1%计取。中标人应当在领取中标通知书前向招标代理机构缴纳代理服务费，缴后不退。中标服务费专户，开户名：三明华建招标代理有限公司，开户行：建设银行沙县支行，账 号：35001647707052505226。</w:t>
            </w:r>
          </w:p>
          <w:p w14:paraId="5E48705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(2)其他：</w:t>
            </w:r>
          </w:p>
          <w:p w14:paraId="0983370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在递交质疑函时除应提供本招标文件规定的相关材料外，还须提供福建省政府采购网上公开信息系统本项目的获取采购文件回执单复印件，否则递交的质疑函将不予受理。在法定质疑期内质疑人须一次性提出针对同一采购程序环节的质疑，二（多）次质疑不予受理。②中标人在中标通知书的规定时间内发起合同送采购人确认，双方盖章进行合同公开。③a.通过远程参与开标流程的供应商，投标人可远程线上解密（相关操作手册可查看福建省政府采购网首页操作指南），现场参与开标流程的投标人请携带CA证书到开标现场进行解密，选择携带CA证书并由代理机构进行解密的应在投标截止时间前到达开标现场，否则不予接收。投标人选择远程线上解密的，无须将CA证书送至开标地点。b.投标人不到开标现场的，请在开标时自行登录采购系统，线上参与开标流程，并按规定在相应时段对响应文件进行远程解密、远程签章。c.投标人应确保自身设施、设备、网络环境状况良好，在操作过程中因投标人自身原因造成无法正常观看开标流程、远程解密或签章的，后果由投标人自行承担。d.在规定的时间内正确提交电子投标文件的供应商在开标时将由系统判定签到情况，投标人应在远程解密开启后在规定时间内使用CA数字证书进行响应文件的解密操作，逾期未解密的视为自行放弃投标。e.开标结束后，投标人应当对开标结果进行签章，并在远程签章开放后的规定时间内完成，逾期未签章的视为认同开标结果。f.远程解密及远程签章的开放起始时间均在开标过程中临时开启，各环节的解密、签章时限规定为30分钟，请投标人务必密切关注实时开标流程，并根据流程在系统内按时操作，否则产生的后果由投标人自行承担。</w:t>
            </w:r>
          </w:p>
        </w:tc>
      </w:tr>
      <w:tr w14:paraId="3B90FA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38" w:type="dxa"/>
            <w:gridSpan w:val="2"/>
          </w:tcPr>
          <w:p w14:paraId="19E39D1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tc>
        <w:tc>
          <w:tcPr>
            <w:tcW w:w="2769" w:type="dxa"/>
          </w:tcPr>
          <w:p w14:paraId="4F316E3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后有投标人须知前附表2，请勿遗漏。</w:t>
            </w:r>
          </w:p>
        </w:tc>
      </w:tr>
    </w:tbl>
    <w:p w14:paraId="502B8A68">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二、投标人须知前附表2</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32E7BC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6F358EB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关于电子招标投标活动的专门规定</w:t>
            </w:r>
          </w:p>
        </w:tc>
      </w:tr>
      <w:tr w14:paraId="0F50A6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80F729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4153" w:type="dxa"/>
          </w:tcPr>
          <w:p w14:paraId="6A4FB18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编列内容</w:t>
            </w:r>
          </w:p>
        </w:tc>
      </w:tr>
      <w:tr w14:paraId="0CAA25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BEC211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4153" w:type="dxa"/>
          </w:tcPr>
          <w:p w14:paraId="597E1DF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（1）电子招标投标活动的专门规定适用本项目电子招标投标活动。</w:t>
            </w:r>
          </w:p>
          <w:p w14:paraId="2114484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（2）将招标文件</w:t>
            </w:r>
          </w:p>
          <w:p w14:paraId="7ACA43B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无 的内容修正为下列内容：</w:t>
            </w:r>
          </w:p>
          <w:p w14:paraId="65C08A8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无 后适用本项目的电子招标投标活动。</w:t>
            </w:r>
          </w:p>
          <w:p w14:paraId="4A465DF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（3）将下列内容增列为招标文件的组成部分（以下简称：“增列内容”）适用本项目的电子招标投标活动，若增列内容与招标文件其他章节内容有冲突，应以增列内容为准：</w:t>
            </w:r>
          </w:p>
          <w:p w14:paraId="057FBBC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①电子招标投标活动的具体操作流程以福建省政府采购网上公开信息系统设定的为准。</w:t>
            </w:r>
          </w:p>
          <w:p w14:paraId="63345F6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②关于电子投标文件：</w:t>
            </w:r>
          </w:p>
          <w:p w14:paraId="0977FBD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a.投标人应按照福建省政府采购网上公开信息系统设定的评审节点编制电子投标文件，否则资格审查小组、评标委员会将按照不利于投标人的内容进行认定。</w:t>
            </w:r>
          </w:p>
          <w:p w14:paraId="221B244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54147C9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③关于证明材料或资料：</w:t>
            </w:r>
          </w:p>
          <w:p w14:paraId="58E7A67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2857CDD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b.若投标人提供注明“复印件无效”或“复印无效”的证明材料或资料，应结合上文a条款进行判定，若招标文件未要求投标人提供原件，投标人提供原件，复印件（含扫描件）均视为满足招标文件要求。</w:t>
            </w:r>
          </w:p>
          <w:p w14:paraId="27A4F8D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④关于“全称”、“投标人代表签字”及“加盖单位公章”：</w:t>
            </w:r>
          </w:p>
          <w:p w14:paraId="7B7B7D1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a.在电子投标文件中，涉及“全称”和“投标人代表签字”的内容可使用打字录入方式完成。</w:t>
            </w:r>
          </w:p>
          <w:p w14:paraId="30254A8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b.在电子投标文件中，涉及“加盖单位公章”的内容应使用投标人的CA证书完成，否则投标无效。</w:t>
            </w:r>
          </w:p>
          <w:p w14:paraId="2E2C0D8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c.在电子投标文件中，若投标人按照本增列内容第④点第b项规定加盖其单位公章，则出现无全称、或投标人代表未签字等情形，不视为投标无效。</w:t>
            </w:r>
          </w:p>
          <w:p w14:paraId="1431396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⑤关于投标人的CA证书：</w:t>
            </w:r>
          </w:p>
          <w:p w14:paraId="59954F7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a.投标人的CA证书应在系统规定时间内使用CA证书进行电子投标文件的解密操作，逾期未解密的视为放弃投标。</w:t>
            </w:r>
          </w:p>
          <w:p w14:paraId="31A33A4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b.投标人的CA证书可采用信封（包括但不限于：信封、档案袋、文件袋等）作为外包装进行单独包装。外包装密封、不密封皆可。</w:t>
            </w:r>
          </w:p>
          <w:p w14:paraId="7D5F983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c.投标人的CA证书或外包装应标记“项目名称、项目编号、投标人的全称”等内容，以方便识别、使用。</w:t>
            </w:r>
          </w:p>
          <w:p w14:paraId="243894B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d.投标人的CA证书应能正常、有效使用，否则产生不利后果由投标人承担责任。</w:t>
            </w:r>
          </w:p>
          <w:p w14:paraId="26D2B8D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⑥关于投标截止时间过后</w:t>
            </w:r>
          </w:p>
          <w:p w14:paraId="776F63A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a.未按招标文件规定提交投标保证金的，其投标将按无效投标处理。</w:t>
            </w:r>
          </w:p>
          <w:p w14:paraId="3624A97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b.有下列情形之一的，其投标无效,其保证金不予退还或通过投标保函进行索赔：</w:t>
            </w:r>
          </w:p>
          <w:p w14:paraId="7FDDC55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b1不同投标人的电子投标文件具有相同内部识别码；</w:t>
            </w:r>
          </w:p>
          <w:p w14:paraId="1D81D84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b2不同投标人的投标保证金从同一单位或个人的账户转出；</w:t>
            </w:r>
          </w:p>
          <w:p w14:paraId="6ABB6D0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b3投标人的投标保证金同一采购包下有其他投标人提交的投标保证金；</w:t>
            </w:r>
          </w:p>
          <w:p w14:paraId="27BA153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b4不同投标人存在串通投标的其他情形。</w:t>
            </w:r>
          </w:p>
          <w:p w14:paraId="4162433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⑦接受联合体投标且投标人为联合体的，投标人应由“联合体牵头方”完成福建省政府采购网上公开信息系统设定的具体操作流程（包括但不限于：招标文件获取、提交投标保证金、编制电子投标文件等）。</w:t>
            </w:r>
          </w:p>
          <w:p w14:paraId="1765987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⑧其他：</w:t>
            </w:r>
          </w:p>
          <w:p w14:paraId="06D3943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电子化招标项目视为串通情形的认定（一）保证金验核阶段不同投标人的投标保证金转出账户的银行账户名称相同的，属于《政府采购货物和服务招标投标管理办法》（财政部令第87号）第三十七条第（六）项“不同投标人的投标保证金从同一单位或者个人的账户转出”的情形。（二）电子响应文件解密阶段电子响应文件的个性特征与本采购项目的其他响应人存在雷同的，按照以下方式进行认定：1.投标人上传电子投标文件被福建省政府采购网上公开信息系统投标客户端所赋予的项目内部识别码与本招标项目的其他投标人相同的，属于《政府采购货物和服务招标投标管理办法》（财政部令第87号）第三十七条第（一）项“不同投标人的投标文件由同一单位或者个人编制”的情形。2.系统记录的编制电子投标文件使用的计算机或上传电子投标文件使用的计算机网卡MAC地址与本招标项目的其他投标人一致的，属于《政府采购货物和服务招标投标管理办法》（财政部令第87号）第三十七条第（二）项“不同投标人委托同一单位或者个人办理投标事宜”的情形。3.投标人上传的电子投标文件若出现使用本项目其他投标人的数字证书加密的或加盖本项目的其他投标人的电子印章的，属于《政府采购货物和服务招标投标管理办法》（财政部令第87号）第三十七条第（五）项“不同投标人的投标文件相互混装”的情形。在开标过程中，发现投标（响应）人有上述情形的，采购人、采购代理机构应当根据采购文件认定串通行为，认定其投标（响应）无效，没收其保证金，并书面报告本级财政部门；在评审过程中发现投标（响应）人有上述情形的，资格审查小组或评标委员会应当根据采购文件认定串通行为，认定其投标（响应）无效，没收其保证金，并书面报告本级财政部门。各级财政部门收到书面报告的，应当组织开展调查，并依法追究法律责任。</w:t>
            </w:r>
          </w:p>
        </w:tc>
      </w:tr>
    </w:tbl>
    <w:p w14:paraId="6556FB7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8FBA7DB">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第三章 投标人须知</w:t>
      </w:r>
    </w:p>
    <w:p w14:paraId="0C0C05EC">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一、总则</w:t>
      </w:r>
    </w:p>
    <w:p w14:paraId="0FFC502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1、适用范围</w:t>
      </w:r>
    </w:p>
    <w:p w14:paraId="2348F61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1.1适用于招标文件载明项目的政府采购活动（以下简称：“本次采购活动”）。</w:t>
      </w:r>
    </w:p>
    <w:p w14:paraId="210AA82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2、定义</w:t>
      </w:r>
    </w:p>
    <w:p w14:paraId="63E2457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2.1“采购标的”指招标文件载明的需要采购的货物或服务。</w:t>
      </w:r>
    </w:p>
    <w:p w14:paraId="02FFB7A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2.2“潜在投标人”指按照招标文件第一章第7条规定获取招标文件且有意向参加本项目投标的供应商。</w:t>
      </w:r>
    </w:p>
    <w:p w14:paraId="125A7B0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2.3“投标人”指按照招标文件第一章第7条规定获取招标文件并参加本项目投标的供应商。</w:t>
      </w:r>
    </w:p>
    <w:p w14:paraId="1539E0B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2.4“单位负责人”指单位法定代表人或法律、法规规定代表单位行使职权的主要负责人。</w:t>
      </w:r>
    </w:p>
    <w:p w14:paraId="357449F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2.5“投标人代表”指投标人的单位负责人或“单位负责人授权书”中载明的接受授权方。</w:t>
      </w:r>
    </w:p>
    <w:p w14:paraId="1FBFD2EB">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二、投标人</w:t>
      </w:r>
    </w:p>
    <w:p w14:paraId="2F2D620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3、合格投标人</w:t>
      </w:r>
    </w:p>
    <w:p w14:paraId="7B8F24F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3.1一般规定</w:t>
      </w:r>
    </w:p>
    <w:p w14:paraId="5B85401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7B42781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1A536A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（2）投标人的资格要求：详见招标文件第一章。</w:t>
      </w:r>
    </w:p>
    <w:p w14:paraId="2E6D532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3.2若本项目接受联合体投标且投标人为联合体，则联合体各方应遵守本章第3.1条规定，同时还应遵守下列规定：</w:t>
      </w:r>
    </w:p>
    <w:p w14:paraId="123E32B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（1）联合体各方应提交联合体协议，联合体协议应符合招标文件规定。</w:t>
      </w:r>
    </w:p>
    <w:p w14:paraId="1428878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（2）联合体各方不得再单独参加或与其他供应商另外组成联合体参加同一合同项下的投标。</w:t>
      </w:r>
    </w:p>
    <w:p w14:paraId="603A7E7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（3）联合体各方应共同与采购人签订政府采购合同，就政府采购合同约定的事项对采购人承担连带责任。</w:t>
      </w:r>
    </w:p>
    <w:p w14:paraId="74555B5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0C6E10B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（5）联合体一方放弃中标的，视为联合体整体放弃中标，联合体各方承担连带责任。</w:t>
      </w:r>
    </w:p>
    <w:p w14:paraId="3CD7CD8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（6）如本项目不接受联合体投标而投标人为联合体的，或者本项目接受联合体投标但投标人组成的联合体不符合本章第3.2条规定的，投标无效。</w:t>
      </w:r>
    </w:p>
    <w:p w14:paraId="3857AEA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4、投标费用</w:t>
      </w:r>
    </w:p>
    <w:p w14:paraId="09D9770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4.1除招标文件另有规定外，投标人应自行承担其参加本项目投标所涉及的一切费用。</w:t>
      </w:r>
    </w:p>
    <w:p w14:paraId="623D20BA">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三、招标</w:t>
      </w:r>
    </w:p>
    <w:p w14:paraId="26DA998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5、招标文件</w:t>
      </w:r>
    </w:p>
    <w:p w14:paraId="33B7687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5.1招标文件由下述部分组成：</w:t>
      </w:r>
    </w:p>
    <w:p w14:paraId="1DF6ACE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（1）投标邀请</w:t>
      </w:r>
    </w:p>
    <w:p w14:paraId="7DE3F4C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（2）投标人须知前附表（表1、2）</w:t>
      </w:r>
    </w:p>
    <w:p w14:paraId="39CFCF8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（3）投标人须知</w:t>
      </w:r>
    </w:p>
    <w:p w14:paraId="23CC002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（4）资格审查与评标</w:t>
      </w:r>
    </w:p>
    <w:p w14:paraId="773F358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（5）招标内容及要求</w:t>
      </w:r>
    </w:p>
    <w:p w14:paraId="3371856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（6）政府采购合同（参考文本）</w:t>
      </w:r>
    </w:p>
    <w:p w14:paraId="1144381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（7）电子投标文件格式</w:t>
      </w:r>
    </w:p>
    <w:p w14:paraId="7E8EDA9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（8）按照招标文件规定作为招标文件组成部分的其他内容（若有）</w:t>
      </w:r>
    </w:p>
    <w:p w14:paraId="04114BB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5.2招标文件的澄清或修改</w:t>
      </w:r>
    </w:p>
    <w:p w14:paraId="56AD0E2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 三明华建招标代理有限公司 可对已发出的招标文件进行必要的澄清或修改，但不得对招标文件载明的采购标的和投标人的资格要求进行改变。</w:t>
      </w:r>
    </w:p>
    <w:p w14:paraId="58C85F2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（2）除本章第5.2条第（3）款规定情形外，澄清或修改的内容可能影响电子投标文件编制的， 三明华建招标代理有限公司 将在投标截止时间至少15个日历日前，在招标文件载明的指定媒体以更正公告的形式发布澄清或修改的内容。不足15个日历日的， 三明华建招标代理有限公司 将顺延投标截止时间及开标时间， 三明华建招标代理有限公司 和投标人受原投标截止时间及开标时间制约的所有权利和义务均延长至新的投标截止时间及开标时间。</w:t>
      </w:r>
    </w:p>
    <w:p w14:paraId="611BECB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（3）澄清或修改的内容可能改变招标文件载明的采购标的和投标人的资格要求的，本次采购活动结束， 三明华建招标代理有限公司 将依法组织后续采购活动（包括但不限于：重新招标、采用其他方式采购等）。</w:t>
      </w:r>
    </w:p>
    <w:p w14:paraId="055A721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6、现场考察或开标前答疑会</w:t>
      </w:r>
    </w:p>
    <w:p w14:paraId="104AE5E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6.1是否组织现场考察或召开开标前答疑会：详见招标文件第二章。</w:t>
      </w:r>
    </w:p>
    <w:p w14:paraId="052051C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7、更正公告</w:t>
      </w:r>
    </w:p>
    <w:p w14:paraId="096032B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7.1若 三明华建招标代理有限公司 发布更正公告，则更正公告及其所发布的内容或信息（包括但不限于：招标文件的澄清或修改、现场考察或答疑会的有关事宜等）作为招标文件组成部分，对投标人具有约束力。</w:t>
      </w:r>
    </w:p>
    <w:p w14:paraId="7576702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7.2更正公告作为 三明华建招标代理有限公司 通知所有潜在投标人的书面形式。</w:t>
      </w:r>
    </w:p>
    <w:p w14:paraId="31B3183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8、终止公告</w:t>
      </w:r>
    </w:p>
    <w:p w14:paraId="5C238A7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8.1若出现因重大变故导致采购任务取消情形， 三明华建招标代理有限公司 可终止招标并发布终止公告。</w:t>
      </w:r>
    </w:p>
    <w:p w14:paraId="1607A02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8.2终止公告作为 三明华建招标代理有限公司 通知所有潜在投标人的书面形式。</w:t>
      </w:r>
    </w:p>
    <w:p w14:paraId="1EE46E4A">
      <w:pPr>
        <w:pStyle w:val="7"/>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四、投标</w:t>
      </w:r>
    </w:p>
    <w:p w14:paraId="78168D7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9、投标</w:t>
      </w:r>
    </w:p>
    <w:p w14:paraId="5D37F48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9.1投标人可对招标文件载明的全部或部分采购包进行投标。</w:t>
      </w:r>
    </w:p>
    <w:p w14:paraId="73954EB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9.2投标人应对同一个采购包内的所有内容进行完整投标，否则投标无效。</w:t>
      </w:r>
    </w:p>
    <w:p w14:paraId="5FB0602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9.3投标人代表只能接受一个投标人的授权参加投标，否则投标无效。</w:t>
      </w:r>
    </w:p>
    <w:p w14:paraId="47A2939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9.4单位负责人为同一人或存在直接控股、管理关系的不同供应商，不得同时参加同一合同项下的投标，否则投标无效。</w:t>
      </w:r>
    </w:p>
    <w:p w14:paraId="282D3EB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9.5为本项目提供整体设计、规范编制或项目管理、监理、检测等服务的供应商，不得参加本项目除整体设计、规范编制和项目管理、监理、检测等服务外的采购活动，否则投标无效。</w:t>
      </w:r>
    </w:p>
    <w:p w14:paraId="45628AB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9.6列入失信被执行人、重大税收违法案件当事人名单、政府采购严重违法失信行为记录名单及其他不符合政府采购法第二十二条规定条件的供应商，不得参加投标，否则投标无效。</w:t>
      </w:r>
    </w:p>
    <w:p w14:paraId="2BBA730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9.7有下列情形之一的，视为投标人串通投标，其投标无效：</w:t>
      </w:r>
    </w:p>
    <w:p w14:paraId="139ADED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（1）不同投标人的电子投标文件由同一单位或个人编制；</w:t>
      </w:r>
    </w:p>
    <w:p w14:paraId="38F6136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（2）不同投标人委托同一单位或个人办理投标事宜；</w:t>
      </w:r>
    </w:p>
    <w:p w14:paraId="2C98574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（3）不同投标人的电子投标文件载明的项目管理成员或联系人员为同一人；</w:t>
      </w:r>
    </w:p>
    <w:p w14:paraId="48F363F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（4）不同投标人的电子投标文件异常一致或投标报价呈规律性差异；</w:t>
      </w:r>
    </w:p>
    <w:p w14:paraId="4D502FA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（5）不同投标人的电子投标文件相互混装；</w:t>
      </w:r>
    </w:p>
    <w:p w14:paraId="542B4BA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（6）不同投标人的投标保证金从同一单位或个人的账户转出；</w:t>
      </w:r>
    </w:p>
    <w:p w14:paraId="067F712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（7）有关法律、法规和规章及招标文件规定的其他串通投标情形。</w:t>
      </w:r>
    </w:p>
    <w:p w14:paraId="42C7690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10、电子投标文件</w:t>
      </w:r>
    </w:p>
    <w:p w14:paraId="6BDF9F9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10.1电子投标文件的编制</w:t>
      </w:r>
    </w:p>
    <w:p w14:paraId="014DB12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（1）投标人应先仔细阅读招标文件的全部内容后，再进行电子投标文件的编制。</w:t>
      </w:r>
    </w:p>
    <w:p w14:paraId="6799785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（2）电子投标文件应按照本章第10.2条规定编制其组成部分。</w:t>
      </w:r>
    </w:p>
    <w:p w14:paraId="5838A02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（3）电子投标文件应满足招标文件提出的实质性要求和条件，并保证其所提交的全部资料是不可割离且真实、有效、准确、完整和不具有任何误导性的，否则造成不利后果由投标人承担责任。</w:t>
      </w:r>
    </w:p>
    <w:p w14:paraId="56105BE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10.2电子投标文件由下述部分组成：</w:t>
      </w:r>
    </w:p>
    <w:p w14:paraId="24683D9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（1）资格及资信证明部分</w:t>
      </w:r>
    </w:p>
    <w:p w14:paraId="61B6D7B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①投标函</w:t>
      </w:r>
    </w:p>
    <w:p w14:paraId="318CFA8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②投标人的资格及资信证明文件</w:t>
      </w:r>
    </w:p>
    <w:p w14:paraId="6A4EB69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③投标保证金</w:t>
      </w:r>
    </w:p>
    <w:p w14:paraId="1CCB666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（2）报价部分</w:t>
      </w:r>
    </w:p>
    <w:p w14:paraId="52D0DE3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①开标（报价）一览表</w:t>
      </w:r>
    </w:p>
    <w:p w14:paraId="6F8470B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②投标（响应）报价明细表</w:t>
      </w:r>
    </w:p>
    <w:p w14:paraId="0FF560D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③招标文件规定的价格扣除证明材料（若有）</w:t>
      </w:r>
    </w:p>
    <w:p w14:paraId="241ACF2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④招标文件规定的加分证明材料（若有）</w:t>
      </w:r>
    </w:p>
    <w:p w14:paraId="07A6CC5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（3）技术商务部分</w:t>
      </w:r>
    </w:p>
    <w:p w14:paraId="611F105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①标的说明一览表</w:t>
      </w:r>
    </w:p>
    <w:p w14:paraId="69C1404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②技术和服务要求响应表</w:t>
      </w:r>
    </w:p>
    <w:p w14:paraId="21E7520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③商务条件响应表</w:t>
      </w:r>
    </w:p>
    <w:p w14:paraId="1A55578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④投标人提交的其他资料（若有）</w:t>
      </w:r>
    </w:p>
    <w:p w14:paraId="7423763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⑤招标文件规定作为电子投标文件组成部分的其他内容（若有）</w:t>
      </w:r>
    </w:p>
    <w:p w14:paraId="728FEB5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10.3电子投标文件的语言</w:t>
      </w:r>
    </w:p>
    <w:p w14:paraId="0821A84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（1）除招标文件另有规定外，电子投标文件应使用中文文本，若有不同文本，以中文文本为准。</w:t>
      </w:r>
    </w:p>
    <w:p w14:paraId="2C9578E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157872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10.4投标文件的份数：详见招标文件第二章。</w:t>
      </w:r>
    </w:p>
    <w:p w14:paraId="10F9C62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10.5电子投标文件的格式</w:t>
      </w:r>
    </w:p>
    <w:p w14:paraId="499EE51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（1）除招标文件另有规定外，电子投标文件应使用招标文件第七章规定的格式。</w:t>
      </w:r>
    </w:p>
    <w:p w14:paraId="64004FB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（2）除招标文件另有规定外，电子投标文件应使用不能擦去的墨料或墨水打印、书写或复印。</w:t>
      </w:r>
    </w:p>
    <w:p w14:paraId="4B00DB9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（3）除招标文件另有规定外，电子投标文件应使用人民币作为计量货币。</w:t>
      </w:r>
    </w:p>
    <w:p w14:paraId="423BA95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（4）除招标文件另有规定外，签署、盖章应遵守下列规定：</w:t>
      </w:r>
    </w:p>
    <w:p w14:paraId="3C811FD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①电子投标文件应加盖投标人的单位公章。若投标人代表为单位授权的委托代理人，应提供“单位授权书”。</w:t>
      </w:r>
    </w:p>
    <w:p w14:paraId="3DC8F1B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②电子投标文件应没有涂改或行间插字，除非这些改动是根据 三明华建招标代理有限公司 的指示进行的，或是为改正投标人造成的应修改的错误而进行的。若有前述改动，应按照下列规定之一对改动处进行处理：</w:t>
      </w:r>
    </w:p>
    <w:p w14:paraId="4DAC8ED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a.投标人代表签字确认；</w:t>
      </w:r>
    </w:p>
    <w:p w14:paraId="6B87BF8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b.加盖投标人的单位公章或校正章。</w:t>
      </w:r>
    </w:p>
    <w:p w14:paraId="4A54A30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10.6投标报价</w:t>
      </w:r>
    </w:p>
    <w:p w14:paraId="13F297C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（1）投标报价超出最高限价将导致投标无效。</w:t>
      </w:r>
    </w:p>
    <w:p w14:paraId="5974329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（2）最高限价由采购人根据价格测算情况，在预算金额的额度内合理设定。最高限价不得超出预算金额。</w:t>
      </w:r>
    </w:p>
    <w:p w14:paraId="13F1FC8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（3）除招标文件另有规定外，电子投标文件不能出现任何选择性的投标报价，即每一个采购包和品目号的采购标的都只能有一个投标报价。任何选择性的投标报价将导致投标无效。</w:t>
      </w:r>
    </w:p>
    <w:p w14:paraId="3E65BAB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10.7分包</w:t>
      </w:r>
    </w:p>
    <w:p w14:paraId="125B156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（1）是否允许中标人将本项目的非主体、非关键性工作进行分包：详见招标文件第二章。</w:t>
      </w:r>
    </w:p>
    <w:p w14:paraId="4B2184A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4FC6CB1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（3）招标文件允许中标人将非主体、非关键性工作进行分包的项目，有下列情形之一的，中标人不得分包：</w:t>
      </w:r>
    </w:p>
    <w:p w14:paraId="36E2749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①电子投标文件中未载明分包承担主体；</w:t>
      </w:r>
    </w:p>
    <w:p w14:paraId="00B917C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②电子投标文件载明的分包承担主体不具备相应资质条件；</w:t>
      </w:r>
    </w:p>
    <w:p w14:paraId="6BAABE6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③电子投标文件载明的分包承担主体拟再次分包；</w:t>
      </w:r>
    </w:p>
    <w:p w14:paraId="2DFD4E1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④享受中小企业扶持政策获得政府采购合同的，小微企业不得将合同分包给大中型企业，中型企业不得将合同分包给大型企业。</w:t>
      </w:r>
    </w:p>
    <w:p w14:paraId="2886415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10.8投标有效期</w:t>
      </w:r>
    </w:p>
    <w:p w14:paraId="10C3785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（1）招标文件载明的投标有效期：详见招标文件第二章。</w:t>
      </w:r>
    </w:p>
    <w:p w14:paraId="5323629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（2）电子投标文件承诺的投标有效期不得少于招标文件载明的投标有效期，否则投标无效。</w:t>
      </w:r>
    </w:p>
    <w:p w14:paraId="05D56B3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（3）根据本次采购活动的需要， 三明华建招标代理有限公司 可于投标有效期届满之前书面要求投标人延长投标有效期，投标人应在 三明华建招标代理有限公司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106BB8D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10.9投标保证金</w:t>
      </w:r>
    </w:p>
    <w:p w14:paraId="22E5149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（1）投标保证金作为投标人按照招标文件规定履行相应投标责任、义务的约束及担保。</w:t>
      </w:r>
    </w:p>
    <w:p w14:paraId="04A7CB7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（2）投标人以电子保函形式提交投标保证金的，保函的有效期应等于或长于电子投标文件承诺的投标有效期，否则投标无效。</w:t>
      </w:r>
    </w:p>
    <w:p w14:paraId="1DDA853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（3）提交</w:t>
      </w:r>
    </w:p>
    <w:p w14:paraId="2A002B6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①投标人以汇款形式缴纳投标保证金的，应从其银行账户（基本存款账户）按照下列方式：公对公转账方式向招标文件载明的投标保证金账户提交投标保证金，具体金额详见招标文件第一章。</w:t>
      </w:r>
    </w:p>
    <w:p w14:paraId="184729B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0C9356F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③其他形式：</w:t>
      </w:r>
    </w:p>
    <w:p w14:paraId="0EFF8D7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无</w:t>
      </w:r>
    </w:p>
    <w:p w14:paraId="5D70612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④若本项目接受联合体投标且投标人为联合体，则联合体中的牵头方应按照本章第10.9条第（3）款第①、②、③点规定提交投标保证金。</w:t>
      </w:r>
    </w:p>
    <w:p w14:paraId="3DAEF50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※除招标文件另有规定外，未按照上述规定提交投标保证金将导致资格审查不合格。</w:t>
      </w:r>
    </w:p>
    <w:p w14:paraId="4D0CF13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（4）退还</w:t>
      </w:r>
    </w:p>
    <w:p w14:paraId="7381778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①在投标截止时间前撤回已提交的电子投标文件的投标人，其投标保证金将在 三明华建招标代理有限公司 收到投标人书面撤回通知之日起5个工作日内退回原账户。</w:t>
      </w:r>
    </w:p>
    <w:p w14:paraId="0CA0914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②未中标人的投标保证金将在中标通知书发出之日起5个工作日内退回原账户。</w:t>
      </w:r>
    </w:p>
    <w:p w14:paraId="1E09A37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③中标人的投标保证金将在政府采购合同签订之日起5个工作日内退回原账户；合同签订之日以福建省政府采购网上公开信息系统记载的为准。</w:t>
      </w:r>
    </w:p>
    <w:p w14:paraId="33563CF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④终止招标的， 三明华建招标代理有限公司 将在终止公告发布之日起5个工作日内退回已收取的投标保证金及其在银行产生的孳息。</w:t>
      </w:r>
    </w:p>
    <w:p w14:paraId="34AD065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⑤除招标文件另有规定外，质疑或投诉涉及的投标人，若投标保证金尚未退还，则待质疑或投诉处理完毕后不计利息原额退还。</w:t>
      </w:r>
    </w:p>
    <w:p w14:paraId="523D39A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※本章第10.9条第（4）款第①、②、③点规定的投标保证金退还时限不包括因投标人自身原因导致无法及时退还而增加的时间。</w:t>
      </w:r>
    </w:p>
    <w:p w14:paraId="4EB2DFC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0DD6A61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（6）有下列情形之一的，投标保证金将不予退还或通过投标保函进行索赔：</w:t>
      </w:r>
    </w:p>
    <w:p w14:paraId="3EFD753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①投标人串通投标；</w:t>
      </w:r>
    </w:p>
    <w:p w14:paraId="34DCB39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②投标人提供虚假材料；</w:t>
      </w:r>
    </w:p>
    <w:p w14:paraId="02FB4A3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③投标人采取不正当手段诋毁、排挤其他投标人；</w:t>
      </w:r>
    </w:p>
    <w:p w14:paraId="1FB9A0A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④投标截止时间后，投标人在投标有效期内撤销电子投标文件；</w:t>
      </w:r>
    </w:p>
    <w:p w14:paraId="0E0006C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⑤招标文件规定的其他不予退还情形；</w:t>
      </w:r>
    </w:p>
    <w:p w14:paraId="03191EF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⑥中标人有下列情形之一的：</w:t>
      </w:r>
    </w:p>
    <w:p w14:paraId="174A0E1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a.除不可抗力外，因中标人自身原因未在中标通知书要求的期限内与采购人签订政府采购合同；</w:t>
      </w:r>
    </w:p>
    <w:p w14:paraId="6EC4C16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b.未按照招标文件、投标文件的约定签订政府采购合同或提交履约保证金。</w:t>
      </w:r>
    </w:p>
    <w:p w14:paraId="3958AB2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※若上述投标保证金不予退还情形给采购人（采购代理机构）造成损失，则投标人还要承担相应的赔偿责任。</w:t>
      </w:r>
    </w:p>
    <w:p w14:paraId="0796ADD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10.10电子投标文件的提交</w:t>
      </w:r>
    </w:p>
    <w:p w14:paraId="0355790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（1）一个投标人只能提交一个电子投标文件，并按照招标文件第一章规定在系统上完成上传、解密操作。</w:t>
      </w:r>
    </w:p>
    <w:p w14:paraId="459787E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10.11电子投标文件的补充、修改或撤回</w:t>
      </w:r>
    </w:p>
    <w:p w14:paraId="5C0C1A0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（1）投标截止时间前，投标人可对所提交的电子投标文件进行补充、修改或撤回，并书面通知 三明华建招标代理有限公司 。</w:t>
      </w:r>
    </w:p>
    <w:p w14:paraId="025C5A0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（2）补充、修改的内容应按照本章第10.5条第（4）款规定进行签署、盖章，并按照本章第10.10条规定提交，否则将被拒收。</w:t>
      </w:r>
    </w:p>
    <w:p w14:paraId="5001432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※按照上述规定提交的补充、修改内容作为电子投标文件组成部分。</w:t>
      </w:r>
    </w:p>
    <w:p w14:paraId="4BE8C64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10.12除招标文件另有规定外，有下列情形之一的，投标无效：</w:t>
      </w:r>
    </w:p>
    <w:p w14:paraId="4403EBD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（1）电子投标文件未按照招标文件要求签署、盖章；</w:t>
      </w:r>
    </w:p>
    <w:p w14:paraId="3B8F106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（2）不符合招标文件中规定的资格要求；</w:t>
      </w:r>
    </w:p>
    <w:p w14:paraId="139E8A7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（3）投标报价超过招标文件中规定的预算金额或最高限价；</w:t>
      </w:r>
    </w:p>
    <w:p w14:paraId="2F829DA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（4）电子投标文件含有采购人不能接受的附加条件；</w:t>
      </w:r>
    </w:p>
    <w:p w14:paraId="6E8A995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（5）有关法律、法规和规章及招标文件规定的其他无效情形。</w:t>
      </w:r>
    </w:p>
    <w:p w14:paraId="3B099D97">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五、开标</w:t>
      </w:r>
    </w:p>
    <w:p w14:paraId="61EB877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11、开标</w:t>
      </w:r>
    </w:p>
    <w:p w14:paraId="791ADBB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11.1 三明华建招标代理有限公司 将在招标文件载明的开标时间及地点主持召开开标会，并邀请投标人参加。</w:t>
      </w:r>
    </w:p>
    <w:p w14:paraId="174C349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11.2开标会的主持人、唱标人、记录人及其他工作人员（若有）均由 三明华建招标代理有限公司 派出，现场监督人员（若有）可由有关方面派出。</w:t>
      </w:r>
    </w:p>
    <w:p w14:paraId="0F53A8E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5A8B336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11.4开标会应遵守下列规定：</w:t>
      </w:r>
    </w:p>
    <w:p w14:paraId="07FDA28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362050A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04A6205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（3）唱标结束后，参加现场开标会的投标人代表应对开标记录进行签字确认，通过远程参与开标流程的投标人须在系统远程签章开启后，在系统规定时间内对开标结果进行签章确认。</w:t>
      </w:r>
    </w:p>
    <w:p w14:paraId="0F3A257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647B24B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（5）若投标人未到开标现场参加开标会，也未通过远程参加开标会的，视同认可开标结果。</w:t>
      </w:r>
    </w:p>
    <w:p w14:paraId="03380F1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三明华建招标代理有限公司 提出任何疑义或要求（包括质疑）。</w:t>
      </w:r>
    </w:p>
    <w:p w14:paraId="16929FA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11.5投标截止时间后，参加投标的投标人不足三家的，不进行开标。同时，本次采购活动结束， 三明华建招标代理有限公司 将依法组织后续采购活动（包括但不限于：重新招标、采用其他方式采购等）。</w:t>
      </w:r>
    </w:p>
    <w:p w14:paraId="7A07D33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11.6投标截止时间后撤销投标的处理</w:t>
      </w:r>
    </w:p>
    <w:p w14:paraId="3EA51C5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投标截止时间后，投标人在投标有效期内撤销投标的，其撤销投标的行为无效。</w:t>
      </w:r>
    </w:p>
    <w:p w14:paraId="49C0422C">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六、中标与政府采购合同</w:t>
      </w:r>
    </w:p>
    <w:p w14:paraId="4BE19B3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12、中标</w:t>
      </w:r>
    </w:p>
    <w:p w14:paraId="0B3FA12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12.1本项目推荐的中标候选人家数：详见招标文件第二章。</w:t>
      </w:r>
    </w:p>
    <w:p w14:paraId="7718ED7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12.2本项目中标人的确定：详见招标文件第二章。</w:t>
      </w:r>
    </w:p>
    <w:p w14:paraId="1B773E2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12.3中标公告</w:t>
      </w:r>
    </w:p>
    <w:p w14:paraId="33FDAFD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（1）中标人确定之日起2个工作日内， 三明华建招标代理有限公司 将在招标文件载明的指定媒体以中标公告的形式发布中标结果。</w:t>
      </w:r>
    </w:p>
    <w:p w14:paraId="4B1F168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（2）中标公告的公告期限为1个工作日。</w:t>
      </w:r>
    </w:p>
    <w:p w14:paraId="3994363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12.4中标通知书</w:t>
      </w:r>
    </w:p>
    <w:p w14:paraId="5C7B578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（1）中标公告发布的同时， 三明华建招标代理有限公司 将向中标人发出中标通知书。</w:t>
      </w:r>
    </w:p>
    <w:p w14:paraId="6BAE163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（2）中标通知书发出后，采购人不得违法改变中标结果，中标人无正当理由不得放弃中标。</w:t>
      </w:r>
    </w:p>
    <w:p w14:paraId="5B2F221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13、政府采购合同</w:t>
      </w:r>
    </w:p>
    <w:p w14:paraId="780895C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55320CF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13.2签订时限：详见须知前附表1的13.2。</w:t>
      </w:r>
    </w:p>
    <w:p w14:paraId="3C2DF8F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13.3政府采购合同的履行、违约责任和解决争议的方法等适用民法典。</w:t>
      </w:r>
    </w:p>
    <w:p w14:paraId="47A5941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13.4采购人与中标人应根据政府采购合同的约定依法履行合同义务。</w:t>
      </w:r>
    </w:p>
    <w:p w14:paraId="339EA03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13.5政府采购合同履行过程中，采购人若需追加与合同标的相同的货物或服务，则追加采购金额不得超过原合同采购金额的10%。</w:t>
      </w:r>
    </w:p>
    <w:p w14:paraId="1D49528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13.6中标人在政府采购合同履行过程中应遵守有关法律、法规和规章的强制性规定（即使前述强制性规定有可能在招标文件中未予列明）。</w:t>
      </w:r>
    </w:p>
    <w:p w14:paraId="0DB968FB">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七、询问、质疑与投诉</w:t>
      </w:r>
    </w:p>
    <w:p w14:paraId="386E496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14、询问</w:t>
      </w:r>
    </w:p>
    <w:p w14:paraId="5E2FBB9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14.1潜在投标人或投标人对本次采购活动的有关事项若有疑问，可向 三明华建招标代理有限公司 提出询问， 三明华建招标代理有限公司 将按照政府采购法及实施条例的有关规定进行答复。</w:t>
      </w:r>
    </w:p>
    <w:p w14:paraId="6D949CE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15、质疑</w:t>
      </w:r>
    </w:p>
    <w:p w14:paraId="00EB3F8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15.1针对同一采购程序环节的质疑应在政府采购法及实施条例的时限内一次性提出，对一个项目的不同采购包提出质疑的，应当将各采购包质疑事项集中在一份质疑函中提出，并同时符合下列条件：</w:t>
      </w:r>
    </w:p>
    <w:p w14:paraId="69F122E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（1）对招标文件提出质疑的，质疑人应为潜在投标人，且两者的身份、名称等均应保持一致。对采购过程、结果提出质疑的，质疑人应为投标人，且两者的身份、名称等均应保持一致。</w:t>
      </w:r>
    </w:p>
    <w:p w14:paraId="34BE23E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（2）质疑人应按照招标文件第二章规定方式提交质疑函。</w:t>
      </w:r>
    </w:p>
    <w:p w14:paraId="73C622E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（3）质疑函应包括下列主要内容：</w:t>
      </w:r>
    </w:p>
    <w:p w14:paraId="1D01521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①质疑人的基本信息，至少包括：全称、地址、邮政编码等；</w:t>
      </w:r>
    </w:p>
    <w:p w14:paraId="11E959F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②所质疑项目的基本信息，至少包括：项目编号、项目名称等；</w:t>
      </w:r>
    </w:p>
    <w:p w14:paraId="551D9C8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③所质疑的具体事项（以下简称：“质疑事项”）；</w:t>
      </w:r>
    </w:p>
    <w:p w14:paraId="571EA3C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④针对质疑事项提出的明确请求，前述明确请求指质疑人提出质疑的目的以及希望 三明华建招标代理有限公司 对其质疑作出的处理结果，如：暂停招标投标活动、修改招标文件、停止或纠正违法违规行为、中标结果无效、废标、重新招标等；</w:t>
      </w:r>
    </w:p>
    <w:p w14:paraId="5265DC6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⑤针对质疑事项导致质疑人自身权益受到损害的必要证明材料，至少包括：</w:t>
      </w:r>
    </w:p>
    <w:p w14:paraId="316765E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a.质疑人代表的身份证明材料：</w:t>
      </w:r>
    </w:p>
    <w:p w14:paraId="00DCAF0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5F8C8AA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a2若本项目接受自然人投标且质疑人为自然人的，提供本人的身份证复印件。</w:t>
      </w:r>
    </w:p>
    <w:p w14:paraId="179B67A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b.其他证明材料（即事实依据和必要的法律依据）包括但不限于下列材料：</w:t>
      </w:r>
    </w:p>
    <w:p w14:paraId="20202A1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b1所质疑的具体事项是与自己有利害关系的证明材料；</w:t>
      </w:r>
    </w:p>
    <w:p w14:paraId="18E94FA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b2质疑函所述事实存在的证明材料，如：采购文件、采购过程或中标结果违法违规或不符合采购文件要求等证明材料；</w:t>
      </w:r>
    </w:p>
    <w:p w14:paraId="6AF4ECB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b3依法应终止采购程序的证明材料；</w:t>
      </w:r>
    </w:p>
    <w:p w14:paraId="1358752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b4应重新采购的证明材料；</w:t>
      </w:r>
    </w:p>
    <w:p w14:paraId="6957FA1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b5采购文件、采购过程或中标、成交结果损害自己合法权益的证明材料等；</w:t>
      </w:r>
    </w:p>
    <w:p w14:paraId="423423C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3428D6B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⑥质疑人代表及其联系方法的信息，至少包括：姓名、手机、电子信箱、邮寄地址等。</w:t>
      </w:r>
    </w:p>
    <w:p w14:paraId="3EB8D95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⑦提出质疑的日期。</w:t>
      </w:r>
    </w:p>
    <w:p w14:paraId="001B208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※质疑人为法人或其他组织的，质疑函应由单位负责人或委托代理人签字或盖章，并加盖投标人的单位公章。质疑人为自然人的，质疑函应由本人签字。</w:t>
      </w:r>
    </w:p>
    <w:p w14:paraId="35EC86B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15.2对不符合本章第15.1条规定的质疑，将按照下列规定进行处理：</w:t>
      </w:r>
    </w:p>
    <w:p w14:paraId="6E336F0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（1）不符合其中第（1）、（2）条规定的，书面告知质疑人不予受理及其理由。</w:t>
      </w:r>
    </w:p>
    <w:p w14:paraId="3943D15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（2）不符合其中第（3）条规定的，书面告知质疑人修改、补充后在规定时限内重新提交质疑函。</w:t>
      </w:r>
    </w:p>
    <w:p w14:paraId="75B1BC1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15.3对符合本章第15.1条规定的质疑，将按照政府采购法及实施条例、政府采购质疑和投诉办法的有关规定进行答复。</w:t>
      </w:r>
    </w:p>
    <w:p w14:paraId="32AA7B0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15.4招标文件的质疑：详见招标文件第二章。</w:t>
      </w:r>
    </w:p>
    <w:p w14:paraId="44DA65B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16、投诉</w:t>
      </w:r>
    </w:p>
    <w:p w14:paraId="56A2A63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4EC6E6E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16.2投诉应有明确的请求和必要的证明材料，投诉的事项不得超出已质疑事项的范围。</w:t>
      </w:r>
    </w:p>
    <w:p w14:paraId="203DC500">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八、政府采购政策</w:t>
      </w:r>
    </w:p>
    <w:p w14:paraId="3747D2E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17、政府采购政策由财政部根据国家的经济和社会发展政策并会同国家有关部委制定，包括但不限于下列具体政策要求：</w:t>
      </w:r>
    </w:p>
    <w:p w14:paraId="34529CA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17.1本国产品与非本国产品相关约定</w:t>
      </w:r>
    </w:p>
    <w:p w14:paraId="2BD9A67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17.1.1本国产品</w:t>
      </w:r>
    </w:p>
    <w:p w14:paraId="375F857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6D4EEE6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1DCA1B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（3）对本国产品的支持政策 政府采购活动中既有本国产品又有非本国产品参与竞争的，依法对本国产品给予价格评审优惠，对本国产品的报价给予20%的价格扣除，用扣除后的价格参与评审。</w:t>
      </w:r>
    </w:p>
    <w:p w14:paraId="7A2E0FC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414C3B7">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17.1.2 非本国产品</w:t>
      </w:r>
    </w:p>
    <w:p w14:paraId="66EAE76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17.1.2.1 进口产品：指通过中国海关报关验放进入中国境内且产自关境外的产品，其中：</w:t>
      </w:r>
    </w:p>
    <w:p w14:paraId="0F9B429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3363D25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（2）凡在海关特殊监管区域内企业生产或加工（包括从境外进口料件）销往境内其他地区的产品，不作为政府采购项下进口产品。</w:t>
      </w:r>
    </w:p>
    <w:p w14:paraId="07E2A0E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（3）对从境外进入海关特殊监管区域，再经办理报关手续后从海关特殊监管区进入境内其他地区的产品，认定为进口产品。</w:t>
      </w:r>
    </w:p>
    <w:p w14:paraId="5FE7423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（4）招标文件列明不允许或未列明允许进口产品参加投标的，均视为拒绝进口产品参加投标。</w:t>
      </w:r>
    </w:p>
    <w:p w14:paraId="0B41C69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17.1.2.2 其它非本国产品：指非进口产品且不符合本国产品标准的产品。</w:t>
      </w:r>
    </w:p>
    <w:p w14:paraId="3FD8A6E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3A8D9FF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0576BC7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（1）中小企业指符合下列条件的中型、小型、微型企业：</w:t>
      </w:r>
    </w:p>
    <w:p w14:paraId="14E7D6A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7FCFC0E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②符合中小企业划分标准的个体工商户，在政府采购活动中视同中小企业。</w:t>
      </w:r>
    </w:p>
    <w:p w14:paraId="3FAACC7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（2）在政府采购活动中，供应商提供的货物、工程或者服务符合下列情形的，享受本办法规定的中小企业扶持政策：</w:t>
      </w:r>
    </w:p>
    <w:p w14:paraId="3EB1019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①在货物采购项目中，货物由中小企业制造，即货物由中小企业生产且使用该中小企业商号或者注册商标；</w:t>
      </w:r>
    </w:p>
    <w:p w14:paraId="1A8D561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②在工程采购项目中，工程由中小企业承建，即工程施工单位为中小企业；</w:t>
      </w:r>
    </w:p>
    <w:p w14:paraId="026E7C9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③在服务采购项目中，服务由中小企业承接，即提供服务的人员为中小企业依照《中华人民共和国劳动合同法》订立劳动合同的从业人员。</w:t>
      </w:r>
    </w:p>
    <w:p w14:paraId="6194212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在货物采购项目中，供应商提供的货物既有中小企业制造货物，也有大型企业制造货物的，不享受本办法规定的中小企业扶持政策。</w:t>
      </w:r>
    </w:p>
    <w:p w14:paraId="325CC61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以联合体形式参加政府采购活动，联合体各方均为中小企业的，联合体视同中小企业。其中，联合体各方均为小微企业的，联合体视同小微企业。</w:t>
      </w:r>
    </w:p>
    <w:p w14:paraId="08628E5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（3）投标人应当按照招标文件明确的采购标的对应行业的划分标准出具中小企业声明函。</w:t>
      </w:r>
    </w:p>
    <w:p w14:paraId="682FC1B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31CA31E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7518456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①监狱企业参加采购活动时，应提供由省级以上监狱管理局、戒毒管理局（含新疆生产建设兵团）出具的属于监狱企业的证明文件。</w:t>
      </w:r>
    </w:p>
    <w:p w14:paraId="6E3744F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②监狱企业视同小型、微型企业。</w:t>
      </w:r>
    </w:p>
    <w:p w14:paraId="63DBA22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（5）残疾人福利性单位指同时符合下列条件的单位：</w:t>
      </w:r>
    </w:p>
    <w:p w14:paraId="523653D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①安置的残疾人占本单位在职职工人数的比例不低于25%（含25%），并且安置的残疾人人数不少于10人（含10人）；</w:t>
      </w:r>
    </w:p>
    <w:p w14:paraId="3C6CDB5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②依法与安置的每位残疾人签订了一年以上（含一年）的劳动合同或服务协议；</w:t>
      </w:r>
    </w:p>
    <w:p w14:paraId="53FE992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③为安置的每位残疾人按月足额缴纳了基本养老保险、基本医疗保险、失业保险、工伤保险和生育保险等社会保险费；</w:t>
      </w:r>
    </w:p>
    <w:p w14:paraId="7AFB741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④通过银行等金融机构向安置的每位残疾人，按月支付了不低于单位所在区县适用的经省级人民政府批准的月最低工资标准的工资；</w:t>
      </w:r>
    </w:p>
    <w:p w14:paraId="763A710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⑤提供本单位制造的货物、承担的工程或服务，或提供其他残疾人福利性单位制造的货物（不包括使用非残疾人福利性单位注册商标的货物）。</w:t>
      </w:r>
    </w:p>
    <w:p w14:paraId="59904EC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0DEB268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4E0430F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17.4信用记录指由财政部确定的有关网站提供的相关主体信用信息。信用记录的查询及使用应符合财政部文件（财库[2016]125号）规定。</w:t>
      </w:r>
    </w:p>
    <w:p w14:paraId="23E819F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17.5为落实政府采购政策需满足的要求：详见招标文件第一章。</w:t>
      </w:r>
    </w:p>
    <w:p w14:paraId="3CAA5AB8">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九、本项目的有关信息</w:t>
      </w:r>
    </w:p>
    <w:p w14:paraId="6E39123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18、本项目的有关信息，包括但不限于：招标公告、更正公告（若有）、招标文件、招标文件的澄清或修改（若有）、中标公告、终止公告（若有）、废标公告（若有）等都将在招标文件载明的指定媒体发布。</w:t>
      </w:r>
    </w:p>
    <w:p w14:paraId="5D27CBA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18.1指定媒体：详见招标文件第二章。</w:t>
      </w:r>
    </w:p>
    <w:p w14:paraId="497626D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18.2本项目的潜在投标人或投标人应随时关注指定媒体，否则产生不利后果由其自行承担。</w:t>
      </w:r>
    </w:p>
    <w:p w14:paraId="5CA9978E">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十、其他事项</w:t>
      </w:r>
    </w:p>
    <w:p w14:paraId="6443A42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19、其他事项：</w:t>
      </w:r>
    </w:p>
    <w:p w14:paraId="479CA8C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00FA20D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19.2其他：详见招标文件第二章。</w:t>
      </w:r>
    </w:p>
    <w:p w14:paraId="22BB4EB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1C14907">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第四章 资格审查与评标</w:t>
      </w:r>
    </w:p>
    <w:p w14:paraId="20C22E42">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一、资格审查</w:t>
      </w:r>
    </w:p>
    <w:p w14:paraId="425AD69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1、开标结束后，由 三明华建招标代理有限公司 负责资格审查小组的组建及资格审查工作的组织。</w:t>
      </w:r>
    </w:p>
    <w:p w14:paraId="63FBF70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1.1资格审查小组</w:t>
      </w:r>
    </w:p>
    <w:p w14:paraId="451C3F0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审查小组由3人组成，并负责具体审查事务，其中由采购人派出的采购人代表至少1人，由三明华建招标代理有限公司派出的工作人员至少1人，其余1人可为采购人代表或三明华建招标代理有限公司的工作人员。</w:t>
      </w:r>
    </w:p>
    <w:p w14:paraId="445D93E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1.2资格审查的依据是招标文件和电子投标文件。</w:t>
      </w:r>
    </w:p>
    <w:p w14:paraId="397728A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1.3资格审查的范围及内容：电子投标文件（资格及资信证明部分），具体如下：</w:t>
      </w:r>
    </w:p>
    <w:p w14:paraId="57249E2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（1）“投标函”；</w:t>
      </w:r>
    </w:p>
    <w:p w14:paraId="05A2B3C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（2）“投标人的资格及资信证明文件”</w:t>
      </w:r>
    </w:p>
    <w:p w14:paraId="6B33024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①一般资格证明文件：</w:t>
      </w:r>
    </w:p>
    <w:p w14:paraId="1C43010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4E22FE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D468AFF">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3322" w:type="dxa"/>
          </w:tcPr>
          <w:p w14:paraId="59E984C9">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资格审查要求概况</w:t>
            </w:r>
          </w:p>
        </w:tc>
        <w:tc>
          <w:tcPr>
            <w:tcW w:w="4153" w:type="dxa"/>
          </w:tcPr>
          <w:p w14:paraId="4942DBB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评审点具体描述</w:t>
            </w:r>
          </w:p>
        </w:tc>
      </w:tr>
      <w:tr w14:paraId="6258AC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C46C88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322" w:type="dxa"/>
          </w:tcPr>
          <w:p w14:paraId="4D211C3C">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单位授权书</w:t>
            </w:r>
          </w:p>
        </w:tc>
        <w:tc>
          <w:tcPr>
            <w:tcW w:w="4153" w:type="dxa"/>
          </w:tcPr>
          <w:p w14:paraId="51E71C64">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70A1B0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19A756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3322" w:type="dxa"/>
          </w:tcPr>
          <w:p w14:paraId="29603973">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营业执照等证明文件</w:t>
            </w:r>
          </w:p>
        </w:tc>
        <w:tc>
          <w:tcPr>
            <w:tcW w:w="4153" w:type="dxa"/>
          </w:tcPr>
          <w:p w14:paraId="7527D4AE">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399DA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ED642C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3322" w:type="dxa"/>
          </w:tcPr>
          <w:p w14:paraId="696EA1F1">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提供财务状况报告(财务报告、或资信证明）</w:t>
            </w:r>
          </w:p>
        </w:tc>
        <w:tc>
          <w:tcPr>
            <w:tcW w:w="4153" w:type="dxa"/>
          </w:tcPr>
          <w:p w14:paraId="03A20C1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113B46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D98BEE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3322" w:type="dxa"/>
          </w:tcPr>
          <w:p w14:paraId="6073839F">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依法缴纳税收证明材料</w:t>
            </w:r>
          </w:p>
        </w:tc>
        <w:tc>
          <w:tcPr>
            <w:tcW w:w="4153" w:type="dxa"/>
          </w:tcPr>
          <w:p w14:paraId="661D6FF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3025F2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0135A83">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3322" w:type="dxa"/>
          </w:tcPr>
          <w:p w14:paraId="5CB91D7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依法缴纳社会保障资金证明材料</w:t>
            </w:r>
          </w:p>
        </w:tc>
        <w:tc>
          <w:tcPr>
            <w:tcW w:w="4153" w:type="dxa"/>
          </w:tcPr>
          <w:p w14:paraId="3718925D">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0C5F23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CE4A83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p>
        </w:tc>
        <w:tc>
          <w:tcPr>
            <w:tcW w:w="3322" w:type="dxa"/>
          </w:tcPr>
          <w:p w14:paraId="3D2186C1">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具备履行合同所必需设备和专业技术能力的声明函(若有)</w:t>
            </w:r>
          </w:p>
        </w:tc>
        <w:tc>
          <w:tcPr>
            <w:tcW w:w="4153" w:type="dxa"/>
          </w:tcPr>
          <w:p w14:paraId="244C61E2">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394BF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9E92798">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p>
        </w:tc>
        <w:tc>
          <w:tcPr>
            <w:tcW w:w="3322" w:type="dxa"/>
          </w:tcPr>
          <w:p w14:paraId="5FA5F163">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参加采购活动前三年内在经营活动中没有重大违法记录的声明</w:t>
            </w:r>
          </w:p>
        </w:tc>
        <w:tc>
          <w:tcPr>
            <w:tcW w:w="4153" w:type="dxa"/>
          </w:tcPr>
          <w:p w14:paraId="16D9BD7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43172C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542D70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w:t>
            </w:r>
          </w:p>
        </w:tc>
        <w:tc>
          <w:tcPr>
            <w:tcW w:w="3322" w:type="dxa"/>
          </w:tcPr>
          <w:p w14:paraId="119E0576">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信用记录查询结果</w:t>
            </w:r>
          </w:p>
        </w:tc>
        <w:tc>
          <w:tcPr>
            <w:tcW w:w="4153" w:type="dxa"/>
          </w:tcPr>
          <w:p w14:paraId="0DCBAF0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D2C60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316F89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w:t>
            </w:r>
          </w:p>
        </w:tc>
        <w:tc>
          <w:tcPr>
            <w:tcW w:w="3322" w:type="dxa"/>
          </w:tcPr>
          <w:p w14:paraId="074FAD5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中小企业声明函（以资格条件落实中小企业扶持政策时适用 ）</w:t>
            </w:r>
          </w:p>
        </w:tc>
        <w:tc>
          <w:tcPr>
            <w:tcW w:w="4153" w:type="dxa"/>
          </w:tcPr>
          <w:p w14:paraId="16EE9709">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028DD7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759FF14">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w:t>
            </w:r>
          </w:p>
        </w:tc>
        <w:tc>
          <w:tcPr>
            <w:tcW w:w="3322" w:type="dxa"/>
          </w:tcPr>
          <w:p w14:paraId="675A1AA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联合体协议（若有）</w:t>
            </w:r>
          </w:p>
        </w:tc>
        <w:tc>
          <w:tcPr>
            <w:tcW w:w="4153" w:type="dxa"/>
          </w:tcPr>
          <w:p w14:paraId="43D11366">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①招标文件接受联合体投标且投标人为联合体的，投标人应提供本协议；否则无须提供。 ②本协议由委托代理人签字或盖章的，应按照招标文件第七章载明的格式提供“单位授权书”。</w:t>
            </w:r>
          </w:p>
        </w:tc>
      </w:tr>
    </w:tbl>
    <w:p w14:paraId="55B9536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※备注说明</w:t>
      </w:r>
    </w:p>
    <w:p w14:paraId="61395BD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①投标人应根据自身实际情况提供上述资格要求的证明材料，格式可参考招标文件第七章提供。</w:t>
      </w:r>
    </w:p>
    <w:p w14:paraId="6DC4FD7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②投标人提供的相应证明材料复印件均应符合：内容完整、清晰、整洁，并由投标人加盖其单位公章。</w:t>
      </w:r>
    </w:p>
    <w:p w14:paraId="50F118B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③根据招标文件第四章第一点资格审查的1.3“④其他资格证明文件”要求，允许供应商采用资格承诺制的并提供符合要求的资格承诺函，视为满足招标文件的资格要求。</w:t>
      </w:r>
    </w:p>
    <w:p w14:paraId="51B094A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④.其他资格证明文件：</w:t>
      </w:r>
    </w:p>
    <w:p w14:paraId="4B0E458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628744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9072CA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资格审查要求概况</w:t>
            </w:r>
          </w:p>
        </w:tc>
        <w:tc>
          <w:tcPr>
            <w:tcW w:w="4614" w:type="dxa"/>
          </w:tcPr>
          <w:p w14:paraId="207FD21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评审点具体描述</w:t>
            </w:r>
          </w:p>
        </w:tc>
      </w:tr>
      <w:tr w14:paraId="16BFBE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430602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资格承诺函</w:t>
            </w:r>
          </w:p>
        </w:tc>
        <w:tc>
          <w:tcPr>
            <w:tcW w:w="4614" w:type="dxa"/>
          </w:tcPr>
          <w:p w14:paraId="67CBFC9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231AA91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（3）投标保证金。</w:t>
      </w:r>
    </w:p>
    <w:p w14:paraId="3BF9C39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1.4有下列情形之一的，资格审查不合格：</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728EE5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AECE19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明细</w:t>
            </w:r>
          </w:p>
        </w:tc>
      </w:tr>
      <w:tr w14:paraId="4CA357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14A93C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未按照招标文件规定提交投标函</w:t>
            </w:r>
          </w:p>
        </w:tc>
      </w:tr>
      <w:tr w14:paraId="41AC8D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E88D72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未按照招标文件规定提交投标人的资格及资信文件</w:t>
            </w:r>
          </w:p>
        </w:tc>
      </w:tr>
      <w:tr w14:paraId="2FACE7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8A8750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未按照招标文件规定提交投标保证金</w:t>
            </w:r>
          </w:p>
        </w:tc>
      </w:tr>
    </w:tbl>
    <w:p w14:paraId="285BBAA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p w14:paraId="203B3E9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资格审查不合格项：无</w:t>
      </w:r>
    </w:p>
    <w:p w14:paraId="73ECA84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039D22D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2、资格审查情况不得私自外泄，有关信息由 三明华建招标代理有限公司 统一对外发布。</w:t>
      </w:r>
    </w:p>
    <w:p w14:paraId="255513D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3、资格审查合格的投标人不足三家的，不进行评标。同时，本次采购活动结束， 三明华建招标代理有限公司 将依法组织后续采购活动（包括但不限于：重新招标、采用其他方式采购等）。</w:t>
      </w:r>
    </w:p>
    <w:p w14:paraId="7493416E">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二、评标</w:t>
      </w:r>
    </w:p>
    <w:p w14:paraId="1BA9342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4、资格审查结束后，由 三明华建招标代理有限公司 负责评标委员会的组建及评标工作的组织。</w:t>
      </w:r>
    </w:p>
    <w:p w14:paraId="667A0BA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5、评标委员会</w:t>
      </w:r>
    </w:p>
    <w:p w14:paraId="3682136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由采购人代表和评审专家两部分共5人组成，其中由福建省政府采购评审专家库产生的评审专家4人，由采购人派出的采购人代表1人。</w:t>
      </w:r>
    </w:p>
    <w:p w14:paraId="5AB230D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5.2评标委员会负责具体评标事务，并按照下列原则依法独立履行有关职责：</w:t>
      </w:r>
    </w:p>
    <w:p w14:paraId="7EA77C2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（1）评标应保护国家利益、社会公共利益和各方当事人合法权益，提高采购效益，保证项目质量。</w:t>
      </w:r>
    </w:p>
    <w:p w14:paraId="5175E16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（2）评标应遵循公平、公正、科学、严谨和择优原则。</w:t>
      </w:r>
    </w:p>
    <w:p w14:paraId="206E383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（3）评标的依据是招标文件和电子投标文件。</w:t>
      </w:r>
    </w:p>
    <w:p w14:paraId="7C6B8C6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（4）应按照招标文件规定推荐中标候选人或确定中标人。</w:t>
      </w:r>
    </w:p>
    <w:p w14:paraId="1A75DDA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（5）评标应遵守下列评标纪律：</w:t>
      </w:r>
    </w:p>
    <w:p w14:paraId="7C5D3A7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①评标情况不得私自外泄，有关信息由 三明华建招标代理有限公司 统一对外发布。</w:t>
      </w:r>
    </w:p>
    <w:p w14:paraId="119AC4F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②对 三明华建招标代理有限公司 或投标人提供的要求保密的资料，不得摘记翻印和外传。</w:t>
      </w:r>
    </w:p>
    <w:p w14:paraId="2ABF18F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③不得收受投标人或有关人员的任何礼物，不得串联鼓动其他人袒护某投标人。若与投标人存在利害关系，则应主动声明并回避。</w:t>
      </w:r>
    </w:p>
    <w:p w14:paraId="38148F4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④全体评委应按照招标文件规定进行评标，一切认定事项应查有实据且不得弄虚作假。</w:t>
      </w:r>
    </w:p>
    <w:p w14:paraId="35BD86F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⑤评标中应充分发扬民主，推荐中标候选人或确定中标人后要服从评标报告。</w:t>
      </w:r>
    </w:p>
    <w:p w14:paraId="5AF8967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※对违反评标纪律的评委，将取消其评委资格，对评标工作造成严重损失者将予以通报批评乃至追究法律责任。</w:t>
      </w:r>
    </w:p>
    <w:p w14:paraId="1D8B51E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6、评标程序</w:t>
      </w:r>
    </w:p>
    <w:p w14:paraId="0CBE1D2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6.1评标前的准备工作</w:t>
      </w:r>
    </w:p>
    <w:p w14:paraId="403BC08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（1）全体评委应认真审阅招标文件，了解评委应履行或遵守的职责、义务和评标纪律。</w:t>
      </w:r>
    </w:p>
    <w:p w14:paraId="30BFDD7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（2）参加评标委员会的采购人代表可对本项目的背景和采购需求进行介绍，介绍材料应以书面形式提交（随采购文件一并存档），介绍内容不得含有歧视性、倾向性意见，不得超出招标文件所述范围。</w:t>
      </w:r>
    </w:p>
    <w:p w14:paraId="5297B46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6.2符合性审查</w:t>
      </w:r>
    </w:p>
    <w:p w14:paraId="6B81FD1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（1）评标委员会依据招标文件的实质性要求，对通过资格审查的电子投标文件进行符合性审查，以确定其是否满足招标文件的实质性要求。</w:t>
      </w:r>
    </w:p>
    <w:p w14:paraId="43A6CEE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（2）满足招标文件的实质性要求指电子投标文件对招标文件实质性要求的响应不存在重大偏差或保留。</w:t>
      </w:r>
    </w:p>
    <w:p w14:paraId="5DA469D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6A730C9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36519F6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（5）评标委员会对所有投标人都执行相同的程序和标准。</w:t>
      </w:r>
    </w:p>
    <w:p w14:paraId="01E008B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（6）有下列情形之一的，符合性审查不合格：</w:t>
      </w:r>
    </w:p>
    <w:p w14:paraId="4009D46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①项目一般情形：</w:t>
      </w:r>
    </w:p>
    <w:p w14:paraId="32354B0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709F5B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852FF0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3115" w:type="dxa"/>
          </w:tcPr>
          <w:p w14:paraId="7E223B8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符合审查要求概况</w:t>
            </w:r>
          </w:p>
        </w:tc>
        <w:tc>
          <w:tcPr>
            <w:tcW w:w="4153" w:type="dxa"/>
          </w:tcPr>
          <w:p w14:paraId="5577B13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评审点具体描述</w:t>
            </w:r>
          </w:p>
        </w:tc>
      </w:tr>
      <w:tr w14:paraId="3582FA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0A49BB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115" w:type="dxa"/>
          </w:tcPr>
          <w:p w14:paraId="6287B18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情形1</w:t>
            </w:r>
          </w:p>
        </w:tc>
        <w:tc>
          <w:tcPr>
            <w:tcW w:w="4153" w:type="dxa"/>
          </w:tcPr>
          <w:p w14:paraId="2BE10AC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违反招标文件中载明“投标无效”条款的规定；</w:t>
            </w:r>
          </w:p>
        </w:tc>
      </w:tr>
      <w:tr w14:paraId="33E0AF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EAC621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3115" w:type="dxa"/>
          </w:tcPr>
          <w:p w14:paraId="751FDDA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情形2</w:t>
            </w:r>
          </w:p>
        </w:tc>
        <w:tc>
          <w:tcPr>
            <w:tcW w:w="4153" w:type="dxa"/>
          </w:tcPr>
          <w:p w14:paraId="4F4C9D5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属于招标文件第三章第10.12条规定的投标无效情形；</w:t>
            </w:r>
          </w:p>
        </w:tc>
      </w:tr>
      <w:tr w14:paraId="23A7EC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EC4DA4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3115" w:type="dxa"/>
          </w:tcPr>
          <w:p w14:paraId="0A82F54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情形3</w:t>
            </w:r>
          </w:p>
        </w:tc>
        <w:tc>
          <w:tcPr>
            <w:tcW w:w="4153" w:type="dxa"/>
          </w:tcPr>
          <w:p w14:paraId="314A0F7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投标文件对招标文件实质性要求的响应存在重大偏离或保留。</w:t>
            </w:r>
          </w:p>
        </w:tc>
      </w:tr>
    </w:tbl>
    <w:p w14:paraId="0E8B4E5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②本项目规定的其他情形：</w:t>
      </w:r>
    </w:p>
    <w:p w14:paraId="5F274F6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p w14:paraId="2045F28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799DE4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8E5823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情形</w:t>
            </w:r>
          </w:p>
        </w:tc>
        <w:tc>
          <w:tcPr>
            <w:tcW w:w="4153" w:type="dxa"/>
          </w:tcPr>
          <w:p w14:paraId="5ED056B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明细</w:t>
            </w:r>
          </w:p>
        </w:tc>
      </w:tr>
      <w:tr w14:paraId="6F0F23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64A60B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其他情形</w:t>
            </w:r>
          </w:p>
        </w:tc>
        <w:tc>
          <w:tcPr>
            <w:tcW w:w="4153" w:type="dxa"/>
          </w:tcPr>
          <w:p w14:paraId="289903F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投标人在投标文件中对招标文件第五章招标内容及要求“二、技术和服务要求”中各项条款必须逐条响应，未逐条响应视为未响应招标文件实质性要求，按技术符合性审查不合格，作无效投标处理。</w:t>
            </w:r>
          </w:p>
        </w:tc>
      </w:tr>
      <w:tr w14:paraId="2B15FC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46BB40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其他情形</w:t>
            </w:r>
          </w:p>
        </w:tc>
        <w:tc>
          <w:tcPr>
            <w:tcW w:w="4153" w:type="dxa"/>
          </w:tcPr>
          <w:p w14:paraId="370D98D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标记“★”号条款，负偏离按技术符合性审查不合格，作无效投标处理。</w:t>
            </w:r>
          </w:p>
        </w:tc>
      </w:tr>
      <w:tr w14:paraId="662F4A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39ECE3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其他情形</w:t>
            </w:r>
          </w:p>
        </w:tc>
        <w:tc>
          <w:tcPr>
            <w:tcW w:w="4153" w:type="dxa"/>
          </w:tcPr>
          <w:p w14:paraId="4687388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为保证评分的直观有效性，投标人应对评分项进行节点关联，在技术项评分中如有要求提供相关资料佐证必须按要求提供，并注明佐证内容所在的位置（可采用下划线、圆圈、箭头等方式）能佐证满足评分标准要求的相关内容，若未明确标注，对应评分项不得分。</w:t>
            </w:r>
          </w:p>
        </w:tc>
      </w:tr>
    </w:tbl>
    <w:p w14:paraId="72DD984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商务符合性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75098F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AE234E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情形</w:t>
            </w:r>
          </w:p>
        </w:tc>
        <w:tc>
          <w:tcPr>
            <w:tcW w:w="4153" w:type="dxa"/>
          </w:tcPr>
          <w:p w14:paraId="1EEFC69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明细</w:t>
            </w:r>
          </w:p>
        </w:tc>
      </w:tr>
      <w:tr w14:paraId="2DA85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898CE3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其他情形</w:t>
            </w:r>
          </w:p>
        </w:tc>
        <w:tc>
          <w:tcPr>
            <w:tcW w:w="4153" w:type="dxa"/>
          </w:tcPr>
          <w:p w14:paraId="0C7E90D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在投标文件中对招标文件第五章招标内容及要求“三、商务条件”中各项条款必须逐条响应，未逐条响应或任一项响应负偏离均视为未响应招标文件实质性要求，按商务符合性审查不合格，作无效投标处理。</w:t>
            </w:r>
          </w:p>
        </w:tc>
      </w:tr>
      <w:tr w14:paraId="03F45C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DCE999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其他情形</w:t>
            </w:r>
          </w:p>
        </w:tc>
        <w:tc>
          <w:tcPr>
            <w:tcW w:w="4153" w:type="dxa"/>
          </w:tcPr>
          <w:p w14:paraId="41A4394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为保证评分的直观有效性，投标人应对评分项进行节点关联，在商务项评分中如有要求提供相关资料佐证必须按要求提供，并注明佐证内容所在的位置（可采用下划线、圆圈、箭头等方式）能佐证满足评分标准要求的相关内容，若未明确标注，对应评分项不得分。</w:t>
            </w:r>
          </w:p>
        </w:tc>
      </w:tr>
    </w:tbl>
    <w:p w14:paraId="3BE3F6D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价格符合性：无</w:t>
      </w:r>
    </w:p>
    <w:p w14:paraId="429EA64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6.3澄清有关问题</w:t>
      </w:r>
    </w:p>
    <w:p w14:paraId="0CACF79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（1）对通过符合性审查的电子投标文件中含义不明确、同类问题表述不一致或有明显文字和计算错误的内容，评标委员会将以书面形式要求投标人作出必要的澄清、说明或补正。</w:t>
      </w:r>
    </w:p>
    <w:p w14:paraId="6EBD8A8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7012AE2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（3）电子投标文件报价出现前后不一致的，除招标文件另有规定外，按照下列规定修正：</w:t>
      </w:r>
    </w:p>
    <w:p w14:paraId="2A6DFCA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①开标（报价）一览表内容与电子投标文件中相应内容不一致的，以开标（报价）一览表为准；</w:t>
      </w:r>
    </w:p>
    <w:p w14:paraId="7355AC5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②大写金额和小写金额不一致的，以大写金额为准；</w:t>
      </w:r>
    </w:p>
    <w:p w14:paraId="2C5B9B5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③单价金额小数点或百分比有明显错位的，以开标（报价）一览表的总价为准，并修改单价；</w:t>
      </w:r>
    </w:p>
    <w:p w14:paraId="4CCCDD0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④总价金额与按照单价汇总金额不一致的，以单价金额计算结果为准。</w:t>
      </w:r>
    </w:p>
    <w:p w14:paraId="4126B58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※同时出现两种以上不一致的，按照前款规定的顺序修正。修正后的报价应按照本章第6.3条第（1）、（2）款规定经投标人确认后产生约束力，投标人不确认的，其投标无效。</w:t>
      </w:r>
    </w:p>
    <w:p w14:paraId="703FA9F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（4）关于细微偏差</w:t>
      </w:r>
    </w:p>
    <w:p w14:paraId="5F0D5F0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2BF6E13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②评标委员会将以书面形式要求存在细微偏差的投标人在评标委员会规定的时间内予以补正。若无法补正，则评标委员会将按照不利于投标人的内容进行认定。</w:t>
      </w:r>
    </w:p>
    <w:p w14:paraId="470747D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（5）关于投标描述（即电子投标文件中描述的内容）</w:t>
      </w:r>
    </w:p>
    <w:p w14:paraId="41559C8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①投标描述前后不一致且不涉及证明材料的：按照本章第6.3条第（1）、（2）款规定执行。</w:t>
      </w:r>
    </w:p>
    <w:p w14:paraId="5703C61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②投标描述与证明材料不一致或多份证明材料之间不一致的：</w:t>
      </w:r>
    </w:p>
    <w:p w14:paraId="5BFFA85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a.评标委员会将要求投标人进行书面澄清，并按照不利于投标人的内容进行评标。</w:t>
      </w:r>
    </w:p>
    <w:p w14:paraId="0594B0F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7B5BAD3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58262B3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6.4比较与评价</w:t>
      </w:r>
    </w:p>
    <w:p w14:paraId="491AD2F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（1）按照本章第7条载明的评标方法和标准，对符合性审查合格的电子投标文件进行比较与评价。</w:t>
      </w:r>
    </w:p>
    <w:p w14:paraId="35FAB68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（2）关于相同品牌产品（政府采购服务类项目不适用本条款规定）</w:t>
      </w:r>
    </w:p>
    <w:p w14:paraId="241E673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19D3166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a.招标文件规定的方式：</w:t>
      </w:r>
    </w:p>
    <w:p w14:paraId="4183AF1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无</w:t>
      </w:r>
    </w:p>
    <w:p w14:paraId="0FEA2E0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b.招标文件未规定的，采取随机抽取方式确定，其他投标无效。</w:t>
      </w:r>
    </w:p>
    <w:p w14:paraId="5D07133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3D882A0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a.招标文件规定的方式：</w:t>
      </w:r>
    </w:p>
    <w:p w14:paraId="2CEDCA1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中标候选人并列的，则按“价格部分”的得分高低排序；若价格得分相同则按“技术部分”的得分高低排序；若评审得分相同且价格部分与技术部分得分也相同的，则按“商务部分”的得分高低排序；若评审得分相同、价格部分得分相同且技术部分得分与商务部分得分也相同的，则采取随机抽取方式确定。</w:t>
      </w:r>
    </w:p>
    <w:p w14:paraId="3FC3C99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b.招标文件未规定的，采取随机抽取方式确定，其他同品牌投标人不作为中标候选人。</w:t>
      </w:r>
    </w:p>
    <w:p w14:paraId="3499E72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③非单一产品采购项目，多家投标人提供的核心产品品牌相同的，按照本章第6.4条第（2）款第①、②规定处理。</w:t>
      </w:r>
    </w:p>
    <w:p w14:paraId="7A21FD6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（3）漏（缺）项</w:t>
      </w:r>
    </w:p>
    <w:p w14:paraId="7C5FB1A6">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①招标文件中要求列入报价的费用（含配置、功能），漏（缺）项的报价视为已经包括在投标总价中。</w:t>
      </w:r>
    </w:p>
    <w:p w14:paraId="6E39780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②对多报项及赠送项的价格评标时不予核减，全部进入评标价评议。</w:t>
      </w:r>
    </w:p>
    <w:p w14:paraId="012D64A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6.5推荐中标候选人：详见本章第7.2条规定。</w:t>
      </w:r>
    </w:p>
    <w:p w14:paraId="1381D11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6.6编写评标报告</w:t>
      </w:r>
    </w:p>
    <w:p w14:paraId="2BDCF97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（1）评标报告由评标委员会负责编写。</w:t>
      </w:r>
    </w:p>
    <w:p w14:paraId="2B04554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（2）评标报告应包括下列内容：</w:t>
      </w:r>
    </w:p>
    <w:p w14:paraId="3F74249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①招标公告刊登的媒体名称、开标日期和地点；</w:t>
      </w:r>
    </w:p>
    <w:p w14:paraId="5A48721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②投标人名单和评标委员会成员名单；</w:t>
      </w:r>
    </w:p>
    <w:p w14:paraId="2566B2A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③评标方法和标准；</w:t>
      </w:r>
    </w:p>
    <w:p w14:paraId="48E80DE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④开标记录和评标情况及说明，包括无效投标人名单及原因；</w:t>
      </w:r>
    </w:p>
    <w:p w14:paraId="2C0C3E4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⑤评标结果，包括中标候选人名单或确定的中标人；</w:t>
      </w:r>
    </w:p>
    <w:p w14:paraId="4DF5312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⑥其他需要说明的情况，包括但不限于：评标过程中投标人的澄清、说明或补正，评委更换等。</w:t>
      </w:r>
    </w:p>
    <w:p w14:paraId="4A084CD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5FAE32E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6.8评委对需要共同认定的事项存在争议的，应按照少数服从多数的原则进行认定。持不同意见的评委应在评标报告上签署不同意见及理由，否则视为同意评标报告。</w:t>
      </w:r>
    </w:p>
    <w:p w14:paraId="3066F58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6.9在评标过程中发现投标人有下列情形之一的，评标委员会应认定其投标无效，并书面报告本项目监督管理部门：</w:t>
      </w:r>
    </w:p>
    <w:p w14:paraId="1980D83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（1）恶意串通（包括但不限于招标文件第三章第9.7条规定情形）；</w:t>
      </w:r>
    </w:p>
    <w:p w14:paraId="30A482A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（2）妨碍其他投标人的竞争行为；</w:t>
      </w:r>
    </w:p>
    <w:p w14:paraId="3318863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（3）损害采购人或其他投标人的合法权益。</w:t>
      </w:r>
    </w:p>
    <w:p w14:paraId="59FFFF8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6.10评标过程中，有下列情形之一的，应予废标：</w:t>
      </w:r>
    </w:p>
    <w:p w14:paraId="0C2BAA9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（1）符合性审查合格的投标人不足三家的；</w:t>
      </w:r>
    </w:p>
    <w:p w14:paraId="1328FDD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（2）有关法律、法规和规章规定废标的情形。</w:t>
      </w:r>
    </w:p>
    <w:p w14:paraId="124F1F45">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※若废标，则本次采购活动结束， 三明华建招标代理有限公司 将依法组织后续采购活动（包括但不限于：重新招标、采用其他方式采购等）。</w:t>
      </w:r>
    </w:p>
    <w:p w14:paraId="36B8A3A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7、评标方法和标准</w:t>
      </w:r>
    </w:p>
    <w:p w14:paraId="3DB8583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7.1评标方法：</w:t>
      </w:r>
    </w:p>
    <w:p w14:paraId="134A561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采购包1：综合评分法</w:t>
      </w:r>
    </w:p>
    <w:p w14:paraId="275C29B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7.2评标标准</w:t>
      </w:r>
    </w:p>
    <w:p w14:paraId="46C2286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采购包1：综合评分法</w:t>
      </w:r>
    </w:p>
    <w:p w14:paraId="234A4311">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（1）投标文件满足招标文件全部实质性要求，且按照评审因素的量化指标评审得分（即评标总得分）最高的投标人为中标候选人。</w:t>
      </w:r>
    </w:p>
    <w:p w14:paraId="0E05454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430ECFAE">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各项评审因素的设置如下：</w:t>
      </w:r>
    </w:p>
    <w:p w14:paraId="3FECF3E6">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价格项（F1×A1）满分为30.0000分</w:t>
      </w:r>
    </w:p>
    <w:p w14:paraId="2B10FF34">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2E4F934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价格扣除的规则如下：</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7C723A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FE642B2">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w:t>
            </w:r>
          </w:p>
        </w:tc>
        <w:tc>
          <w:tcPr>
            <w:tcW w:w="1661" w:type="dxa"/>
          </w:tcPr>
          <w:p w14:paraId="26368B6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适用对象</w:t>
            </w:r>
          </w:p>
        </w:tc>
        <w:tc>
          <w:tcPr>
            <w:tcW w:w="831" w:type="dxa"/>
          </w:tcPr>
          <w:p w14:paraId="193700A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比例</w:t>
            </w:r>
          </w:p>
        </w:tc>
        <w:tc>
          <w:tcPr>
            <w:tcW w:w="4153" w:type="dxa"/>
          </w:tcPr>
          <w:p w14:paraId="6EB1ADC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描述</w:t>
            </w:r>
          </w:p>
        </w:tc>
      </w:tr>
      <w:tr w14:paraId="28734A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9D33B3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小型、微型企业，监狱企业，残疾人福利性单位</w:t>
            </w:r>
          </w:p>
        </w:tc>
        <w:tc>
          <w:tcPr>
            <w:tcW w:w="1661" w:type="dxa"/>
          </w:tcPr>
          <w:p w14:paraId="33F771F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投标人或者联合体均为小型、微型企业</w:t>
            </w:r>
          </w:p>
        </w:tc>
        <w:tc>
          <w:tcPr>
            <w:tcW w:w="831" w:type="dxa"/>
          </w:tcPr>
          <w:p w14:paraId="775A5BE8">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15.00%</w:t>
            </w:r>
          </w:p>
        </w:tc>
        <w:tc>
          <w:tcPr>
            <w:tcW w:w="4153" w:type="dxa"/>
          </w:tcPr>
          <w:p w14:paraId="0D4F941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小型、微型企业优惠政策：根据《福建省财政厅关于进一步加大政府采购支持中小企业力度的通知》闽财规(2022)13号文件精神，在非专门面向中小企业的采购项目中，对符合上述管理办法规定的小微企业报价给予15%的价格扣除，用扣除后的价格参加评审。货物类项目投标产品属于小微企业生产的、服务类项目由小微企业提供服务的，可享受优惠政策。认定标准按照国家经贸委、国家计委、财政部、国家统计局《中小企业标准暂行规定》（工信部联企业〔2011〕300号）执行。本项目为货物类采购项目，采购标的对应的中小企业划分标准所属行业为：工业。参加政府采购活动的小型、微型企业应当提供《中小企业声明函》，提供的资料不符合要求的不享受本优惠政策。2、监狱企业优惠政策：根据财库【2014】68号文《关于政府采购支持监狱企业发展有关问题的通知》的规定，在政府采购活动中，监狱企业视同小型、微型企业，享受预留份额、评审中价格扣除等政府采购促进中小企业发展的政府采购政策。监狱企业参加政府采购活动时，应当提供由省级以上监狱管理局、戒毒管理局(含新疆生产建设兵团)出具的属于监狱企业的证明文件，提供的资料不符合要求的不享受本优惠政策。3、提供的货物或服务符合财政部、民政部、中国残联文件（财库〔2017〕141号）规定的残疾人福利性单位扶持政策的，视同小微企业，对其报价给予15%的扣除。残疾人福利性单位参加政府采购活动时，应当提供财库〔2017〕141号文规定格式的《残疾人福利性单位声明函》并加单位公章。残疾人福利性单位属于小型、微型企业的，不重复享受政策。4、其它要求：①供应商应按响应文件格式中规定填写并提供《中小企业声明函》（货物），声明函中“标的名称” 、“采购文件中明确的所属行业”项应根据第五章《采购标的一览表具体明细表》中规定准确填写,多品目（采购标的）的须逐条填列，“制造商为（企业名称）”项应准确填写对应的企业全称，“（小型企业、微型企业）”项应明确填写属于小型企业或是微型企业，否则，其提供的中小企业声明将被判定为无效声明函，不予价格扣除,由此造成的后果由投标人自行承担。评标委员会审查此项响应性只根据投标文件本身的内容，而不寻求其他的外部证据。 ②中标、成交供应商为小微企业、监狱企业、残疾人福利性单位的，采购代理机构将在中标、成交结果同时公告其相应的《声明函》，接受社会监督。如发现供应商提供的《声明函》与事实不符的，视为其提供虚假材料谋取中标、成交，其中标、成交无效，并依照《政府采购法》第七十七条第一款的规定追究法律责任。</w:t>
            </w:r>
          </w:p>
        </w:tc>
      </w:tr>
    </w:tbl>
    <w:p w14:paraId="296472C1">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实施本国产品标准的价格扣除规则如下</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3A26C7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2EAA0C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w:t>
            </w:r>
          </w:p>
        </w:tc>
        <w:tc>
          <w:tcPr>
            <w:tcW w:w="1661" w:type="dxa"/>
          </w:tcPr>
          <w:p w14:paraId="035C345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适用对象</w:t>
            </w:r>
          </w:p>
        </w:tc>
        <w:tc>
          <w:tcPr>
            <w:tcW w:w="831" w:type="dxa"/>
          </w:tcPr>
          <w:p w14:paraId="024A3632">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比例</w:t>
            </w:r>
          </w:p>
        </w:tc>
        <w:tc>
          <w:tcPr>
            <w:tcW w:w="4153" w:type="dxa"/>
          </w:tcPr>
          <w:p w14:paraId="0F4EE25F">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描述</w:t>
            </w:r>
          </w:p>
        </w:tc>
      </w:tr>
      <w:tr w14:paraId="7A5A3F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C1A5BF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对本国产品的支持政策</w:t>
            </w:r>
          </w:p>
        </w:tc>
        <w:tc>
          <w:tcPr>
            <w:tcW w:w="1661" w:type="dxa"/>
          </w:tcPr>
          <w:p w14:paraId="123539D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本国产品</w:t>
            </w:r>
          </w:p>
        </w:tc>
        <w:tc>
          <w:tcPr>
            <w:tcW w:w="831" w:type="dxa"/>
          </w:tcPr>
          <w:p w14:paraId="17FE7331">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20.00%</w:t>
            </w:r>
          </w:p>
        </w:tc>
        <w:tc>
          <w:tcPr>
            <w:tcW w:w="4153" w:type="dxa"/>
          </w:tcPr>
          <w:p w14:paraId="537E188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72E48EC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优先类节能产品、环境标志产品的价格扣除规则如下</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5191"/>
      </w:tblGrid>
      <w:tr w14:paraId="7589A4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0CD7A9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w:t>
            </w:r>
          </w:p>
        </w:tc>
        <w:tc>
          <w:tcPr>
            <w:tcW w:w="1038" w:type="dxa"/>
          </w:tcPr>
          <w:p w14:paraId="3E5FF4A2">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比例</w:t>
            </w:r>
          </w:p>
        </w:tc>
        <w:tc>
          <w:tcPr>
            <w:tcW w:w="5191" w:type="dxa"/>
          </w:tcPr>
          <w:p w14:paraId="507BD01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方法</w:t>
            </w:r>
          </w:p>
        </w:tc>
      </w:tr>
      <w:tr w14:paraId="1C29F3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439C32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节能、环境标志产品</w:t>
            </w:r>
          </w:p>
        </w:tc>
        <w:tc>
          <w:tcPr>
            <w:tcW w:w="1038" w:type="dxa"/>
          </w:tcPr>
          <w:p w14:paraId="7432E00A">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10.00%</w:t>
            </w:r>
          </w:p>
        </w:tc>
        <w:tc>
          <w:tcPr>
            <w:tcW w:w="5191" w:type="dxa"/>
          </w:tcPr>
          <w:p w14:paraId="4241373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同一采购包内，对节能产品、环境标志产品政府采购品目清单范围内，实施优先采购的产品，给予产品价格报价10%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6AD4AE29">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其他：无</w:t>
      </w:r>
    </w:p>
    <w:p w14:paraId="20AE7FD6">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技术项（F2×A2）满分为55.0000分</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4853CB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0C8DA5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w:t>
            </w:r>
          </w:p>
        </w:tc>
        <w:tc>
          <w:tcPr>
            <w:tcW w:w="831" w:type="dxa"/>
          </w:tcPr>
          <w:p w14:paraId="40D030A9">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分值</w:t>
            </w:r>
          </w:p>
        </w:tc>
        <w:tc>
          <w:tcPr>
            <w:tcW w:w="416" w:type="dxa"/>
          </w:tcPr>
          <w:p w14:paraId="217AF4C1">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是否客观项</w:t>
            </w:r>
          </w:p>
        </w:tc>
        <w:tc>
          <w:tcPr>
            <w:tcW w:w="3738" w:type="dxa"/>
          </w:tcPr>
          <w:p w14:paraId="077FC02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描述</w:t>
            </w:r>
          </w:p>
        </w:tc>
      </w:tr>
      <w:tr w14:paraId="0FF739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501EC94">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1、技术和服务要求响应情况1</w:t>
            </w:r>
          </w:p>
        </w:tc>
        <w:tc>
          <w:tcPr>
            <w:tcW w:w="831" w:type="dxa"/>
          </w:tcPr>
          <w:p w14:paraId="3FEB8009">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24.00</w:t>
            </w:r>
          </w:p>
        </w:tc>
        <w:tc>
          <w:tcPr>
            <w:tcW w:w="416" w:type="dxa"/>
          </w:tcPr>
          <w:p w14:paraId="1710862D">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是</w:t>
            </w:r>
          </w:p>
        </w:tc>
        <w:tc>
          <w:tcPr>
            <w:tcW w:w="3738" w:type="dxa"/>
          </w:tcPr>
          <w:p w14:paraId="4F454C48">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各投标人对“采购包一：福建闽江源国家级自然保护区智慧化建设（一期）项目”所提供的技术和服务要求响应表，并结合所投标产品的佐证材料（若有）等方面情况由评委进行评分：带“▲”号的技术参数为重要参数，每负偏离一项扣2分（共12项，计24分）。正偏离不加分。 注：招标文件中技术参数若有要求投标人提供相应佐证材料的，投标人未提供相应佐证材料或者投标人的响应承诺与其佐证材料不一致的，评标委员会将以不利于投标人的内容为准进行评审（负偏离）。若投标人自行提供的其他佐证材料与投标人的响应承诺不一致的，评标委员会将以不利于投标人的内容为准进行评审（负偏离）。佐证材料原件备查。招标文件不一致的以此为准。</w:t>
            </w:r>
          </w:p>
        </w:tc>
      </w:tr>
      <w:tr w14:paraId="78CEF8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2B6FCD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2、技术和服务要求响应情况2</w:t>
            </w:r>
          </w:p>
        </w:tc>
        <w:tc>
          <w:tcPr>
            <w:tcW w:w="831" w:type="dxa"/>
          </w:tcPr>
          <w:p w14:paraId="56016A61">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25.00</w:t>
            </w:r>
          </w:p>
        </w:tc>
        <w:tc>
          <w:tcPr>
            <w:tcW w:w="416" w:type="dxa"/>
          </w:tcPr>
          <w:p w14:paraId="24D17B04">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是</w:t>
            </w:r>
          </w:p>
        </w:tc>
        <w:tc>
          <w:tcPr>
            <w:tcW w:w="3738" w:type="dxa"/>
          </w:tcPr>
          <w:p w14:paraId="205BFEF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各投标人对“采购包一：福建闽江源国家级自然保护区智慧化建设（一期）项目”所提供的技术和服务要求响应表，并结合所投标产品的佐证材料（若有）等方面情况由评委按以下标准进行评分：①未标有▲号的“评审项”每负偏离一项扣0.5分（共50条评审项，计25分）。②未标有评审项的为不允许负偏离的实质性要求，任一项不满足视为未响应招标文件要求，按无效投标处理。 注：招标文件中技术参数若有要求投标人提供相应佐证材料的，投标人未提供相应佐证材料或者投标人的响应承诺与其佐证材料不一致的，评标委员会将以不利于投标人的内容为准进行评审（负偏离）。若投标人自行提供的其他佐证材料与投标人的响应承诺不一致的，评标委员会将以不利于投标人的内容为准进行评审（负偏离）。佐证材料原件备查。招标文件不一致的以此为准。</w:t>
            </w:r>
          </w:p>
        </w:tc>
      </w:tr>
      <w:tr w14:paraId="3D3C34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6F8B199">
            <w:pPr>
              <w:pStyle w:val="7"/>
              <w:jc w:val="both"/>
              <w:rPr>
                <w:rFonts w:hint="eastAsia" w:asciiTheme="minorEastAsia" w:hAnsiTheme="minorEastAsia" w:eastAsiaTheme="minorEastAsia" w:cstheme="minorEastAsia"/>
              </w:rPr>
            </w:pPr>
            <w:r>
              <w:rPr>
                <w:rFonts w:hint="eastAsia" w:asciiTheme="minorEastAsia" w:hAnsiTheme="minorEastAsia" w:cstheme="minorEastAsia"/>
                <w:lang w:val="en-US" w:eastAsia="zh-CN"/>
              </w:rPr>
              <w:t>3</w:t>
            </w:r>
            <w:r>
              <w:rPr>
                <w:rFonts w:hint="eastAsia" w:asciiTheme="minorEastAsia" w:hAnsiTheme="minorEastAsia" w:eastAsiaTheme="minorEastAsia" w:cstheme="minorEastAsia"/>
              </w:rPr>
              <w:t>、现场演示</w:t>
            </w:r>
          </w:p>
        </w:tc>
        <w:tc>
          <w:tcPr>
            <w:tcW w:w="831" w:type="dxa"/>
          </w:tcPr>
          <w:p w14:paraId="182A6E64">
            <w:pPr>
              <w:pStyle w:val="7"/>
              <w:jc w:val="right"/>
              <w:rPr>
                <w:rFonts w:hint="eastAsia" w:asciiTheme="minorEastAsia" w:hAnsiTheme="minorEastAsia" w:eastAsiaTheme="minorEastAsia" w:cstheme="minorEastAsia"/>
              </w:rPr>
            </w:pPr>
            <w:r>
              <w:rPr>
                <w:rFonts w:hint="eastAsia" w:asciiTheme="minorEastAsia" w:hAnsiTheme="minorEastAsia" w:cstheme="minorEastAsia"/>
                <w:lang w:val="en-US" w:eastAsia="zh-CN"/>
              </w:rPr>
              <w:t>6</w:t>
            </w:r>
            <w:r>
              <w:rPr>
                <w:rFonts w:hint="eastAsia" w:asciiTheme="minorEastAsia" w:hAnsiTheme="minorEastAsia" w:eastAsiaTheme="minorEastAsia" w:cstheme="minorEastAsia"/>
              </w:rPr>
              <w:t>.00</w:t>
            </w:r>
          </w:p>
        </w:tc>
        <w:tc>
          <w:tcPr>
            <w:tcW w:w="416" w:type="dxa"/>
          </w:tcPr>
          <w:p w14:paraId="31911DA6">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是</w:t>
            </w:r>
          </w:p>
        </w:tc>
        <w:tc>
          <w:tcPr>
            <w:tcW w:w="3738" w:type="dxa"/>
          </w:tcPr>
          <w:p w14:paraId="35CCD9B4">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投标人对所投“内网智感探测工具系统”功能进行现场演示，由评委根据各投标人所提供的现场功能演示进行评分： 1.支持IP资源发现功能。支持通过扫描配置进行IP资源发现，包含主动扫描技术、SNMP发现技术，支持通过快速扫描、标准扫描、慢速扫描等多种扫描模式并结合常用端口、全端口以及自定义端口的方式对端口资源进行发现。 2.支持自定义模拟不少于50个陷阱IP和模拟不少于50个陷阱端口服务，并对诱捕到的攻击行为进行记录；支持对攻击源IP的首次发现时间、最新发现时间、源IP、源地点、陷阱IP、诱捕次数字段信息进行展示；支持按起止时间、关键词进行诱捕攻击行为进行检索展示。 以上2点同时具备且内容与功能完整的得</w:t>
            </w:r>
            <w:r>
              <w:rPr>
                <w:rFonts w:hint="eastAsia" w:asciiTheme="minorEastAsia" w:hAnsiTheme="minorEastAsia" w:cstheme="minorEastAsia"/>
                <w:lang w:val="en-US" w:eastAsia="zh-CN"/>
              </w:rPr>
              <w:t>6</w:t>
            </w:r>
            <w:r>
              <w:rPr>
                <w:rFonts w:hint="eastAsia" w:asciiTheme="minorEastAsia" w:hAnsiTheme="minorEastAsia" w:eastAsiaTheme="minorEastAsia" w:cstheme="minorEastAsia"/>
              </w:rPr>
              <w:t>分，1项不满足或功能不完整的扣</w:t>
            </w:r>
            <w:r>
              <w:rPr>
                <w:rFonts w:hint="eastAsia" w:asciiTheme="minorEastAsia" w:hAnsiTheme="minorEastAsia" w:cstheme="minorEastAsia"/>
                <w:lang w:val="en-US" w:eastAsia="zh-CN"/>
              </w:rPr>
              <w:t>3</w:t>
            </w:r>
            <w:r>
              <w:rPr>
                <w:rFonts w:hint="eastAsia" w:asciiTheme="minorEastAsia" w:hAnsiTheme="minorEastAsia" w:eastAsiaTheme="minorEastAsia" w:cstheme="minorEastAsia"/>
              </w:rPr>
              <w:t>分，未提供演示的不得分。 注：投标人自行携带笔记本及配套演示设备，并调试好演示环境与演示数据，做好演示前准备工作。（1）演示仅接受真实系统演示，不接受录播视频、PPT或截图等演示方式，否则视为未提供演示处理；演示的总时长为：15分钟内完成（不含评委提问时间）。（2）演示顺序:根据评标现场随机抽签确定的顺序进行演示</w:t>
            </w:r>
          </w:p>
        </w:tc>
      </w:tr>
    </w:tbl>
    <w:p w14:paraId="6DB3E0F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商务项（F3×A3）满分为15.0000分</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28051C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3D7572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w:t>
            </w:r>
          </w:p>
        </w:tc>
        <w:tc>
          <w:tcPr>
            <w:tcW w:w="831" w:type="dxa"/>
          </w:tcPr>
          <w:p w14:paraId="247BC7F6">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分值</w:t>
            </w:r>
          </w:p>
        </w:tc>
        <w:tc>
          <w:tcPr>
            <w:tcW w:w="415" w:type="dxa"/>
          </w:tcPr>
          <w:p w14:paraId="052E359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是否客观项</w:t>
            </w:r>
          </w:p>
        </w:tc>
        <w:tc>
          <w:tcPr>
            <w:tcW w:w="3738" w:type="dxa"/>
          </w:tcPr>
          <w:p w14:paraId="597B18A6">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描述</w:t>
            </w:r>
          </w:p>
        </w:tc>
      </w:tr>
      <w:tr w14:paraId="77801A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DEE8CB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1、投标人综合实力1</w:t>
            </w:r>
          </w:p>
        </w:tc>
        <w:tc>
          <w:tcPr>
            <w:tcW w:w="831" w:type="dxa"/>
          </w:tcPr>
          <w:p w14:paraId="607B1F98">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2.00</w:t>
            </w:r>
          </w:p>
        </w:tc>
        <w:tc>
          <w:tcPr>
            <w:tcW w:w="415" w:type="dxa"/>
          </w:tcPr>
          <w:p w14:paraId="03A8CB3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w:t>
            </w:r>
          </w:p>
        </w:tc>
        <w:tc>
          <w:tcPr>
            <w:tcW w:w="3738" w:type="dxa"/>
          </w:tcPr>
          <w:p w14:paraId="43FCE9A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具有电子与智能化工程专业承包一级资质的，得2分；具有电子与智能化工程专业承包二级资质的，得1分。注：本项最高得2分，不提供或资质不符的不得分。须提供有效的资质证书复印件并加盖投标人公章。未提供或提供的证书无效的，不得分。</w:t>
            </w:r>
          </w:p>
        </w:tc>
      </w:tr>
      <w:tr w14:paraId="1CC620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D931C0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2、投标人综合实力2</w:t>
            </w:r>
          </w:p>
        </w:tc>
        <w:tc>
          <w:tcPr>
            <w:tcW w:w="831" w:type="dxa"/>
          </w:tcPr>
          <w:p w14:paraId="575AC7B7">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2.00</w:t>
            </w:r>
          </w:p>
        </w:tc>
        <w:tc>
          <w:tcPr>
            <w:tcW w:w="415" w:type="dxa"/>
          </w:tcPr>
          <w:p w14:paraId="5C57841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w:t>
            </w:r>
          </w:p>
        </w:tc>
        <w:tc>
          <w:tcPr>
            <w:tcW w:w="3738" w:type="dxa"/>
          </w:tcPr>
          <w:p w14:paraId="705B6C8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投标人具有电力工程施工总承包专业承包二级及以上资质的，得1分。具有《承装（修、试）电力设施许可证》承装、承修、承试三级及以上资质的，得1分。 注：本项最高得2分，不提供或资质不符的不得分。须提供有效的资质证书复印件并加盖投标人公章。未提供或提供的证书无效的，不得分。</w:t>
            </w:r>
          </w:p>
        </w:tc>
      </w:tr>
      <w:tr w14:paraId="35C6B0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A1CFF2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3、类似业绩</w:t>
            </w:r>
          </w:p>
        </w:tc>
        <w:tc>
          <w:tcPr>
            <w:tcW w:w="831" w:type="dxa"/>
          </w:tcPr>
          <w:p w14:paraId="2469235E">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2.00</w:t>
            </w:r>
          </w:p>
        </w:tc>
        <w:tc>
          <w:tcPr>
            <w:tcW w:w="415" w:type="dxa"/>
          </w:tcPr>
          <w:p w14:paraId="6DA2A5E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w:t>
            </w:r>
          </w:p>
        </w:tc>
        <w:tc>
          <w:tcPr>
            <w:tcW w:w="3738" w:type="dxa"/>
          </w:tcPr>
          <w:p w14:paraId="2850AAE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投标人提供自2023年1月1日至投标截止时间前（时间以验收时间为准）完成类似业绩情况进行评分：每提供一份完整业绩证明材料的得1分，满分得2分。供应商须提供该业绩项目的中标公告（提供相关网站中标公告的下载网页）、中标通知书、采购合同及已通过验收的证明材料，未提供或提供不全者不得分</w:t>
            </w:r>
          </w:p>
        </w:tc>
      </w:tr>
      <w:tr w14:paraId="651633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3322" w:type="dxa"/>
          </w:tcPr>
          <w:p w14:paraId="4636577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4、项目负责人</w:t>
            </w:r>
          </w:p>
        </w:tc>
        <w:tc>
          <w:tcPr>
            <w:tcW w:w="831" w:type="dxa"/>
          </w:tcPr>
          <w:p w14:paraId="245C5C2D">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3.00</w:t>
            </w:r>
          </w:p>
        </w:tc>
        <w:tc>
          <w:tcPr>
            <w:tcW w:w="415" w:type="dxa"/>
          </w:tcPr>
          <w:p w14:paraId="6A4EAF4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w:t>
            </w:r>
          </w:p>
        </w:tc>
        <w:tc>
          <w:tcPr>
            <w:tcW w:w="3738" w:type="dxa"/>
          </w:tcPr>
          <w:p w14:paraId="152E037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拟派一名项目负责人（1）具备通信专业工程师；（2）具备信息系统项目管理师；（3）具备数据库系统工程师；（4）具备软件测评师；每提供一本证书得0.75分，满分3分。投标人应在投标文件中提供相关证书复印件和递交投标文件截止时间前六个月（不含投标截止时间的当月）中任一月份投标人为其缴交的社保证明材料复印件</w:t>
            </w:r>
            <w:r>
              <w:rPr>
                <w:rFonts w:hint="eastAsia" w:asciiTheme="minorEastAsia" w:hAnsiTheme="minorEastAsia" w:eastAsiaTheme="minorEastAsia" w:cstheme="minorEastAsia"/>
                <w:strike w:val="0"/>
                <w:dstrike w:val="0"/>
              </w:rPr>
              <w:t>，</w:t>
            </w:r>
            <w:r>
              <w:rPr>
                <w:rFonts w:hint="eastAsia" w:asciiTheme="minorEastAsia" w:hAnsiTheme="minorEastAsia" w:eastAsiaTheme="minorEastAsia" w:cstheme="minorEastAsia"/>
                <w:strike w:val="0"/>
                <w:dstrike w:val="0"/>
                <w:highlight w:val="none"/>
              </w:rPr>
              <w:t>缴纳社保单位名称应是投标人或其分公司如缴纳社保单位名称为分公司，需提供与总公司的隶属关系证明材料。未按要求提供的</w:t>
            </w:r>
            <w:r>
              <w:rPr>
                <w:rFonts w:hint="eastAsia" w:asciiTheme="minorEastAsia" w:hAnsiTheme="minorEastAsia" w:eastAsiaTheme="minorEastAsia" w:cstheme="minorEastAsia"/>
                <w:strike w:val="0"/>
                <w:dstrike w:val="0"/>
              </w:rPr>
              <w:t>不得</w:t>
            </w:r>
            <w:r>
              <w:rPr>
                <w:rFonts w:hint="eastAsia" w:asciiTheme="minorEastAsia" w:hAnsiTheme="minorEastAsia" w:eastAsiaTheme="minorEastAsia" w:cstheme="minorEastAsia"/>
              </w:rPr>
              <w:t>分。 注：拟投入本项目所有人员均不重复计算得分。</w:t>
            </w:r>
          </w:p>
        </w:tc>
      </w:tr>
      <w:tr w14:paraId="41DE33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391F3E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5、所投产品厂商实力1</w:t>
            </w:r>
          </w:p>
        </w:tc>
        <w:tc>
          <w:tcPr>
            <w:tcW w:w="831" w:type="dxa"/>
          </w:tcPr>
          <w:p w14:paraId="3DC59264">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2.00</w:t>
            </w:r>
          </w:p>
        </w:tc>
        <w:tc>
          <w:tcPr>
            <w:tcW w:w="415" w:type="dxa"/>
          </w:tcPr>
          <w:p w14:paraId="1F34DC7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w:t>
            </w:r>
          </w:p>
        </w:tc>
        <w:tc>
          <w:tcPr>
            <w:tcW w:w="3738" w:type="dxa"/>
          </w:tcPr>
          <w:p w14:paraId="0B92392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投标人所投“双光谱重载云台”产品制造商应具备较高的人工智能管理能力，能提供ISO/IEC 42001:2023人工智能管理体系认证证书的得2分，未提供不得分。</w:t>
            </w:r>
          </w:p>
        </w:tc>
      </w:tr>
      <w:tr w14:paraId="03435D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2A3DFD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6、所投产品厂商实力2</w:t>
            </w:r>
          </w:p>
        </w:tc>
        <w:tc>
          <w:tcPr>
            <w:tcW w:w="831" w:type="dxa"/>
          </w:tcPr>
          <w:p w14:paraId="2AC899DA">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2.00</w:t>
            </w:r>
          </w:p>
        </w:tc>
        <w:tc>
          <w:tcPr>
            <w:tcW w:w="415" w:type="dxa"/>
          </w:tcPr>
          <w:p w14:paraId="66A5FC5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w:t>
            </w:r>
          </w:p>
        </w:tc>
        <w:tc>
          <w:tcPr>
            <w:tcW w:w="3738" w:type="dxa"/>
          </w:tcPr>
          <w:p w14:paraId="68D57C2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投标人所投“鸟类监测云台摄像机”产品制造商具备国家科学技术部颁发的国家新一代人工智能开放创新平台的，得2分，提供科学技术部出具的证明材料复印件并加盖公章，未提供不得分。</w:t>
            </w:r>
          </w:p>
        </w:tc>
      </w:tr>
      <w:tr w14:paraId="1A5941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9D077F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7、售后服务能力</w:t>
            </w:r>
          </w:p>
        </w:tc>
        <w:tc>
          <w:tcPr>
            <w:tcW w:w="831" w:type="dxa"/>
          </w:tcPr>
          <w:p w14:paraId="0B6040AC">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2.00</w:t>
            </w:r>
          </w:p>
        </w:tc>
        <w:tc>
          <w:tcPr>
            <w:tcW w:w="415" w:type="dxa"/>
          </w:tcPr>
          <w:p w14:paraId="187F2F1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否</w:t>
            </w:r>
          </w:p>
        </w:tc>
        <w:tc>
          <w:tcPr>
            <w:tcW w:w="3738" w:type="dxa"/>
          </w:tcPr>
          <w:p w14:paraId="47C24BC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供应商提供的售后服务方案（包括但不限于售后服务内容、响应方式、售后服务人员、售后服务机构情况等方面）由评委进行评议：方案包含的要点齐全无缺漏项，内容与要点相符、每个要点均有展开详细的阐述且能够适用于本项目的得2分；方案所包含的要点齐全、内容与要点相符、每个要点均有展开阐述（没有特别具体）但基本能够适用于本项目的得1分；方案所包含的要点有缺漏或内容与要点相符但仅有纲要、内容简略，未展开详细阐述但基本能够适用于本项目的得0.5分；未提供、不适用项目实际情况的情形、凭空编造、方案中内容前后不一致、前后逻辑错误、涉及的规范及标准错误、地点区域错误、不符合项目实际情况的不得分。</w:t>
            </w:r>
          </w:p>
        </w:tc>
      </w:tr>
    </w:tbl>
    <w:p w14:paraId="479F94F1">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异常低价审查</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23AB6D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4CFF0C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w:t>
            </w:r>
          </w:p>
        </w:tc>
        <w:tc>
          <w:tcPr>
            <w:tcW w:w="4153" w:type="dxa"/>
          </w:tcPr>
          <w:p w14:paraId="0B6C973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描述</w:t>
            </w:r>
          </w:p>
        </w:tc>
      </w:tr>
      <w:tr w14:paraId="11EF20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6EF47E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异常低价审查</w:t>
            </w:r>
          </w:p>
        </w:tc>
        <w:tc>
          <w:tcPr>
            <w:tcW w:w="4153" w:type="dxa"/>
          </w:tcPr>
          <w:p w14:paraId="7D9E758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根据《关于推动解决政府采购异常低价问题的通知》（财库〔2026〕2号）等相关规定，政府采购评审中出现下列情形之一的，评审委员会应当启动异常低价投标（响应）审查程序： （1）福建闽江源国家级自然保护区智慧化建设（一期）项目响应报价低于全部通过符合性审查供应商响应报价平均值50%的，即福建闽江源国家级自然保护区智慧化建设（一期）项目响应报价&lt;全部通过符合性审查供应商响应报价平均值×50%。 （2）福建闽江源国家级自然保护区智慧化建设（一期）项目响应报价低于通过符合性审查且报价次低供应商响应报价50%的，即福建闽江源国家级自然保护区智慧化建设（一期）项目响应报价&lt;通过符合性审查且报价次低供应商响应报价×50%。 （3）福建闽江源国家级自然保护区智慧化建设（一期）项目响应报价低于最高限价45%的，即福建闽江源国家级自然保护区智慧化建设（一期）项目响应报价&lt;最高限价×45%。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3778503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8F05AC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9F9F64D">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060734F">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异常低价投标（响应）审查的启动原因、审查意见和审查结果应当在评审报告中记录，并随供应商提供的相关书面说明及证明材料，以及评审委员会有关互联网浏览、查询历史一并归档。</w:t>
      </w:r>
    </w:p>
    <w:p w14:paraId="0D2B8EC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※除本章第6.3条第（3）款规定情形和落实政府采购政策需进行的价格扣除情形外，不能对投标人的投标报价进行任何调整。</w:t>
      </w:r>
    </w:p>
    <w:p w14:paraId="03A22B5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（3）中标候选人排列规则顺序如下：</w:t>
      </w:r>
    </w:p>
    <w:p w14:paraId="6643ACE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a.按照评标总得分（FA）由高到低顺序排列。</w:t>
      </w:r>
    </w:p>
    <w:p w14:paraId="148EFD9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b.评标总得分（FA）相同的，按照评标价（即价格扣除后的投标报价）由低到高顺序排列。</w:t>
      </w:r>
    </w:p>
    <w:p w14:paraId="1444277E">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c.评标总得分（FA）且评标价（即价格扣除后的投标报价）相同的并列。</w:t>
      </w:r>
    </w:p>
    <w:p w14:paraId="7F620EC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8、其他规定</w:t>
      </w:r>
    </w:p>
    <w:p w14:paraId="6980EAD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8.1评标应全程保密且不得透露给任一投标人或与评标工作无关的人员。</w:t>
      </w:r>
    </w:p>
    <w:p w14:paraId="6E035D4A">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8.2评标将进行全程实时录音录像，录音录像资料随采购文件一并存档。</w:t>
      </w:r>
    </w:p>
    <w:p w14:paraId="282E5EE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8.3若投标人有任何试图干扰具体评标事务，影响评标委员会独立履行职责的行为，其投标无效且不予退还投标保证金或通过投标保函进行索赔。情节严重的，由财政部门列入不良行为记录。</w:t>
      </w:r>
    </w:p>
    <w:p w14:paraId="2837478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8.4其他：</w:t>
      </w:r>
    </w:p>
    <w:p w14:paraId="513BB71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无</w:t>
      </w:r>
    </w:p>
    <w:p w14:paraId="7A90797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8287C69">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第五章 招标内容及要求</w:t>
      </w:r>
    </w:p>
    <w:p w14:paraId="49EBA40D">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一、项目概况（采购标的）</w:t>
      </w:r>
    </w:p>
    <w:p w14:paraId="3B6F96A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rPr>
        <w:t>(一)项目背景</w:t>
      </w:r>
    </w:p>
    <w:p w14:paraId="6B336DD6">
      <w:pPr>
        <w:pStyle w:val="7"/>
        <w:ind w:firstLine="482"/>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福建闽江源国家级自然保护区位于福建省三明市建宁县境内，地处闽江正源头，是我国东南沿海重要的森林生态系统类型国家级自然保护区，保护区总面积13226.58公顷，其中核心保护区8001.41公顷，一般控制区5225.17公顷。区内森林植被茂密，森林覆盖率高，生物多样性极其丰富，是闽江流域生态安全的核心屏障与水源涵养核心区，生态保护战略地位极为重要，同时也是珍稀动植物保护、生态科研监测的核心区域。</w:t>
      </w:r>
    </w:p>
    <w:p w14:paraId="241A756E">
      <w:pPr>
        <w:pStyle w:val="7"/>
        <w:ind w:firstLine="482"/>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近年来，随着国家对自然保护地智慧化建设的持续推进，以及林业和草原信息化、智能化发展的必然要求，保护区传统的管护模式已难以适应新时代生态保护工作的需求。目前保护区已建立起基础的网格化管护体系，配备了专职管护人员与基层管护站点，搭建了人工巡查、传统视频监控、森林防火巡查等基础管护机制，能够开展基础的日常巡护、资源管护与应急处置工作。但整体来看，保护区智慧化、信息化建设仍处于初级阶段，现有管护模式与技术手段存在明显短板：前端感知设备存在大面积监测盲区，仅能实现事后回看，缺乏智能识别与主动预警能力；同时，保护区内偏远区域网络、供电配套不完善，中心机房核心设备性能不足，难以支撑海量数据的存储与智能分析。</w:t>
      </w:r>
    </w:p>
    <w:p w14:paraId="32396E12">
      <w:pPr>
        <w:pStyle w:val="7"/>
        <w:ind w:firstLine="482"/>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为全面提升保护区生态保护、资源管护、应急处置的智能化水平，筑牢闽江源头生态安全屏障，福建闽江源国家级自然保护区管理局决定启动智慧化建设（一期）项目，通过构建全域感知、智能预警、统一管理、高效协同的智慧化管护体系，全面提升保护区的精细化、智能化、常态化管护能力，推动保护区生态保护工作高质量发展。</w:t>
      </w:r>
    </w:p>
    <w:p w14:paraId="64E64528">
      <w:pPr>
        <w:pStyle w:val="7"/>
        <w:ind w:firstLine="482"/>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rPr>
        <w:t>（二）建设依据</w:t>
      </w:r>
    </w:p>
    <w:p w14:paraId="426EB7B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1）《中华人民共和国森林法》（1984年发布，1998年、2009年、2019年修订）</w:t>
      </w:r>
    </w:p>
    <w:p w14:paraId="3E22765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2）《中华人民共和国野生动物保护法》（1989年发布，2004年、2009年、2016年、2018年、2022年修订）</w:t>
      </w:r>
    </w:p>
    <w:p w14:paraId="6B4D9A0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3）《中华人民共和国环境保护法》（1989年发布，2014修订）</w:t>
      </w:r>
    </w:p>
    <w:p w14:paraId="593A3E2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4）《中华人民共和国陆生野生动物保护实施条例》（1992年发布，2011年、2016年修订）</w:t>
      </w:r>
    </w:p>
    <w:p w14:paraId="25A8086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5）《中华人民共和国自然保护区条例》（1994年发布，2011年、2017年、2026年修订）</w:t>
      </w:r>
    </w:p>
    <w:p w14:paraId="39A8E117">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6）《中华人民共和国野生植物保护条例》（1997年发布，2017年修订）</w:t>
      </w:r>
    </w:p>
    <w:p w14:paraId="7BD258E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7）《中华人民共和国森林法实施条例》（2000年发布，2011年、2016年修订）</w:t>
      </w:r>
    </w:p>
    <w:p w14:paraId="5AF7F40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8）《全国生态功能区划》（2008年发布）</w:t>
      </w:r>
    </w:p>
    <w:p w14:paraId="0DB2BCF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9）《全国主体功能区规划》（2011年发布）</w:t>
      </w:r>
    </w:p>
    <w:p w14:paraId="3999785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10）《国家公园等自然保护地建设及野生动植物保护重大工程建设规划（2021—2035年）》（2022年发布）</w:t>
      </w:r>
    </w:p>
    <w:p w14:paraId="5596D6E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11）《自然保护区总体规划技术规程》（GB/T 20399-2006）</w:t>
      </w:r>
    </w:p>
    <w:p w14:paraId="01349FA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12）《自然保护区功能区划技术规程》（LY/T 1764-2008）</w:t>
      </w:r>
    </w:p>
    <w:p w14:paraId="79AAF7D4">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13）《森林防火瞭望台瞭望观测技术规程》（LY/T 1765-2008）</w:t>
      </w:r>
    </w:p>
    <w:p w14:paraId="6056568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14）《自然保护区自然生态质量评价技术规程》（LY/T 1813-2009）</w:t>
      </w:r>
    </w:p>
    <w:p w14:paraId="1BA6F7F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15）《森林防火视频监控系统技术规范》（LY/T 2581-2016）</w:t>
      </w:r>
    </w:p>
    <w:p w14:paraId="3EEC24E1">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16）《古树名木普查技术规范》（LY/T 2738-2016）</w:t>
      </w:r>
    </w:p>
    <w:p w14:paraId="006D389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17）《公共安全视频监控联网信息安全技术要求》（GB 35114-2017）</w:t>
      </w:r>
    </w:p>
    <w:p w14:paraId="5B20767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18）《公共安全视频监控联网系统信息传输、交换、控制技术要求》（GB/T 28181-2022）</w:t>
      </w:r>
    </w:p>
    <w:p w14:paraId="6D95CEBC">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19）《安全防范工程技术规范》(GB50348-2018）</w:t>
      </w:r>
    </w:p>
    <w:p w14:paraId="61F083E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20）《安全防范视频监控摄像机通用技术要求》（GA/T 1127-2013）</w:t>
      </w:r>
    </w:p>
    <w:p w14:paraId="176F977F">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21）《安全防范高清视频监控系统技术要求》（GA/T 1211-2014）</w:t>
      </w:r>
    </w:p>
    <w:p w14:paraId="1CCED22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22）《林业和草原信息化建设指南》</w:t>
      </w:r>
    </w:p>
    <w:p w14:paraId="4B97C2A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23）《国家级自然保护区建设管理办法》</w:t>
      </w:r>
    </w:p>
    <w:p w14:paraId="157B583B">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24）《自然保护地数智化建设技术规范》（T/CCPEF 092—2025）</w:t>
      </w:r>
    </w:p>
    <w:p w14:paraId="05BED533">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25）《福建省自然保护区智慧化建设工作指南》（闽林文〔2025〕25号）</w:t>
      </w:r>
    </w:p>
    <w:p w14:paraId="445ED078">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26）《福建省森林和野生动物类型自然保护区管理条例》</w:t>
      </w:r>
    </w:p>
    <w:p w14:paraId="1EC9776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27）《三明市市级政务信息化项目建设管理办法（征求意见稿）》</w:t>
      </w:r>
    </w:p>
    <w:p w14:paraId="4100945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28）《安全防范工程通用规范》（GB55029-2022）</w:t>
      </w:r>
    </w:p>
    <w:p w14:paraId="1CFD8172">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29）福建闽江源国家级自然保护区总体规划（2017-2026年）。</w:t>
      </w:r>
    </w:p>
    <w:p w14:paraId="7666C297">
      <w:pPr>
        <w:pStyle w:val="7"/>
        <w:ind w:firstLine="482"/>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rPr>
        <w:t>（三）建设目标</w:t>
      </w:r>
    </w:p>
    <w:p w14:paraId="622F969F">
      <w:pPr>
        <w:pStyle w:val="7"/>
        <w:ind w:firstLine="482"/>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以福建闽江源国家级自然保护区的生态保护、资源管护、应急处置为核心，围绕“全域感知、智能预警、统一管理、高效协同”的建设思路，构建“一个智慧监管平台、一套智能感知网络、一套完善基础设施”的智慧化管护体系，实现对保护区的精细化、智能化、常态化监管，全面提升保护区的管护能力、应急处置能力和生态保护水平，筑牢闽江源头生态安全屏障。</w:t>
      </w:r>
    </w:p>
    <w:p w14:paraId="0E1F8CF5">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二、技术和服务要求（以“★”标示的内容为不允许负偏离的实质性要求）</w:t>
      </w:r>
    </w:p>
    <w:p w14:paraId="7C2FC31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rPr>
        <w:t>系统名称:自然资源智慧监管平台</w:t>
      </w:r>
    </w:p>
    <w:tbl>
      <w:tblPr>
        <w:tblStyle w:val="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30"/>
        <w:gridCol w:w="605"/>
        <w:gridCol w:w="803"/>
        <w:gridCol w:w="784"/>
        <w:gridCol w:w="2937"/>
        <w:gridCol w:w="559"/>
        <w:gridCol w:w="512"/>
        <w:gridCol w:w="705"/>
      </w:tblGrid>
      <w:tr w14:paraId="67265F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A74F80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序号</w:t>
            </w:r>
          </w:p>
        </w:tc>
        <w:tc>
          <w:tcPr>
            <w:tcW w:w="60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6F73640">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项目名称</w:t>
            </w:r>
          </w:p>
        </w:tc>
        <w:tc>
          <w:tcPr>
            <w:tcW w:w="80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6EE521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一级模块</w:t>
            </w:r>
          </w:p>
        </w:tc>
        <w:tc>
          <w:tcPr>
            <w:tcW w:w="78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3583BA0">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二级模块</w:t>
            </w:r>
          </w:p>
        </w:tc>
        <w:tc>
          <w:tcPr>
            <w:tcW w:w="293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8296B8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技术参数要求</w:t>
            </w:r>
          </w:p>
        </w:tc>
        <w:tc>
          <w:tcPr>
            <w:tcW w:w="55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452444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单位</w:t>
            </w:r>
          </w:p>
        </w:tc>
        <w:tc>
          <w:tcPr>
            <w:tcW w:w="51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27FDD3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数量</w:t>
            </w:r>
          </w:p>
        </w:tc>
        <w:tc>
          <w:tcPr>
            <w:tcW w:w="70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E91DEA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备注</w:t>
            </w:r>
          </w:p>
        </w:tc>
      </w:tr>
      <w:tr w14:paraId="40E6BE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79FE08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605"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787D9E1">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自然资源智慧监管平台</w:t>
            </w:r>
          </w:p>
        </w:tc>
        <w:tc>
          <w:tcPr>
            <w:tcW w:w="80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2AC3A4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基础资源管理</w:t>
            </w:r>
            <w:r>
              <w:rPr>
                <w:rFonts w:hint="eastAsia" w:asciiTheme="minorEastAsia" w:hAnsiTheme="minorEastAsia" w:eastAsiaTheme="minorEastAsia" w:cstheme="minorEastAsia"/>
                <w:b/>
                <w:color w:val="000000"/>
              </w:rPr>
              <w:t>（评审项1）</w:t>
            </w: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06AE55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5F3E5B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支撑平台各模块软件运行的基础系统软件</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1、组织机构管理功能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2、用户角色管理功能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3、设备管理功能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4、设备、用户角色权限管理功能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5、设备日志，用户操作日志管理功能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6、专用数据上传工具等</w:t>
            </w:r>
          </w:p>
        </w:tc>
        <w:tc>
          <w:tcPr>
            <w:tcW w:w="559"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942462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套</w:t>
            </w:r>
          </w:p>
        </w:tc>
        <w:tc>
          <w:tcPr>
            <w:tcW w:w="512"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517D2A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705"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C047E6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平台须开放接口，可实现后续新增模块和第三方软件无缝接入</w:t>
            </w:r>
          </w:p>
        </w:tc>
      </w:tr>
      <w:tr w14:paraId="28BAE5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632FDAE5">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2A917CEA">
            <w:pPr>
              <w:rPr>
                <w:rFonts w:hint="eastAsia" w:asciiTheme="minorEastAsia" w:hAnsiTheme="minorEastAsia" w:eastAsiaTheme="minorEastAsia" w:cstheme="minorEastAsia"/>
              </w:rPr>
            </w:pPr>
          </w:p>
        </w:tc>
        <w:tc>
          <w:tcPr>
            <w:tcW w:w="80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A224E80">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地理信息</w:t>
            </w:r>
            <w:r>
              <w:rPr>
                <w:rFonts w:hint="eastAsia" w:asciiTheme="minorEastAsia" w:hAnsiTheme="minorEastAsia" w:eastAsiaTheme="minorEastAsia" w:cstheme="minorEastAsia"/>
                <w:b/>
                <w:color w:val="000000"/>
              </w:rPr>
              <w:t>（评审项2）</w:t>
            </w: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0D3DDB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434621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1、地图查询服务：空间数据属性查询。</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2、地图查找服务：对存储在空间数据库中的关键内容进行查找。</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3、地图编辑服务：通过浏览器对空间数据直接进行编辑。</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4、空间分析服务：空间分析服务用来对大量数据进行大规模计算，如临近、包含、穿越查询、坐标转换处理、最优路径分析、地理围栏、叠加分析、缓冲区分析、网络分析等。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5、实时数据可视化服务：基于GIS的实时数据可视化展示</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6、实时数据分析处理服务：基于GIS的实时数据处理与分析服务。</w:t>
            </w:r>
          </w:p>
        </w:tc>
        <w:tc>
          <w:tcPr>
            <w:tcW w:w="559" w:type="dxa"/>
            <w:vMerge w:val="continue"/>
            <w:tcBorders>
              <w:top w:val="nil"/>
              <w:left w:val="single" w:color="000000" w:sz="4" w:space="0"/>
              <w:bottom w:val="single" w:color="000000" w:sz="4" w:space="0"/>
              <w:right w:val="single" w:color="000000" w:sz="4" w:space="0"/>
            </w:tcBorders>
          </w:tcPr>
          <w:p w14:paraId="2C020E4A">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734A53D1">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63EE62B5">
            <w:pPr>
              <w:rPr>
                <w:rFonts w:hint="eastAsia" w:asciiTheme="minorEastAsia" w:hAnsiTheme="minorEastAsia" w:eastAsiaTheme="minorEastAsia" w:cstheme="minorEastAsia"/>
              </w:rPr>
            </w:pPr>
          </w:p>
        </w:tc>
      </w:tr>
      <w:tr w14:paraId="597970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4A7271FB">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44BA8AC2">
            <w:pPr>
              <w:rPr>
                <w:rFonts w:hint="eastAsia" w:asciiTheme="minorEastAsia" w:hAnsiTheme="minorEastAsia" w:eastAsiaTheme="minorEastAsia" w:cstheme="minorEastAsia"/>
              </w:rPr>
            </w:pPr>
          </w:p>
        </w:tc>
        <w:tc>
          <w:tcPr>
            <w:tcW w:w="803"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3542676">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视频监控管理</w:t>
            </w:r>
          </w:p>
        </w:tc>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19F6C2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基础包</w:t>
            </w:r>
            <w:r>
              <w:rPr>
                <w:rFonts w:hint="eastAsia" w:asciiTheme="minorEastAsia" w:hAnsiTheme="minorEastAsia" w:eastAsiaTheme="minorEastAsia" w:cstheme="minorEastAsia"/>
                <w:b/>
                <w:color w:val="000000"/>
              </w:rPr>
              <w:t>（评审项3）</w:t>
            </w:r>
          </w:p>
        </w:tc>
        <w:tc>
          <w:tcPr>
            <w:tcW w:w="2937"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5407CB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1、支持对用户、角色、组织、区域、人员、车辆、卡片、设备等基础资源进行管理调配；</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2、支持用户密码有效时间段进行设置管理，支持用户IP绑定，指定IP地址用户才能登录平台；</w:t>
            </w:r>
          </w:p>
        </w:tc>
        <w:tc>
          <w:tcPr>
            <w:tcW w:w="559" w:type="dxa"/>
            <w:vMerge w:val="continue"/>
            <w:tcBorders>
              <w:top w:val="nil"/>
              <w:left w:val="single" w:color="000000" w:sz="4" w:space="0"/>
              <w:bottom w:val="single" w:color="000000" w:sz="4" w:space="0"/>
              <w:right w:val="single" w:color="000000" w:sz="4" w:space="0"/>
            </w:tcBorders>
          </w:tcPr>
          <w:p w14:paraId="071347AA">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6A986B36">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1F12F013">
            <w:pPr>
              <w:rPr>
                <w:rFonts w:hint="eastAsia" w:asciiTheme="minorEastAsia" w:hAnsiTheme="minorEastAsia" w:eastAsiaTheme="minorEastAsia" w:cstheme="minorEastAsia"/>
              </w:rPr>
            </w:pPr>
          </w:p>
        </w:tc>
      </w:tr>
      <w:tr w14:paraId="76F2E9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0786B51F">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7AFD9C46">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260D85A6">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DDD49A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视频监控</w:t>
            </w:r>
            <w:r>
              <w:rPr>
                <w:rFonts w:hint="eastAsia" w:asciiTheme="minorEastAsia" w:hAnsiTheme="minorEastAsia" w:eastAsiaTheme="minorEastAsia" w:cstheme="minorEastAsia"/>
                <w:b/>
                <w:color w:val="000000"/>
              </w:rPr>
              <w:t>（评审项4）</w:t>
            </w:r>
          </w:p>
        </w:tc>
        <w:tc>
          <w:tcPr>
            <w:tcW w:w="2937"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4E7138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1、支持≥100路视频监控接入</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支持按时间、监控点、录像存储方式检索录像；客户端回放支持1/4/9/16画面分隔模式及全屏显示；支持单帧回放、播放速度控制（1/16、1/8、1/4、1/2、1、2、4、8、16倍速）、同步回放、异步回放；录像回放支持拖动进度条或指定时间点来进行录像定位；支持分段回放，以分段缩略图展示录像片段；</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3、客户端支持在1/2/3/4/6/8/9/10/13/ 14/16/17/24/25画面分隔模式下进行监控点轮巡预览，轮巡时间可设置，支持全屏显示；</w:t>
            </w:r>
          </w:p>
        </w:tc>
        <w:tc>
          <w:tcPr>
            <w:tcW w:w="559" w:type="dxa"/>
            <w:vMerge w:val="continue"/>
            <w:tcBorders>
              <w:top w:val="nil"/>
              <w:left w:val="single" w:color="000000" w:sz="4" w:space="0"/>
              <w:bottom w:val="single" w:color="000000" w:sz="4" w:space="0"/>
              <w:right w:val="single" w:color="000000" w:sz="4" w:space="0"/>
            </w:tcBorders>
          </w:tcPr>
          <w:p w14:paraId="13B611C5">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0EEAF19A">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0BBCB5D7">
            <w:pPr>
              <w:rPr>
                <w:rFonts w:hint="eastAsia" w:asciiTheme="minorEastAsia" w:hAnsiTheme="minorEastAsia" w:eastAsiaTheme="minorEastAsia" w:cstheme="minorEastAsia"/>
              </w:rPr>
            </w:pPr>
          </w:p>
        </w:tc>
      </w:tr>
      <w:tr w14:paraId="4F32B2D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787C1CDE">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03D92319">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326D63B1">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C7D188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设备网络管理</w:t>
            </w:r>
            <w:r>
              <w:rPr>
                <w:rFonts w:hint="eastAsia" w:asciiTheme="minorEastAsia" w:hAnsiTheme="minorEastAsia" w:eastAsiaTheme="minorEastAsia" w:cstheme="minorEastAsia"/>
                <w:b/>
                <w:color w:val="000000"/>
              </w:rPr>
              <w:t>（评审项5）</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0D6509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1、支持对监控点、编码设备的在线状态进行设备巡检，并以统计图方式展示巡检结果；</w:t>
            </w:r>
          </w:p>
        </w:tc>
        <w:tc>
          <w:tcPr>
            <w:tcW w:w="559" w:type="dxa"/>
            <w:vMerge w:val="continue"/>
            <w:tcBorders>
              <w:top w:val="nil"/>
              <w:left w:val="single" w:color="000000" w:sz="4" w:space="0"/>
              <w:bottom w:val="single" w:color="000000" w:sz="4" w:space="0"/>
              <w:right w:val="single" w:color="000000" w:sz="4" w:space="0"/>
            </w:tcBorders>
          </w:tcPr>
          <w:p w14:paraId="3DBC4E09">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6FEDDBA5">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7B048E01">
            <w:pPr>
              <w:rPr>
                <w:rFonts w:hint="eastAsia" w:asciiTheme="minorEastAsia" w:hAnsiTheme="minorEastAsia" w:eastAsiaTheme="minorEastAsia" w:cstheme="minorEastAsia"/>
              </w:rPr>
            </w:pPr>
          </w:p>
        </w:tc>
      </w:tr>
      <w:tr w14:paraId="19EA3D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62F417CF">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0AD34162">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64E0ADA1">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F6E951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视频质量诊断</w:t>
            </w:r>
            <w:r>
              <w:rPr>
                <w:rFonts w:hint="eastAsia" w:asciiTheme="minorEastAsia" w:hAnsiTheme="minorEastAsia" w:eastAsiaTheme="minorEastAsia" w:cstheme="minorEastAsia"/>
                <w:b/>
                <w:color w:val="000000"/>
              </w:rPr>
              <w:t>（评审项6）</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5748E4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支持对监控的图像进行视频质量诊断，图像异常项包括图像偏色、噪声干扰、图像过暗、图像过亮、视频丢帧、视频抖动、对比度异常、条纹干扰、视频遮挡、信号丢失、图像黑白、图像模糊、场景变换、视频剧变；</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2、支持对历史录像的完整率进行监控，统计项包括录像完整数、录像丢失数、巡检失败数、未检测数、监控点总数；支持以统计图展现指定区域的录像完整情况；</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3、支持报表展示视频质量统计、录像完整率统计、区域运维考核结果统计；</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4、支持设备巡检计划配置，包括计划名称、巡检类型、采集对象、巡检时间、巡检频率、状态，并以列表形式展现。</w:t>
            </w:r>
          </w:p>
        </w:tc>
        <w:tc>
          <w:tcPr>
            <w:tcW w:w="559" w:type="dxa"/>
            <w:vMerge w:val="continue"/>
            <w:tcBorders>
              <w:top w:val="nil"/>
              <w:left w:val="single" w:color="000000" w:sz="4" w:space="0"/>
              <w:bottom w:val="single" w:color="000000" w:sz="4" w:space="0"/>
              <w:right w:val="single" w:color="000000" w:sz="4" w:space="0"/>
            </w:tcBorders>
          </w:tcPr>
          <w:p w14:paraId="490DA7B4">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58D448C2">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6150FBB8">
            <w:pPr>
              <w:rPr>
                <w:rFonts w:hint="eastAsia" w:asciiTheme="minorEastAsia" w:hAnsiTheme="minorEastAsia" w:eastAsiaTheme="minorEastAsia" w:cstheme="minorEastAsia"/>
              </w:rPr>
            </w:pPr>
          </w:p>
        </w:tc>
      </w:tr>
      <w:tr w14:paraId="0CFF93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3BFFBC47">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280F284F">
            <w:pPr>
              <w:rPr>
                <w:rFonts w:hint="eastAsia" w:asciiTheme="minorEastAsia" w:hAnsiTheme="minorEastAsia" w:eastAsiaTheme="minorEastAsia" w:cstheme="minorEastAsia"/>
              </w:rPr>
            </w:pPr>
          </w:p>
        </w:tc>
        <w:tc>
          <w:tcPr>
            <w:tcW w:w="803"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6BF4AC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防火监测</w:t>
            </w: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35FB6F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森林防火一张图</w:t>
            </w:r>
            <w:r>
              <w:rPr>
                <w:rFonts w:hint="eastAsia" w:asciiTheme="minorEastAsia" w:hAnsiTheme="minorEastAsia" w:eastAsiaTheme="minorEastAsia" w:cstheme="minorEastAsia"/>
                <w:b/>
                <w:color w:val="000000"/>
              </w:rPr>
              <w:t>（评审项7）</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EFD1E4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1、支持在电子地图上进行放大、缩小、上下移动、测距和测面积等操作；</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2、支持在电子地图上显示网格图层信息，包括保护区功能区划、保护区小班、护林员责任网格、监测图斑等。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支持基于GIS一张图，对辖区内的设备进行统计展示，包括设备总数，通道数，通道在线率。可按设备数排行展示各下级区域的设备数、通道数、通道在线率。点击区域名称，地图可以定位到该区域；点击通道数，可查看通道预览，在通道预览界面，可进行视频搜索、视频实时预览。</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4、支持基于GIS一张图，展示辖区内火情趋势分析。按月度（以周为单位）和年度（以月为单位）分别展示。</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5、支持基于GIS一张图，对各区域的火情处置效率进行排行展示，按照平均火情处理用时进行排序，按本月和今年分别展示</w:t>
            </w:r>
          </w:p>
        </w:tc>
        <w:tc>
          <w:tcPr>
            <w:tcW w:w="559" w:type="dxa"/>
            <w:vMerge w:val="continue"/>
            <w:tcBorders>
              <w:top w:val="nil"/>
              <w:left w:val="single" w:color="000000" w:sz="4" w:space="0"/>
              <w:bottom w:val="single" w:color="000000" w:sz="4" w:space="0"/>
              <w:right w:val="single" w:color="000000" w:sz="4" w:space="0"/>
            </w:tcBorders>
          </w:tcPr>
          <w:p w14:paraId="6549D85C">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0681C327">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00EB0FB8">
            <w:pPr>
              <w:rPr>
                <w:rFonts w:hint="eastAsia" w:asciiTheme="minorEastAsia" w:hAnsiTheme="minorEastAsia" w:eastAsiaTheme="minorEastAsia" w:cstheme="minorEastAsia"/>
              </w:rPr>
            </w:pPr>
          </w:p>
        </w:tc>
      </w:tr>
      <w:tr w14:paraId="6E8671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0FB85BFF">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12443419">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14C60D52">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FB115A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事件定位接入数量</w:t>
            </w:r>
            <w:r>
              <w:rPr>
                <w:rFonts w:hint="eastAsia" w:asciiTheme="minorEastAsia" w:hAnsiTheme="minorEastAsia" w:eastAsiaTheme="minorEastAsia" w:cstheme="minorEastAsia"/>
                <w:b/>
                <w:color w:val="000000"/>
              </w:rPr>
              <w:t>（评审项8）</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9FC996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1、事件定位接入数量控制功能适用于视频定位场景，例如火情事件定位、违建事件定位、动物事件定位。</w:t>
            </w:r>
          </w:p>
        </w:tc>
        <w:tc>
          <w:tcPr>
            <w:tcW w:w="559" w:type="dxa"/>
            <w:vMerge w:val="continue"/>
            <w:tcBorders>
              <w:top w:val="nil"/>
              <w:left w:val="single" w:color="000000" w:sz="4" w:space="0"/>
              <w:bottom w:val="single" w:color="000000" w:sz="4" w:space="0"/>
              <w:right w:val="single" w:color="000000" w:sz="4" w:space="0"/>
            </w:tcBorders>
          </w:tcPr>
          <w:p w14:paraId="093ED058">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5B87FB9E">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517C1839">
            <w:pPr>
              <w:rPr>
                <w:rFonts w:hint="eastAsia" w:asciiTheme="minorEastAsia" w:hAnsiTheme="minorEastAsia" w:eastAsiaTheme="minorEastAsia" w:cstheme="minorEastAsia"/>
              </w:rPr>
            </w:pPr>
          </w:p>
        </w:tc>
      </w:tr>
      <w:tr w14:paraId="436B0C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06B6E2A4">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1108117D">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5FDFFB66">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A6C2D5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森林防火应用</w:t>
            </w:r>
            <w:r>
              <w:rPr>
                <w:rFonts w:hint="eastAsia" w:asciiTheme="minorEastAsia" w:hAnsiTheme="minorEastAsia" w:eastAsiaTheme="minorEastAsia" w:cstheme="minorEastAsia"/>
                <w:b/>
                <w:color w:val="000000"/>
              </w:rPr>
              <w:t>（评审项9）</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3AE85B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1、支持根据火情名称、火情区域、告警位置、研判结果、告警类型、告警时间、是否超时、火情级别等字段查询历史火情信息；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2、支持地图模式配置、地图最大显示层级配置、资源标签最大显示层级配置、一张图地图标题配置、一张图地图模式配置、地图中心点配置、地图默认显示层级配置、支持一张图可视域显示层级配置；</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支持设备巡航条带的添加、删除、修改，支持通过指定设备的水平俯仰角范围设置巡航条带，支持巡航方案的添加、删除、修改，可对巡航方案设置开启/关闭状态，可通过定义设备巡航速度、等待时间、关联巡航条带完成巡航方案的配置；</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4、支持影像图的离线导入和在线对接，支持配置在线对接地址；</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5、支持在地图上展示火情信息弹框。包括报警类型、报警图片、预警描述、发现时间、经纬度、报警来源。支持查看水平角、俯仰角、瞭望塔等详细信息。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6、支持以列表形式展示火情报警，列表展示字段包括：报警类型、报警时间、报警地点、超时标记、重复报警标记、火情等级标记、超距报警标记；</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支持点击火情列表内卡片，展示详情信息且在地图中定位火点并高亮，同时显示瞭望塔与火点间的连线、显示距离，火情详情信息字段包括：预警描述、所属瞭望塔（点击可播放视频）、抓拍照片、视频录像、经纬度、发现时间、所属网格、所属网格负责人、水平角、俯仰角；</w:t>
            </w:r>
          </w:p>
        </w:tc>
        <w:tc>
          <w:tcPr>
            <w:tcW w:w="559" w:type="dxa"/>
            <w:vMerge w:val="continue"/>
            <w:tcBorders>
              <w:top w:val="nil"/>
              <w:left w:val="single" w:color="000000" w:sz="4" w:space="0"/>
              <w:bottom w:val="single" w:color="000000" w:sz="4" w:space="0"/>
              <w:right w:val="single" w:color="000000" w:sz="4" w:space="0"/>
            </w:tcBorders>
          </w:tcPr>
          <w:p w14:paraId="1144E9E6">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1622425F">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2F4486D5">
            <w:pPr>
              <w:rPr>
                <w:rFonts w:hint="eastAsia" w:asciiTheme="minorEastAsia" w:hAnsiTheme="minorEastAsia" w:eastAsiaTheme="minorEastAsia" w:cstheme="minorEastAsia"/>
              </w:rPr>
            </w:pPr>
          </w:p>
        </w:tc>
      </w:tr>
      <w:tr w14:paraId="72C51C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26BEFA16">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2090315E">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17E62717">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3917B0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火情定位</w:t>
            </w:r>
            <w:r>
              <w:rPr>
                <w:rFonts w:hint="eastAsia" w:asciiTheme="minorEastAsia" w:hAnsiTheme="minorEastAsia" w:eastAsiaTheme="minorEastAsia" w:cstheme="minorEastAsia"/>
                <w:b/>
                <w:color w:val="000000"/>
              </w:rPr>
              <w:t>（评审项10）</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4FCB98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1、支持在电子地图上进行火情预警定位并以火点图标展示，点击火点图标时可打开火情详情弹框；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2、支持计算火情坐标；</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3、多点位时，支持在地图缩小后自动进行火情点位聚合时，点击可展示火情列表弹框，点击列表内火情，可展示单个火情详情弹框。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4、支持进行人工校准火情的位置信息，通过用户重新在地图上选点，或者重新输入经纬度坐标校准当前的坐标信息。</w:t>
            </w:r>
          </w:p>
        </w:tc>
        <w:tc>
          <w:tcPr>
            <w:tcW w:w="559" w:type="dxa"/>
            <w:vMerge w:val="continue"/>
            <w:tcBorders>
              <w:top w:val="nil"/>
              <w:left w:val="single" w:color="000000" w:sz="4" w:space="0"/>
              <w:bottom w:val="single" w:color="000000" w:sz="4" w:space="0"/>
              <w:right w:val="single" w:color="000000" w:sz="4" w:space="0"/>
            </w:tcBorders>
          </w:tcPr>
          <w:p w14:paraId="2316533C">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339148EC">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52B035FF">
            <w:pPr>
              <w:rPr>
                <w:rFonts w:hint="eastAsia" w:asciiTheme="minorEastAsia" w:hAnsiTheme="minorEastAsia" w:eastAsiaTheme="minorEastAsia" w:cstheme="minorEastAsia"/>
              </w:rPr>
            </w:pPr>
          </w:p>
        </w:tc>
      </w:tr>
      <w:tr w14:paraId="25D94F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5143BFF4">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21D314AB">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6B01607A">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218FC6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火情智能研判应用</w:t>
            </w:r>
            <w:r>
              <w:rPr>
                <w:rFonts w:hint="eastAsia" w:asciiTheme="minorEastAsia" w:hAnsiTheme="minorEastAsia" w:eastAsiaTheme="minorEastAsia" w:cstheme="minorEastAsia"/>
                <w:b/>
                <w:color w:val="000000"/>
              </w:rPr>
              <w:t>（评审项11）</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02F68F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森林防火多模态智能研判系统，通过防火大模型算法，实现告警图片再次复核，并对确认是火情的图片进行场景识别、火势大小识别、环境要素识别。根据不同场景类型划分告警等级，并自动分级推送处置。对每日产生800条以内的火情告警实现智能研判。</w:t>
            </w:r>
          </w:p>
        </w:tc>
        <w:tc>
          <w:tcPr>
            <w:tcW w:w="559" w:type="dxa"/>
            <w:vMerge w:val="continue"/>
            <w:tcBorders>
              <w:top w:val="nil"/>
              <w:left w:val="single" w:color="000000" w:sz="4" w:space="0"/>
              <w:bottom w:val="single" w:color="000000" w:sz="4" w:space="0"/>
              <w:right w:val="single" w:color="000000" w:sz="4" w:space="0"/>
            </w:tcBorders>
          </w:tcPr>
          <w:p w14:paraId="11072162">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72CF7382">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3093AE91">
            <w:pPr>
              <w:rPr>
                <w:rFonts w:hint="eastAsia" w:asciiTheme="minorEastAsia" w:hAnsiTheme="minorEastAsia" w:eastAsiaTheme="minorEastAsia" w:cstheme="minorEastAsia"/>
              </w:rPr>
            </w:pPr>
          </w:p>
        </w:tc>
      </w:tr>
      <w:tr w14:paraId="750417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0258862E">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0FC6B19A">
            <w:pPr>
              <w:rPr>
                <w:rFonts w:hint="eastAsia" w:asciiTheme="minorEastAsia" w:hAnsiTheme="minorEastAsia" w:eastAsiaTheme="minorEastAsia" w:cstheme="minorEastAsia"/>
              </w:rPr>
            </w:pPr>
          </w:p>
        </w:tc>
        <w:tc>
          <w:tcPr>
            <w:tcW w:w="803"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07BBA3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鸟类、动物保护</w:t>
            </w: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0D3A74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动物监测一张图</w:t>
            </w:r>
            <w:r>
              <w:rPr>
                <w:rFonts w:hint="eastAsia" w:asciiTheme="minorEastAsia" w:hAnsiTheme="minorEastAsia" w:eastAsiaTheme="minorEastAsia" w:cstheme="minorEastAsia"/>
                <w:b/>
                <w:color w:val="000000"/>
              </w:rPr>
              <w:t>（评审项12）</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314539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1、监测概览展示：展示监测区域地理分布、设备部署情况、近期监测动态。</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2、物种信息展示：按保护等级、拍摄类型（图片/视频）分类展示物种详情，支持条件筛选检索。</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3、监测设备展示：地图展示设备分布，点击查看设备详细信息。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4、物种变化趋势：近7日动物数量变化折线图，支持悬停查看明细。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5、关注物种提醒：实时展示珍稀与外来物种监测记录，系统自动发送提醒。</w:t>
            </w:r>
          </w:p>
        </w:tc>
        <w:tc>
          <w:tcPr>
            <w:tcW w:w="559" w:type="dxa"/>
            <w:vMerge w:val="continue"/>
            <w:tcBorders>
              <w:top w:val="nil"/>
              <w:left w:val="single" w:color="000000" w:sz="4" w:space="0"/>
              <w:bottom w:val="single" w:color="000000" w:sz="4" w:space="0"/>
              <w:right w:val="single" w:color="000000" w:sz="4" w:space="0"/>
            </w:tcBorders>
          </w:tcPr>
          <w:p w14:paraId="1BDDFCC8">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1ED82197">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279A3F5F">
            <w:pPr>
              <w:rPr>
                <w:rFonts w:hint="eastAsia" w:asciiTheme="minorEastAsia" w:hAnsiTheme="minorEastAsia" w:eastAsiaTheme="minorEastAsia" w:cstheme="minorEastAsia"/>
              </w:rPr>
            </w:pPr>
          </w:p>
        </w:tc>
      </w:tr>
      <w:tr w14:paraId="151582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5205CB5C">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6372472D">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44332034">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EF34FD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监测基础管理</w:t>
            </w:r>
            <w:r>
              <w:rPr>
                <w:rFonts w:hint="eastAsia" w:asciiTheme="minorEastAsia" w:hAnsiTheme="minorEastAsia" w:eastAsiaTheme="minorEastAsia" w:cstheme="minorEastAsia"/>
                <w:b/>
                <w:color w:val="000000"/>
              </w:rPr>
              <w:t>（评审项13）</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065F5E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1、监测范围管理：新增/修改/删除/查询监测范围（支持圆形、矩形、矢量导入）。</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2、样区管理：新增/修改/删除/查询样区，支持自定义颜色及关联网格。</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3、样点管理：新增/修改/删除/查询样点，支持关联设备、导入物种图像、AI与人工识别。</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4、样点生境管理：新增/修改/删除/查询样点周边的植被、地形、水源等环境信息。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5、监测网格管理：自定义划分监测网格，支持关联样区与范围。</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6、导出模版管理：集中管理系统生成的报表与报告，支持查询、下载、删除。</w:t>
            </w:r>
          </w:p>
        </w:tc>
        <w:tc>
          <w:tcPr>
            <w:tcW w:w="559" w:type="dxa"/>
            <w:vMerge w:val="continue"/>
            <w:tcBorders>
              <w:top w:val="nil"/>
              <w:left w:val="single" w:color="000000" w:sz="4" w:space="0"/>
              <w:bottom w:val="single" w:color="000000" w:sz="4" w:space="0"/>
              <w:right w:val="single" w:color="000000" w:sz="4" w:space="0"/>
            </w:tcBorders>
          </w:tcPr>
          <w:p w14:paraId="4FD2118C">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3C341E9B">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12F5B1A9">
            <w:pPr>
              <w:rPr>
                <w:rFonts w:hint="eastAsia" w:asciiTheme="minorEastAsia" w:hAnsiTheme="minorEastAsia" w:eastAsiaTheme="minorEastAsia" w:cstheme="minorEastAsia"/>
              </w:rPr>
            </w:pPr>
          </w:p>
        </w:tc>
      </w:tr>
      <w:tr w14:paraId="6AF708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5B29752A">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27A8B415">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0AFFC9A3">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A43F3A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动物智能监测</w:t>
            </w:r>
            <w:r>
              <w:rPr>
                <w:rFonts w:hint="eastAsia" w:asciiTheme="minorEastAsia" w:hAnsiTheme="minorEastAsia" w:eastAsiaTheme="minorEastAsia" w:cstheme="minorEastAsia"/>
                <w:b/>
                <w:color w:val="000000"/>
              </w:rPr>
              <w:t>（评审项14）</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4AB549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1、实时监测：设备状态实时显示、监测记录列表、当日动物数量趋势分析。</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2、离线监测：人工批量上传红外相机图像/视频，支持数据录入、修改、删除、查询与导出。</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3、.历史监测记录：查看/查询/修改/下载历史抓拍图像，支持AI识别状态筛选。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4、图像物种识别：AI自动识别物种及数量，支持查询物种监测次数与迁移轨迹。</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5、物种分布网格：生成物种活动网格轨迹，支持查询同一物种的网格分布。</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6、监测数据遴选分析：多种图表统计（种类对比、日捕捉、日活动规律、识别比例、热点、多样性指数等），支持导出详细报告与统计表格。</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7、识别结果管理：按物种卡片展示，支持筛选、人工纠错、批量下载与删除。</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8、珍稀物种提示：列表展示珍稀物种，支持新增/修改/删除/查询。</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9、人工鉴定：专家对图像进行标注、AI辅助识别、历史比对，支持鉴定结果导出。</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10、外来物种监测：自动识别外来物种，统计概况、变化趋势，支持按设备/时间段分析。</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11、统计分析（综合）：涵盖物种分类统计、珍稀保护物种趋势、月份密度、时段分布、丰富度指数、时空分布、个体累积、年龄性别结构、行为记录、环境因子对比（DBH、干扰、水源、海拔）、日活动节律、网格分布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12、珍稀物种设置：增删改查珍稀物种的文字介绍、图片、视频等资料。</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13、红外相机按项目监测管理，监测数据按批次收集管理与展示。</w:t>
            </w:r>
          </w:p>
        </w:tc>
        <w:tc>
          <w:tcPr>
            <w:tcW w:w="559" w:type="dxa"/>
            <w:vMerge w:val="continue"/>
            <w:tcBorders>
              <w:top w:val="nil"/>
              <w:left w:val="single" w:color="000000" w:sz="4" w:space="0"/>
              <w:bottom w:val="single" w:color="000000" w:sz="4" w:space="0"/>
              <w:right w:val="single" w:color="000000" w:sz="4" w:space="0"/>
            </w:tcBorders>
          </w:tcPr>
          <w:p w14:paraId="5FC11958">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4BE4BE7A">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7EAE6DD6">
            <w:pPr>
              <w:rPr>
                <w:rFonts w:hint="eastAsia" w:asciiTheme="minorEastAsia" w:hAnsiTheme="minorEastAsia" w:eastAsiaTheme="minorEastAsia" w:cstheme="minorEastAsia"/>
              </w:rPr>
            </w:pPr>
          </w:p>
        </w:tc>
      </w:tr>
      <w:tr w14:paraId="55CD85A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25C30751">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7BA3802F">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05F87EFC">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F63AEE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鸟类智能监测</w:t>
            </w:r>
            <w:r>
              <w:rPr>
                <w:rFonts w:hint="eastAsia" w:asciiTheme="minorEastAsia" w:hAnsiTheme="minorEastAsia" w:eastAsiaTheme="minorEastAsia" w:cstheme="minorEastAsia"/>
                <w:b/>
                <w:color w:val="000000"/>
              </w:rPr>
              <w:t>（评审项15）</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87292A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1、鸟类图像识别概况展示：列表展示鸟类监测设备，支持查看设备名称、品牌、识别方式、安装时间等详情信息鸟类地图位置分布信息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2、鸟类图像识别统计：实时统计监测物种总数、今日监测物种数及 TOP10 物种排行；显示珍稀物种总数和今日发现数，按时间倒序提示最新三条珍稀鸟类识别设备、物种名称、识别数量、抓拍时间等信息，并以折线图呈现特定时间段内鸟类监测数量变化趋势。</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3、鸟类监测设备告警信息：展示鸟类监测设备告警总数、今日告警数及最新三条告警的设备名称、时间、故障类型等信息。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4、精彩瞬间：展示筛选后的最新精美鸟类照片素材，支持左右切换和大图预览的功能。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5、地图展示设备分布：在地图上清晰标注所有鸟类监测设备的具体位置，通过地图直观展示鸟类监测设备的分布情况。</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6、设备状态地图展示：支持通过不同颜色或图标区分设备在线、离线、故障等工作状态。</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7、设备详情：点击地图上设备图标，弹出详细信息窗口，展示设备编号、型号、安装时间、监测区域等关键信息。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8、实时画面预览：支持多画面同时预览，用户可根据需要选择查看一个或多个摄像头的实时画面。支持实时预览画面截图保存，方便用户保存重要监测瞬间。截图画面包含鸟类识别彩色标注框。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9、监测数据统计分析：实时统计分析今日鸟类监测物种总数和影像数量总数；展示最新五条监测数据的识别图片、识别物种、物种数量、设备、抓拍时间等信息；对比各设备今日监测数量，比对结果以柱状图呈现，支持悬停查看具体物种及数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10、智能鸟类监测方案：系统支持建立多个监测点与任务时间，使得摄像头定时巡航抓拍每个监测点的画面并上传图像至平台进行AI分析，得出鸟种和数量统计。</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11、鸟类自动监测方案过程展示：基于二维地图，实时动态展示设备执行鸟类监测任务的过程，展示最新4张拍摄的画面，实时统计鸟种和数量。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12、鸟类自动监测设备覆盖区域：支持在地图上直观展示每个摄像头的监测区域。</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13、鸟类自动监测成果统计分析：支持按日期或时间段、方案名称、任务时间、执行轮次查询鸟类监测列表，统计鸟种及对应数量、国家保护等级、IUCN等级、1%水鸟等，支持通过扇形图的形式统计和对比林鸟和水鸟的种类和数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14、鸟类分布热力图：支持按日期或时间段、方案名称、任务时间、执行轮次查询监测到的鸟类数量，在地图上展示鸟类分布热力图。</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15、鸟类自动监测报告生成与导出：支持按日期或时间段、方案名称、任务时间、执行轮次生成鸟类监测报告，对监测结果进行图表化描述及文字说明，支持下载简易报告与详细报告。</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16、鸟类监测详情：提供监测详情页面，包含图片展示、设备信息、物种与数量统计、监测时间及地图定位。</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17、图像物种识</w:t>
            </w:r>
            <w:r>
              <w:rPr>
                <w:rFonts w:hint="eastAsia" w:asciiTheme="minorEastAsia" w:hAnsiTheme="minorEastAsia" w:eastAsiaTheme="minorEastAsia" w:cstheme="minorEastAsia"/>
                <w:sz w:val="21"/>
              </w:rPr>
              <w:t>别信息图像物种识别是结合海量化监测数据训练AI识别模型，</w:t>
            </w:r>
            <w:r>
              <w:rPr>
                <w:rFonts w:hint="eastAsia" w:asciiTheme="minorEastAsia" w:hAnsiTheme="minorEastAsia" w:eastAsiaTheme="minorEastAsia" w:cstheme="minorEastAsia"/>
              </w:rPr>
              <w:t>千万级影像数据，准确识别高清视频拍摄的图像文件/视频文件中心出现鸟类和数量的功能。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18、物种分布网格：对监测到鸟类的高清视频设备点位进行分析，并根据设备关联的监测网格，生成某一鸟类的的活动轨迹。</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19、VR生境影像图：支持展示各监测设备的实景720度的VR生境影像图，用户可通过VR眼镜沉浸式查看鸟类的自然栖息环境，实现身临其境的体验。在VR生境影像图中，用户可以直观地观察到鸟类的活动轨迹、栖息习性以及生态环境的变化情况。</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20、珍稀鸟类提示：系统支持通过预设珍稀鸟类，结合系统自动识别成果筛选其中的珍稀你交了，也可以在系统中手动添加新发现的珍稀鸟类信息，包括名称、类型、数量、监测设备、相关图片或视频内容以及监测时间等详细资料，以便系统能够更全面地记录和展示珍稀鸟类的监测情况。</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21、设备告警：实时监控鸟类监测设备的运行状态，确保设备正常工作，及时发现并处理潜在问题。</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22、识别结果展示：按物种卡片展示监测数据，标注图片/视频数量；支持名称模糊搜索和分页浏览（支持10条/页，20条/页，50条/页，100条/页四种方式）。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23、单物种相册详情展示：显示设备信息、时间、多媒体数量、识别数量、识别物种、监测时间及筛选功能；支持人工纠错（去鉴定/去纠错），修正物种信息并更新状态；支持批量照片的下载和和删除功能。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24、图像文件查询：按多种查询条件查询图像文件：图像状态（已复查、AI识别、未预测、未复查）、文件类型（全部、图片、视频、音频）、文件名称关键词、日期区间、有无动物、拍摄人、识别率、文件个体数区间；</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25、图像排序：排序类型（按文件名排序、按文件拍摄时间排序、按文件上传时间排序）、时间排序方式（正序、倒序）。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26、鉴定结果导出：系统还支持将鉴定结果导出为报告或表格，方便专家进行后续的数据分析和研究。</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27、统计监测概况信息：统计监测面积、监测区域数量、监测样点数量、物种目、科、种不同分类数量。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28、统计珍稀、保护物种及动物物种分类信息：统计所有监测区域珍稀物种类、数量和出现月份趋势；统计珍稀、保护物种及动物物种分类信息；统计鸟类、哺乳类、爬行类、两栖类物种数量、种类以及出现月份趋势。</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29、统计监测到动物物种及文件数信息：统计不同动物物种监测文件数量信息。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30、统计动物物种出现月份密度趋势信息：以月为单位，统计动物物种月份密度趋势对比表。</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31、统计动物物种发现日间时间段分布信息：以小时为单位，统计动物物种某日监测到的时间段分布数量信息。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32、统计动物物种丰富度数值信息：根据物种监测有效图像文件总数，计算得出动物物种丰富度指数。</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33、统计动物物种实时推送信息：统计系统实时推送的物种图像上传信息。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34、统计动物物种时空分布信息：以监测网格为基础，统计动物物种不同网格监测数据，分析动物物种时空分布信息。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35、统计动物物种个体累积曲线信息：以时间段为条件，统计动物物种个体累计数量曲线图。</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36、统计动物物种丰富度变化趋势信息：以天数为单位，统计动物物种丰富度变化趋势。</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37、统计动物物种物种同比信息：以时间为单位，统计动物物种物种同比信息。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38、统计动物物种在不同时段记录的行为信息：以时间为单位，统计某一动物物种在不同时段记录的行为信息。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39、统计动物物种在不同dbh下发现的数量对比信息：以时间为单位，统计某一动物物种在不同dbh下发现的数量对比信息。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40、统计动物物种在不同干扰强度下发现的数量对比信息：以干扰类型为条件，统计动物物种在不同干扰强度下发现的数量对比。</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41、统计动物物种在不同水源距离下发现的数量对比信息：以发现物种距离水源地的距离为条件，统计某一动物物种在不同水源距离下发现的数量对比信息。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42、统计动物物种在不同海拔下发现的数量对比信息：以海拔高度为条件，统计某一动物物种在不同海拔下发现的数量对比信息。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43、统计动物物种日相对活动节律信息：以时间为条件，统计某一动物物种日相对活动节律信息。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44、统计动物物种网格分布信息：统计某一动物物种在监测区域的监测网格分布信息。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45、珍稀物种管理：珍稀动物的物种名、动物别名、动物拉丁名、动物界名、动物门名、动物纲名、动物目名、动物科名、动物保护等级、动物分布图、物种封面图、动物介绍等内容进行管理查询的功能。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46、高质量监测素材管理：管理执行监测任务时抓拍的鸟类行为图像文件的功能，可对图像文件的文件类型、文件名、关联识别后文件、展示文件名、事件创建时间、关联监测范围、关联设备、设备类型、经度、纬度等信息进行人工标注。</w:t>
            </w:r>
          </w:p>
        </w:tc>
        <w:tc>
          <w:tcPr>
            <w:tcW w:w="559" w:type="dxa"/>
            <w:vMerge w:val="continue"/>
            <w:tcBorders>
              <w:top w:val="nil"/>
              <w:left w:val="single" w:color="000000" w:sz="4" w:space="0"/>
              <w:bottom w:val="single" w:color="000000" w:sz="4" w:space="0"/>
              <w:right w:val="single" w:color="000000" w:sz="4" w:space="0"/>
            </w:tcBorders>
          </w:tcPr>
          <w:p w14:paraId="6261C970">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4F60D18B">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51DAA8C5">
            <w:pPr>
              <w:rPr>
                <w:rFonts w:hint="eastAsia" w:asciiTheme="minorEastAsia" w:hAnsiTheme="minorEastAsia" w:eastAsiaTheme="minorEastAsia" w:cstheme="minorEastAsia"/>
              </w:rPr>
            </w:pPr>
          </w:p>
        </w:tc>
      </w:tr>
      <w:tr w14:paraId="7FAE1B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70E9291B">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2696FD8B">
            <w:pPr>
              <w:rPr>
                <w:rFonts w:hint="eastAsia" w:asciiTheme="minorEastAsia" w:hAnsiTheme="minorEastAsia" w:eastAsiaTheme="minorEastAsia" w:cstheme="minorEastAsia"/>
              </w:rPr>
            </w:pPr>
          </w:p>
        </w:tc>
        <w:tc>
          <w:tcPr>
            <w:tcW w:w="803"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2C2127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人为活动监管</w:t>
            </w: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19E551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防火语音宣传杆（森林智能哨卫）接入</w:t>
            </w:r>
            <w:r>
              <w:rPr>
                <w:rFonts w:hint="eastAsia" w:asciiTheme="minorEastAsia" w:hAnsiTheme="minorEastAsia" w:eastAsiaTheme="minorEastAsia" w:cstheme="minorEastAsia"/>
                <w:b/>
                <w:color w:val="000000"/>
              </w:rPr>
              <w:t>（评审项16）</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21DC3D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1、提供防火语音宣传杆设备（森林智能哨卫）的接入管理，提供语音及屏幕文字播放配置，支持宣传杆的事件上报查询。</w:t>
            </w:r>
          </w:p>
        </w:tc>
        <w:tc>
          <w:tcPr>
            <w:tcW w:w="559" w:type="dxa"/>
            <w:vMerge w:val="continue"/>
            <w:tcBorders>
              <w:top w:val="nil"/>
              <w:left w:val="single" w:color="000000" w:sz="4" w:space="0"/>
              <w:bottom w:val="single" w:color="000000" w:sz="4" w:space="0"/>
              <w:right w:val="single" w:color="000000" w:sz="4" w:space="0"/>
            </w:tcBorders>
          </w:tcPr>
          <w:p w14:paraId="17D5D290">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779FCFC2">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405572EF">
            <w:pPr>
              <w:rPr>
                <w:rFonts w:hint="eastAsia" w:asciiTheme="minorEastAsia" w:hAnsiTheme="minorEastAsia" w:eastAsiaTheme="minorEastAsia" w:cstheme="minorEastAsia"/>
              </w:rPr>
            </w:pPr>
          </w:p>
        </w:tc>
      </w:tr>
      <w:tr w14:paraId="46C83B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49352D1F">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6EAFB056">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13545167">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C4955A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园区卡口</w:t>
            </w:r>
            <w:r>
              <w:rPr>
                <w:rFonts w:hint="eastAsia" w:asciiTheme="minorEastAsia" w:hAnsiTheme="minorEastAsia" w:eastAsiaTheme="minorEastAsia" w:cstheme="minorEastAsia"/>
                <w:b/>
                <w:color w:val="000000"/>
              </w:rPr>
              <w:t>（评审项17）</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A33A6C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1、支持显示屏显示车辆信息，包括车牌号码，车辆速度，实时时间；</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2、支持卡口普通过车信息、超速信息、黑名单信息查询；</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3、支持卡口点位过车流量和违章事件的统计；</w:t>
            </w:r>
          </w:p>
        </w:tc>
        <w:tc>
          <w:tcPr>
            <w:tcW w:w="559" w:type="dxa"/>
            <w:vMerge w:val="continue"/>
            <w:tcBorders>
              <w:top w:val="nil"/>
              <w:left w:val="single" w:color="000000" w:sz="4" w:space="0"/>
              <w:bottom w:val="single" w:color="000000" w:sz="4" w:space="0"/>
              <w:right w:val="single" w:color="000000" w:sz="4" w:space="0"/>
            </w:tcBorders>
          </w:tcPr>
          <w:p w14:paraId="4A4390B1">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0E9483F1">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0743501C">
            <w:pPr>
              <w:rPr>
                <w:rFonts w:hint="eastAsia" w:asciiTheme="minorEastAsia" w:hAnsiTheme="minorEastAsia" w:eastAsiaTheme="minorEastAsia" w:cstheme="minorEastAsia"/>
              </w:rPr>
            </w:pPr>
          </w:p>
        </w:tc>
      </w:tr>
      <w:tr w14:paraId="62C6F8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0597FAA8">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77BB141A">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3683AB2F">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FE2400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文搜-以文搜图</w:t>
            </w:r>
            <w:r>
              <w:rPr>
                <w:rFonts w:hint="eastAsia" w:asciiTheme="minorEastAsia" w:hAnsiTheme="minorEastAsia" w:eastAsiaTheme="minorEastAsia" w:cstheme="minorEastAsia"/>
                <w:b/>
                <w:color w:val="000000"/>
              </w:rPr>
              <w:t>（评审项18）</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783CAC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1、基于深度语义理解能力多模态大模型，将图像特征与搜索语言关键语义特征对齐，支持用户输入一句话一个词对目标文字描述，精准搜索出画面中相关目标图片，实现跨模态高精度搜索</w:t>
            </w:r>
          </w:p>
        </w:tc>
        <w:tc>
          <w:tcPr>
            <w:tcW w:w="559" w:type="dxa"/>
            <w:vMerge w:val="continue"/>
            <w:tcBorders>
              <w:top w:val="nil"/>
              <w:left w:val="single" w:color="000000" w:sz="4" w:space="0"/>
              <w:bottom w:val="single" w:color="000000" w:sz="4" w:space="0"/>
              <w:right w:val="single" w:color="000000" w:sz="4" w:space="0"/>
            </w:tcBorders>
          </w:tcPr>
          <w:p w14:paraId="39121D21">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621234EC">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1D8F361C">
            <w:pPr>
              <w:rPr>
                <w:rFonts w:hint="eastAsia" w:asciiTheme="minorEastAsia" w:hAnsiTheme="minorEastAsia" w:eastAsiaTheme="minorEastAsia" w:cstheme="minorEastAsia"/>
              </w:rPr>
            </w:pPr>
          </w:p>
        </w:tc>
      </w:tr>
      <w:tr w14:paraId="7D8F13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39F2252D">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0C9AE4E0">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215DF63C">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7F72C1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文搜-文本布防</w:t>
            </w:r>
            <w:r>
              <w:rPr>
                <w:rFonts w:hint="eastAsia" w:asciiTheme="minorEastAsia" w:hAnsiTheme="minorEastAsia" w:eastAsiaTheme="minorEastAsia" w:cstheme="minorEastAsia"/>
                <w:b/>
                <w:color w:val="000000"/>
              </w:rPr>
              <w:t>（评审项19）</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3B6DC5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1、支持提示文本组管理，包括提示语组名称、正向提示语、反向提示语。</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2、支持文本布防任务管理，支持选择提示文本组，设置预警有效时间列表、预警点位列表、正反向文本识别阈值。支持对任务启用/停用布防管理。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支持文本预警事件管理，实时接收和查询文本布防预警事件，支持卡片和列表两种展示形式，支持查看文本预警事件详情，包括预警文本组名称、预警图片、预警点位、预警时间、预警录像片段等。支持对预警事件进行研判操作。</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4、支持针对钩机等特种车辆的车型识别。</w:t>
            </w:r>
          </w:p>
        </w:tc>
        <w:tc>
          <w:tcPr>
            <w:tcW w:w="559" w:type="dxa"/>
            <w:vMerge w:val="continue"/>
            <w:tcBorders>
              <w:top w:val="nil"/>
              <w:left w:val="single" w:color="000000" w:sz="4" w:space="0"/>
              <w:bottom w:val="single" w:color="000000" w:sz="4" w:space="0"/>
              <w:right w:val="single" w:color="000000" w:sz="4" w:space="0"/>
            </w:tcBorders>
          </w:tcPr>
          <w:p w14:paraId="7CE3DBA1">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10A78253">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46340AD2">
            <w:pPr>
              <w:rPr>
                <w:rFonts w:hint="eastAsia" w:asciiTheme="minorEastAsia" w:hAnsiTheme="minorEastAsia" w:eastAsiaTheme="minorEastAsia" w:cstheme="minorEastAsia"/>
              </w:rPr>
            </w:pPr>
          </w:p>
        </w:tc>
      </w:tr>
      <w:tr w14:paraId="0C55EA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3EDF872F">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6B5E005C">
            <w:pPr>
              <w:rPr>
                <w:rFonts w:hint="eastAsia" w:asciiTheme="minorEastAsia" w:hAnsiTheme="minorEastAsia" w:eastAsiaTheme="minorEastAsia" w:cstheme="minorEastAsia"/>
              </w:rPr>
            </w:pPr>
          </w:p>
        </w:tc>
        <w:tc>
          <w:tcPr>
            <w:tcW w:w="803"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837BC8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可视化驾驶舱</w:t>
            </w: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236E5C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保护区概览</w:t>
            </w:r>
            <w:r>
              <w:rPr>
                <w:rFonts w:hint="eastAsia" w:asciiTheme="minorEastAsia" w:hAnsiTheme="minorEastAsia" w:eastAsiaTheme="minorEastAsia" w:cstheme="minorEastAsia"/>
                <w:b/>
                <w:color w:val="000000"/>
              </w:rPr>
              <w:t>（评审项20）</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9BBDDC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1、功能分区定位地图（默认展示）</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加载二三维GIS地图，以不同颜色渲染核心区与一般控制区。</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显示图例说明，支持鼠标滚轮缩放、拖拽漫游、悬停或点击分区弹出信息浮窗，显示名称、面积、保护等级、主要保护对象等。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支持切换卫星影像、矢量地图、地形图等多种底图模式。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2、景观点位标注与分类展示</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叠加展示景点、自然景观、人文景观三类点位，以不同图标区分。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提供分类筛选按钮（全部/景点/自然景观/人文景观）。</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后台支持对每个点位单独控制“是否在地图展示”。</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3、点位详情查看（图文视频弹窗）</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点击点位图标弹窗展示：名称、类型、所属功能区、经纬度、简介描述。</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支持多张图片轮播展示。</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支持嵌入播放视频短片。</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展示关联的保护物种、生态数据或历史事件等延伸信息。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4、关键参数仪表盘</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基础概览：总面积、核心区面积、一般控制区面积、覆盖率比例。</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生态指标：物种数量、珍稀物种数、植被覆盖率等。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动态数据：设备在线数、近期巡护记录等。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监测预警：人为活动数据、车辆预警数据、火点预警类型数据。</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5、全局搜索与快捷定位</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支持按点位名称、类型、功能区等关键词搜索，结果高亮定位至地图。</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提供“定位到核心区”“定位到一般控制区”“复位全图”等快捷按钮。</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6、保护区基础信息维护</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编辑保护区名称、级别、总面积、成立时间、主管部门、简介等。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维护功能分区名称、面积、边界坐标（GeoJSON/KML）、保护等级、保护要求，支持SHP批量导入。</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配置仪表盘关键参数（物种总数、珍稀物种数、植被覆盖率等），支持手动录入或接口自动同步。</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7、景观点位管理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新增点位：录入名称、类型、所属功能区、描述；支持手动输入坐标或地图点击拾取；上传多张图片及视频；提供“是否在地图展示”开关。</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编辑点位：修改所有信息字段，坐标变更后地图自动更新位置。</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删除点位：支持单个或批量删除，操作前二次确认。</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点位列表管理：表格展示所有点位，支持按类型、功能区、展示状态筛选与搜索。</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8、功能分区数据维护</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分区列表展示，支持新增、编辑、删除分区。</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提供地图绘制工具，直接在地图上绘制多边形定义分区边界。</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配置每个分区的面积、保护等级、允许活动类型。</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支持导入（SHP/GeoJSON）和导出分区矢量数据。</w:t>
            </w:r>
          </w:p>
        </w:tc>
        <w:tc>
          <w:tcPr>
            <w:tcW w:w="559" w:type="dxa"/>
            <w:vMerge w:val="continue"/>
            <w:tcBorders>
              <w:top w:val="nil"/>
              <w:left w:val="single" w:color="000000" w:sz="4" w:space="0"/>
              <w:bottom w:val="single" w:color="000000" w:sz="4" w:space="0"/>
              <w:right w:val="single" w:color="000000" w:sz="4" w:space="0"/>
            </w:tcBorders>
          </w:tcPr>
          <w:p w14:paraId="1431E9C9">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16A72D7A">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6D995FC2">
            <w:pPr>
              <w:rPr>
                <w:rFonts w:hint="eastAsia" w:asciiTheme="minorEastAsia" w:hAnsiTheme="minorEastAsia" w:eastAsiaTheme="minorEastAsia" w:cstheme="minorEastAsia"/>
              </w:rPr>
            </w:pPr>
          </w:p>
        </w:tc>
      </w:tr>
      <w:tr w14:paraId="134929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28E60BAE">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4BBE5080">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58C0A665">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DAB546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生物多样性专题</w:t>
            </w:r>
            <w:r>
              <w:rPr>
                <w:rFonts w:hint="eastAsia" w:asciiTheme="minorEastAsia" w:hAnsiTheme="minorEastAsia" w:eastAsiaTheme="minorEastAsia" w:cstheme="minorEastAsia"/>
                <w:b/>
                <w:color w:val="000000"/>
              </w:rPr>
              <w:t>（评审项21）</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DAAF82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1、监测概况展示：实时统计并展示设备总数、动物总数、物种数量、珍稀动物数量。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2、物种信息展示：按保护等级和拍摄类型（图片/视频）分类展示，支持按保护等级、拍摄时间等条件筛选检索，查看物种名称、保护等级、拍摄时间、地点、图像/视频链接等详情。</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3、监测设备展示：地图以不同图标展示设备分布，点击查看设备名称、型号、安装位置、维护记录等详细信息。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4、物种变化趋势：自动统计分析近7日动物数量变化，以折线图呈现，支持悬停查看具体物种及数量。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5、关注物种提醒：实时展示珍稀物种和外来物种的监测记录（设备、拍摄时间、数量等），系统根据预设关注物种列表自动发送提醒。</w:t>
            </w:r>
          </w:p>
        </w:tc>
        <w:tc>
          <w:tcPr>
            <w:tcW w:w="559" w:type="dxa"/>
            <w:vMerge w:val="continue"/>
            <w:tcBorders>
              <w:top w:val="nil"/>
              <w:left w:val="single" w:color="000000" w:sz="4" w:space="0"/>
              <w:bottom w:val="single" w:color="000000" w:sz="4" w:space="0"/>
              <w:right w:val="single" w:color="000000" w:sz="4" w:space="0"/>
            </w:tcBorders>
          </w:tcPr>
          <w:p w14:paraId="59B96CE0">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066FF2B6">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5BA6F86D">
            <w:pPr>
              <w:rPr>
                <w:rFonts w:hint="eastAsia" w:asciiTheme="minorEastAsia" w:hAnsiTheme="minorEastAsia" w:eastAsiaTheme="minorEastAsia" w:cstheme="minorEastAsia"/>
              </w:rPr>
            </w:pPr>
          </w:p>
        </w:tc>
      </w:tr>
      <w:tr w14:paraId="650596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269F1AE2">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7641ABA7">
            <w:pPr>
              <w:rPr>
                <w:rFonts w:hint="eastAsia" w:asciiTheme="minorEastAsia" w:hAnsiTheme="minorEastAsia" w:eastAsiaTheme="minorEastAsia" w:cstheme="minorEastAsia"/>
              </w:rPr>
            </w:pPr>
          </w:p>
        </w:tc>
        <w:tc>
          <w:tcPr>
            <w:tcW w:w="803"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2B7582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定制</w:t>
            </w: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2E007F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车辆预警定制</w:t>
            </w:r>
            <w:r>
              <w:rPr>
                <w:rFonts w:hint="eastAsia" w:asciiTheme="minorEastAsia" w:hAnsiTheme="minorEastAsia" w:eastAsiaTheme="minorEastAsia" w:cstheme="minorEastAsia"/>
                <w:b/>
                <w:color w:val="000000"/>
              </w:rPr>
              <w:t>（评审项22）</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D593FE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1、通过车辆监测数据，识别超期没有再次抓拍到的车辆。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2、卡口人员车辆自动识别告警应有重点时段设置功能，只有在设定的重点时段内车辆闯入才告警。</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3、应设置不同的查看和管理权限（全局总的权限和各管理站分权限）。</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4、按车型、车牌号等实现黑名单和白名单管理，只对在黑名单内或不在白名单内的车型和车牌实现告警。</w:t>
            </w:r>
          </w:p>
        </w:tc>
        <w:tc>
          <w:tcPr>
            <w:tcW w:w="559" w:type="dxa"/>
            <w:vMerge w:val="continue"/>
            <w:tcBorders>
              <w:top w:val="nil"/>
              <w:left w:val="single" w:color="000000" w:sz="4" w:space="0"/>
              <w:bottom w:val="single" w:color="000000" w:sz="4" w:space="0"/>
              <w:right w:val="single" w:color="000000" w:sz="4" w:space="0"/>
            </w:tcBorders>
          </w:tcPr>
          <w:p w14:paraId="3AFE8498">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5874628F">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7BA2171D">
            <w:pPr>
              <w:rPr>
                <w:rFonts w:hint="eastAsia" w:asciiTheme="minorEastAsia" w:hAnsiTheme="minorEastAsia" w:eastAsiaTheme="minorEastAsia" w:cstheme="minorEastAsia"/>
              </w:rPr>
            </w:pPr>
          </w:p>
        </w:tc>
      </w:tr>
      <w:tr w14:paraId="6A9D7D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628F529B">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6622A431">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0984DF1C">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28FC59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图层定制</w:t>
            </w:r>
            <w:r>
              <w:rPr>
                <w:rFonts w:hint="eastAsia" w:asciiTheme="minorEastAsia" w:hAnsiTheme="minorEastAsia" w:eastAsiaTheme="minorEastAsia" w:cstheme="minorEastAsia"/>
                <w:b/>
                <w:color w:val="000000"/>
              </w:rPr>
              <w:t>（评审项23）</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DC191E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1、导入现有图层。支持本地导入shp、kml、tpk等格式的空间数据。</w:t>
            </w:r>
          </w:p>
        </w:tc>
        <w:tc>
          <w:tcPr>
            <w:tcW w:w="559" w:type="dxa"/>
            <w:vMerge w:val="continue"/>
            <w:tcBorders>
              <w:top w:val="nil"/>
              <w:left w:val="single" w:color="000000" w:sz="4" w:space="0"/>
              <w:bottom w:val="single" w:color="000000" w:sz="4" w:space="0"/>
              <w:right w:val="single" w:color="000000" w:sz="4" w:space="0"/>
            </w:tcBorders>
          </w:tcPr>
          <w:p w14:paraId="739B5E7D">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6ABA865F">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01BA8293">
            <w:pPr>
              <w:rPr>
                <w:rFonts w:hint="eastAsia" w:asciiTheme="minorEastAsia" w:hAnsiTheme="minorEastAsia" w:eastAsiaTheme="minorEastAsia" w:cstheme="minorEastAsia"/>
              </w:rPr>
            </w:pPr>
          </w:p>
        </w:tc>
      </w:tr>
      <w:tr w14:paraId="4D6639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0" w:type="dxa"/>
            <w:vMerge w:val="continue"/>
            <w:tcBorders>
              <w:top w:val="nil"/>
              <w:left w:val="single" w:color="000000" w:sz="4" w:space="0"/>
              <w:bottom w:val="single" w:color="000000" w:sz="4" w:space="0"/>
              <w:right w:val="single" w:color="000000" w:sz="4" w:space="0"/>
            </w:tcBorders>
          </w:tcPr>
          <w:p w14:paraId="409B7B74">
            <w:pPr>
              <w:rPr>
                <w:rFonts w:hint="eastAsia" w:asciiTheme="minorEastAsia" w:hAnsiTheme="minorEastAsia" w:eastAsiaTheme="minorEastAsia" w:cstheme="minorEastAsia"/>
              </w:rPr>
            </w:pPr>
          </w:p>
        </w:tc>
        <w:tc>
          <w:tcPr>
            <w:tcW w:w="605" w:type="dxa"/>
            <w:vMerge w:val="continue"/>
            <w:tcBorders>
              <w:top w:val="nil"/>
              <w:left w:val="single" w:color="000000" w:sz="4" w:space="0"/>
              <w:bottom w:val="single" w:color="000000" w:sz="4" w:space="0"/>
              <w:right w:val="single" w:color="000000" w:sz="4" w:space="0"/>
            </w:tcBorders>
          </w:tcPr>
          <w:p w14:paraId="3CE9B12B">
            <w:pPr>
              <w:rPr>
                <w:rFonts w:hint="eastAsia" w:asciiTheme="minorEastAsia" w:hAnsiTheme="minorEastAsia" w:eastAsiaTheme="minorEastAsia" w:cstheme="minorEastAsia"/>
              </w:rPr>
            </w:pPr>
          </w:p>
        </w:tc>
        <w:tc>
          <w:tcPr>
            <w:tcW w:w="803" w:type="dxa"/>
            <w:vMerge w:val="continue"/>
            <w:tcBorders>
              <w:top w:val="nil"/>
              <w:left w:val="single" w:color="000000" w:sz="4" w:space="0"/>
              <w:bottom w:val="single" w:color="000000" w:sz="4" w:space="0"/>
              <w:right w:val="single" w:color="000000" w:sz="4" w:space="0"/>
            </w:tcBorders>
          </w:tcPr>
          <w:p w14:paraId="1B0E7249">
            <w:pPr>
              <w:rPr>
                <w:rFonts w:hint="eastAsia" w:asciiTheme="minorEastAsia" w:hAnsiTheme="minorEastAsia" w:eastAsiaTheme="minorEastAsia" w:cstheme="minorEastAsia"/>
              </w:rPr>
            </w:pPr>
          </w:p>
        </w:tc>
        <w:tc>
          <w:tcPr>
            <w:tcW w:w="78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B76994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短信预警</w:t>
            </w:r>
            <w:r>
              <w:rPr>
                <w:rFonts w:hint="eastAsia" w:asciiTheme="minorEastAsia" w:hAnsiTheme="minorEastAsia" w:eastAsiaTheme="minorEastAsia" w:cstheme="minorEastAsia"/>
                <w:b/>
                <w:color w:val="000000"/>
              </w:rPr>
              <w:t>（评审项24）</w:t>
            </w:r>
          </w:p>
        </w:tc>
        <w:tc>
          <w:tcPr>
            <w:tcW w:w="29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28CC4F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1、短信推送服务</w:t>
            </w:r>
          </w:p>
        </w:tc>
        <w:tc>
          <w:tcPr>
            <w:tcW w:w="559" w:type="dxa"/>
            <w:vMerge w:val="continue"/>
            <w:tcBorders>
              <w:top w:val="nil"/>
              <w:left w:val="single" w:color="000000" w:sz="4" w:space="0"/>
              <w:bottom w:val="single" w:color="000000" w:sz="4" w:space="0"/>
              <w:right w:val="single" w:color="000000" w:sz="4" w:space="0"/>
            </w:tcBorders>
          </w:tcPr>
          <w:p w14:paraId="2EDB2537">
            <w:pPr>
              <w:rPr>
                <w:rFonts w:hint="eastAsia" w:asciiTheme="minorEastAsia" w:hAnsiTheme="minorEastAsia" w:eastAsiaTheme="minorEastAsia" w:cstheme="minorEastAsia"/>
              </w:rPr>
            </w:pPr>
          </w:p>
        </w:tc>
        <w:tc>
          <w:tcPr>
            <w:tcW w:w="512" w:type="dxa"/>
            <w:vMerge w:val="continue"/>
            <w:tcBorders>
              <w:top w:val="nil"/>
              <w:left w:val="single" w:color="000000" w:sz="4" w:space="0"/>
              <w:bottom w:val="single" w:color="000000" w:sz="4" w:space="0"/>
              <w:right w:val="single" w:color="000000" w:sz="4" w:space="0"/>
            </w:tcBorders>
          </w:tcPr>
          <w:p w14:paraId="1FC7F221">
            <w:pPr>
              <w:rPr>
                <w:rFonts w:hint="eastAsia" w:asciiTheme="minorEastAsia" w:hAnsiTheme="minorEastAsia" w:eastAsiaTheme="minorEastAsia" w:cstheme="minorEastAsia"/>
              </w:rPr>
            </w:pPr>
          </w:p>
        </w:tc>
        <w:tc>
          <w:tcPr>
            <w:tcW w:w="705" w:type="dxa"/>
            <w:vMerge w:val="continue"/>
            <w:tcBorders>
              <w:top w:val="nil"/>
              <w:left w:val="single" w:color="000000" w:sz="4" w:space="0"/>
              <w:bottom w:val="single" w:color="000000" w:sz="4" w:space="0"/>
              <w:right w:val="single" w:color="000000" w:sz="4" w:space="0"/>
            </w:tcBorders>
          </w:tcPr>
          <w:p w14:paraId="17B76730">
            <w:pPr>
              <w:rPr>
                <w:rFonts w:hint="eastAsia" w:asciiTheme="minorEastAsia" w:hAnsiTheme="minorEastAsia" w:eastAsiaTheme="minorEastAsia" w:cstheme="minorEastAsia"/>
              </w:rPr>
            </w:pPr>
          </w:p>
        </w:tc>
      </w:tr>
    </w:tbl>
    <w:p w14:paraId="7C3B4CC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rPr>
        <w:t>系统名称:中心机房设备</w:t>
      </w:r>
    </w:p>
    <w:tbl>
      <w:tblPr>
        <w:tblStyle w:val="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89"/>
        <w:gridCol w:w="571"/>
        <w:gridCol w:w="6386"/>
        <w:gridCol w:w="390"/>
        <w:gridCol w:w="390"/>
        <w:gridCol w:w="390"/>
      </w:tblGrid>
      <w:tr w14:paraId="531FBB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B84425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序号</w:t>
            </w:r>
          </w:p>
        </w:tc>
        <w:tc>
          <w:tcPr>
            <w:tcW w:w="62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DACF25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项目名称</w:t>
            </w:r>
          </w:p>
        </w:tc>
        <w:tc>
          <w:tcPr>
            <w:tcW w:w="612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6BB123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技术参数要求</w:t>
            </w:r>
          </w:p>
        </w:tc>
        <w:tc>
          <w:tcPr>
            <w:tcW w:w="38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8ADD06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单位</w:t>
            </w:r>
          </w:p>
        </w:tc>
        <w:tc>
          <w:tcPr>
            <w:tcW w:w="38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C9F6E5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数量</w:t>
            </w:r>
          </w:p>
        </w:tc>
        <w:tc>
          <w:tcPr>
            <w:tcW w:w="38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99E928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备注</w:t>
            </w:r>
          </w:p>
        </w:tc>
      </w:tr>
      <w:tr w14:paraId="2E49AB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A131D81">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62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210ECF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算力终端</w:t>
            </w:r>
            <w:r>
              <w:rPr>
                <w:rFonts w:hint="eastAsia" w:asciiTheme="minorEastAsia" w:hAnsiTheme="minorEastAsia" w:eastAsiaTheme="minorEastAsia" w:cstheme="minorEastAsia"/>
                <w:b/>
                <w:color w:val="000000"/>
              </w:rPr>
              <w:t>（评审项25）</w:t>
            </w:r>
          </w:p>
        </w:tc>
        <w:tc>
          <w:tcPr>
            <w:tcW w:w="612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8B75D2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1、CPU支持国产24核2.6GHz*2-自带GE*4。</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2、内存</w:t>
            </w:r>
            <w:r>
              <w:rPr>
                <w:rFonts w:hint="eastAsia" w:asciiTheme="minorEastAsia" w:hAnsiTheme="minorEastAsia" w:eastAsiaTheme="minorEastAsia" w:cstheme="minorEastAsia"/>
                <w:color w:val="000000"/>
                <w:sz w:val="24"/>
              </w:rPr>
              <w:t>≥</w:t>
            </w:r>
            <w:r>
              <w:rPr>
                <w:rFonts w:hint="eastAsia" w:asciiTheme="minorEastAsia" w:hAnsiTheme="minorEastAsia" w:eastAsiaTheme="minorEastAsia" w:cstheme="minorEastAsia"/>
              </w:rPr>
              <w:t>4 * 32G 3200M DDR4 RDIMM。</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3、系统盘</w:t>
            </w:r>
            <w:r>
              <w:rPr>
                <w:rFonts w:hint="eastAsia" w:asciiTheme="minorEastAsia" w:hAnsiTheme="minorEastAsia" w:eastAsiaTheme="minorEastAsia" w:cstheme="minorEastAsia"/>
                <w:color w:val="000000"/>
                <w:sz w:val="24"/>
              </w:rPr>
              <w:t>≥</w:t>
            </w:r>
            <w:r>
              <w:rPr>
                <w:rFonts w:hint="eastAsia" w:asciiTheme="minorEastAsia" w:hAnsiTheme="minorEastAsia" w:eastAsiaTheme="minorEastAsia" w:cstheme="minorEastAsia"/>
              </w:rPr>
              <w:t>2 * 480G读密型SATA SSD，2.5转3.5英寸。</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4、数据</w:t>
            </w:r>
            <w:r>
              <w:rPr>
                <w:rFonts w:hint="eastAsia" w:asciiTheme="minorEastAsia" w:hAnsiTheme="minorEastAsia" w:cstheme="minorEastAsia"/>
                <w:lang w:val="en-US" w:eastAsia="zh-CN"/>
              </w:rPr>
              <w:t>盘</w:t>
            </w:r>
            <w:r>
              <w:rPr>
                <w:rFonts w:hint="eastAsia" w:asciiTheme="minorEastAsia" w:hAnsiTheme="minorEastAsia" w:eastAsiaTheme="minorEastAsia" w:cstheme="minorEastAsia"/>
                <w:color w:val="000000"/>
                <w:sz w:val="24"/>
              </w:rPr>
              <w:t>≥</w:t>
            </w:r>
            <w:r>
              <w:rPr>
                <w:rFonts w:hint="eastAsia" w:asciiTheme="minorEastAsia" w:hAnsiTheme="minorEastAsia" w:eastAsiaTheme="minorEastAsia" w:cstheme="minorEastAsia"/>
              </w:rPr>
              <w:t>5 * 8T SATA硬盘，7.2Krpm，3.5英寸。</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5、转接卡（提供</w:t>
            </w:r>
            <w:r>
              <w:rPr>
                <w:rFonts w:hint="eastAsia" w:asciiTheme="minorEastAsia" w:hAnsiTheme="minorEastAsia" w:eastAsiaTheme="minorEastAsia" w:cstheme="minorEastAsia"/>
                <w:color w:val="000000"/>
                <w:sz w:val="24"/>
              </w:rPr>
              <w:t>≥</w:t>
            </w:r>
            <w:r>
              <w:rPr>
                <w:rFonts w:hint="eastAsia" w:asciiTheme="minorEastAsia" w:hAnsiTheme="minorEastAsia" w:eastAsiaTheme="minorEastAsia" w:cstheme="minorEastAsia"/>
              </w:rPr>
              <w:t>3个PCIe4.0X8槽位，均支持75W以下GPU，IO模组1&amp;2适用）。</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6、阵列卡支持RAID0/1/10/5/6/50/60/JBOD）。</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7、智能卡140T INT8，48G，LP形态，72W。</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8、2 * 68mm宽900W白金AC电源。</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C0D984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910239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F83CB65">
            <w:pPr>
              <w:pStyle w:val="7"/>
              <w:jc w:val="center"/>
              <w:rPr>
                <w:rFonts w:hint="eastAsia" w:asciiTheme="minorEastAsia" w:hAnsiTheme="minorEastAsia" w:eastAsiaTheme="minorEastAsia" w:cstheme="minorEastAsia"/>
              </w:rPr>
            </w:pPr>
          </w:p>
        </w:tc>
      </w:tr>
      <w:tr w14:paraId="433D4C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453277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62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A88D431">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算力终端</w:t>
            </w:r>
            <w:r>
              <w:rPr>
                <w:rFonts w:hint="eastAsia" w:asciiTheme="minorEastAsia" w:hAnsiTheme="minorEastAsia" w:eastAsiaTheme="minorEastAsia" w:cstheme="minorEastAsia"/>
                <w:b/>
                <w:color w:val="000000"/>
              </w:rPr>
              <w:t>（评审项26）</w:t>
            </w:r>
          </w:p>
        </w:tc>
        <w:tc>
          <w:tcPr>
            <w:tcW w:w="612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55F6BB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1.CPU：配置</w:t>
            </w:r>
            <w:r>
              <w:rPr>
                <w:rFonts w:hint="eastAsia" w:asciiTheme="minorEastAsia" w:hAnsiTheme="minorEastAsia" w:eastAsiaTheme="minorEastAsia" w:cstheme="minorEastAsia"/>
                <w:color w:val="000000"/>
                <w:sz w:val="24"/>
              </w:rPr>
              <w:t>≥</w:t>
            </w:r>
            <w:r>
              <w:rPr>
                <w:rFonts w:hint="eastAsia" w:asciiTheme="minorEastAsia" w:hAnsiTheme="minorEastAsia" w:eastAsiaTheme="minorEastAsia" w:cstheme="minorEastAsia"/>
              </w:rPr>
              <w:t>2颗国产处理器，单处理器物理核心数≥8核，主频≥3.0 GHz，末级缓存容量≥16 MB，线程数≥16线程，支持内存的最高速率≥3200 MHz，通道数≥2，位宽≥64。</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2.内存：配置</w:t>
            </w:r>
            <w:r>
              <w:rPr>
                <w:rFonts w:hint="eastAsia" w:asciiTheme="minorEastAsia" w:hAnsiTheme="minorEastAsia" w:eastAsiaTheme="minorEastAsia" w:cstheme="minorEastAsia"/>
                <w:color w:val="000000"/>
                <w:sz w:val="24"/>
              </w:rPr>
              <w:t>≥</w:t>
            </w:r>
            <w:r>
              <w:rPr>
                <w:rFonts w:hint="eastAsia" w:asciiTheme="minorEastAsia" w:hAnsiTheme="minorEastAsia" w:eastAsiaTheme="minorEastAsia" w:cstheme="minorEastAsia"/>
              </w:rPr>
              <w:t>128G DDR4，8根内存插槽，最大可支持扩展至1TB。</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3.硬盘：</w:t>
            </w:r>
            <w:r>
              <w:rPr>
                <w:rFonts w:hint="eastAsia" w:asciiTheme="minorEastAsia" w:hAnsiTheme="minorEastAsia" w:eastAsiaTheme="minorEastAsia" w:cstheme="minorEastAsia"/>
                <w:color w:val="000000"/>
                <w:sz w:val="24"/>
              </w:rPr>
              <w:t>≥</w:t>
            </w:r>
            <w:r>
              <w:rPr>
                <w:rFonts w:hint="eastAsia" w:asciiTheme="minorEastAsia" w:hAnsiTheme="minorEastAsia" w:eastAsiaTheme="minorEastAsia" w:cstheme="minorEastAsia"/>
              </w:rPr>
              <w:t>2块960G SSD硬盘（Raid1），前置最大可选支持12块3.5寸(兼容2.5寸)热插拔SATA/SAS硬盘，后置最大可选支持2块2.5寸热插拔SATA/SAS硬盘，内置最大可选支持2块2.5寸非热插拔SATA SSD硬盘，板载最大可选支持1个SATA M.2硬盘。</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4.阵列卡：配置</w:t>
            </w:r>
            <w:r>
              <w:rPr>
                <w:rFonts w:hint="eastAsia" w:asciiTheme="minorEastAsia" w:hAnsiTheme="minorEastAsia" w:eastAsiaTheme="minorEastAsia" w:cstheme="minorEastAsia"/>
                <w:color w:val="000000"/>
                <w:sz w:val="24"/>
              </w:rPr>
              <w:t>≥</w:t>
            </w:r>
            <w:r>
              <w:rPr>
                <w:rFonts w:hint="eastAsia" w:asciiTheme="minorEastAsia" w:hAnsiTheme="minorEastAsia" w:eastAsiaTheme="minorEastAsia" w:cstheme="minorEastAsia"/>
              </w:rPr>
              <w:t>1张双口SATA HBA卡（支持RAID 0/1），最大支持2块SATA硬盘接入；硬盘扩容需新增阵列卡或直连主板。</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5.PCIE扩展：最大支持4个标准PCIE插槽。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6.网口：</w:t>
            </w:r>
            <w:r>
              <w:rPr>
                <w:rFonts w:hint="eastAsia" w:asciiTheme="minorEastAsia" w:hAnsiTheme="minorEastAsia" w:eastAsiaTheme="minorEastAsia" w:cstheme="minorEastAsia"/>
                <w:color w:val="000000"/>
                <w:sz w:val="24"/>
              </w:rPr>
              <w:t>≥</w:t>
            </w:r>
            <w:r>
              <w:rPr>
                <w:rFonts w:hint="eastAsia" w:asciiTheme="minorEastAsia" w:hAnsiTheme="minorEastAsia" w:eastAsiaTheme="minorEastAsia" w:cstheme="minorEastAsia"/>
              </w:rPr>
              <w:t>板载2个千兆电口，可选配置2个万兆网口，支持选配10GbE SFP+等多种网络接口。</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7.其他接口：配置≥1个IPMI RJ-45管理接口，位于机箱后部；≥7个USB 3.0接口 ≥4个位于机箱后部，≥2个位于机箱前部，≥1个位于机箱内部；≥2个VGA接口 1个位于机箱前部，1个位于机箱后部。</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75B9B5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3C19B5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515D4A9">
            <w:pPr>
              <w:pStyle w:val="7"/>
              <w:jc w:val="center"/>
              <w:rPr>
                <w:rFonts w:hint="eastAsia" w:asciiTheme="minorEastAsia" w:hAnsiTheme="minorEastAsia" w:eastAsiaTheme="minorEastAsia" w:cstheme="minorEastAsia"/>
              </w:rPr>
            </w:pPr>
          </w:p>
        </w:tc>
      </w:tr>
      <w:tr w14:paraId="217688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F95418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62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151B1A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应用终端</w:t>
            </w:r>
            <w:r>
              <w:rPr>
                <w:rFonts w:hint="eastAsia" w:asciiTheme="minorEastAsia" w:hAnsiTheme="minorEastAsia" w:eastAsiaTheme="minorEastAsia" w:cstheme="minorEastAsia"/>
                <w:b/>
                <w:color w:val="000000"/>
              </w:rPr>
              <w:t>（评审项27）</w:t>
            </w:r>
          </w:p>
        </w:tc>
        <w:tc>
          <w:tcPr>
            <w:tcW w:w="612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F4CF1A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1、CPU支持国产24核2.6GHz*2-自带GE*4。</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2、内存</w:t>
            </w:r>
            <w:r>
              <w:rPr>
                <w:rFonts w:hint="eastAsia" w:asciiTheme="minorEastAsia" w:hAnsiTheme="minorEastAsia" w:eastAsiaTheme="minorEastAsia" w:cstheme="minorEastAsia"/>
                <w:color w:val="000000"/>
                <w:sz w:val="24"/>
              </w:rPr>
              <w:t>≥</w:t>
            </w:r>
            <w:r>
              <w:rPr>
                <w:rFonts w:hint="eastAsia" w:asciiTheme="minorEastAsia" w:hAnsiTheme="minorEastAsia" w:eastAsiaTheme="minorEastAsia" w:cstheme="minorEastAsia"/>
              </w:rPr>
              <w:t>2 * 32G 3200M DDR4 RDIMM。</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3、系统盘</w:t>
            </w:r>
            <w:r>
              <w:rPr>
                <w:rFonts w:hint="eastAsia" w:asciiTheme="minorEastAsia" w:hAnsiTheme="minorEastAsia" w:eastAsiaTheme="minorEastAsia" w:cstheme="minorEastAsia"/>
                <w:color w:val="000000"/>
                <w:sz w:val="24"/>
              </w:rPr>
              <w:t>≥</w:t>
            </w:r>
            <w:r>
              <w:rPr>
                <w:rFonts w:hint="eastAsia" w:asciiTheme="minorEastAsia" w:hAnsiTheme="minorEastAsia" w:eastAsiaTheme="minorEastAsia" w:cstheme="minorEastAsia"/>
              </w:rPr>
              <w:t>2 * 480G读密型SATA SSD，2.5转3.5英寸。</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4、数据</w:t>
            </w:r>
            <w:r>
              <w:rPr>
                <w:rFonts w:hint="eastAsia" w:asciiTheme="minorEastAsia" w:hAnsiTheme="minorEastAsia" w:cstheme="minorEastAsia"/>
                <w:lang w:val="en-US" w:eastAsia="zh-CN"/>
              </w:rPr>
              <w:t>盘</w:t>
            </w:r>
            <w:r>
              <w:rPr>
                <w:rFonts w:hint="eastAsia" w:asciiTheme="minorEastAsia" w:hAnsiTheme="minorEastAsia" w:eastAsiaTheme="minorEastAsia" w:cstheme="minorEastAsia"/>
                <w:color w:val="000000"/>
                <w:sz w:val="24"/>
              </w:rPr>
              <w:t>≥</w:t>
            </w:r>
            <w:r>
              <w:rPr>
                <w:rFonts w:hint="eastAsia" w:asciiTheme="minorEastAsia" w:hAnsiTheme="minorEastAsia" w:eastAsiaTheme="minorEastAsia" w:cstheme="minorEastAsia"/>
              </w:rPr>
              <w:t>1*4T SATA硬盘，7.2Krpm，3.5英寸。</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5、阵列卡支持RAID0/1/10）。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6、2 * 68mm宽900W白金AC电源。</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0A50E6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8FD29D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51F7931">
            <w:pPr>
              <w:pStyle w:val="7"/>
              <w:jc w:val="center"/>
              <w:rPr>
                <w:rFonts w:hint="eastAsia" w:asciiTheme="minorEastAsia" w:hAnsiTheme="minorEastAsia" w:eastAsiaTheme="minorEastAsia" w:cstheme="minorEastAsia"/>
              </w:rPr>
            </w:pPr>
          </w:p>
        </w:tc>
      </w:tr>
      <w:tr w14:paraId="449565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EBA1DD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62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BFE23F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下一代防火墙</w:t>
            </w:r>
            <w:r>
              <w:rPr>
                <w:rFonts w:hint="eastAsia" w:asciiTheme="minorEastAsia" w:hAnsiTheme="minorEastAsia" w:eastAsiaTheme="minorEastAsia" w:cstheme="minorEastAsia"/>
                <w:b/>
                <w:color w:val="000000"/>
              </w:rPr>
              <w:t>（评审项28）</w:t>
            </w:r>
          </w:p>
        </w:tc>
        <w:tc>
          <w:tcPr>
            <w:tcW w:w="612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451873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rPr>
              <w:t>1、性能参数：网络层大包吞吐量（1518字节）：≥3G，IPS吞吐量：≥800M，AV吞吐量：≥800M，最大并发连接数：≥100万，最大新建连接数：≥3万；IPSec  VPN吞吐量：≥200M。接口：≥6千兆电口，≥2千兆光口SFP。含：IPS能力，≥3年软件升级和硬件质保服务。</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color w:val="000000"/>
              </w:rPr>
              <w:t>2、产品支持链路连通性检查功能，支持基于3种以上协议对链路连通性进行探测，探测协议至少包括DNS解析、ARP探测等方式。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color w:val="000000"/>
              </w:rPr>
              <w:t>3、产品支持对SMTP、HTTP、FTP、SMB、POP3等协议进行病毒防御。</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color w:val="000000"/>
              </w:rPr>
              <w:t>4、产品支持对不少于9000种应用的识别和控制，应用类型包括游戏、购物、图书百科、工作招聘、P2P下载、聊天工具、旅游出行、股票软件等类型应用进行检测与控制。</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b/>
                <w:color w:val="000000"/>
              </w:rPr>
              <w:t>（▲评审项1）</w:t>
            </w:r>
            <w:r>
              <w:rPr>
                <w:rFonts w:hint="eastAsia" w:asciiTheme="minorEastAsia" w:hAnsiTheme="minorEastAsia" w:eastAsiaTheme="minorEastAsia" w:cstheme="minorEastAsia"/>
                <w:color w:val="000000"/>
              </w:rPr>
              <w:t>▲5、产品支持独立的账号安全防护模块，具备事前账号脆弱性、事中账号爆破、事后账号失陷的全生命周期安全防护，在设备界面可以详细展示账号安全相关信息，包括风险业务、风险等级、存在账号入口、存在弱口令、遭受口令爆破、异常登录账号等。</w:t>
            </w:r>
            <w:r>
              <w:rPr>
                <w:rFonts w:hint="eastAsia" w:asciiTheme="minorEastAsia" w:hAnsiTheme="minorEastAsia" w:eastAsiaTheme="minorEastAsia" w:cstheme="minorEastAsia"/>
                <w:b/>
                <w:color w:val="000000"/>
              </w:rPr>
              <w:t>（需提供产品功能截图和“账号安全”相关软件著作权</w:t>
            </w:r>
            <w:r>
              <w:rPr>
                <w:rFonts w:hint="eastAsia" w:asciiTheme="minorEastAsia" w:hAnsiTheme="minorEastAsia" w:eastAsiaTheme="minorEastAsia" w:cstheme="minorEastAsia"/>
                <w:b/>
              </w:rPr>
              <w:t>，原件备查</w:t>
            </w:r>
            <w:r>
              <w:rPr>
                <w:rFonts w:hint="eastAsia" w:asciiTheme="minorEastAsia" w:hAnsiTheme="minorEastAsia" w:eastAsiaTheme="minorEastAsia" w:cstheme="minorEastAsia"/>
                <w:b/>
                <w:color w:val="000000"/>
              </w:rPr>
              <w:t>）</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b/>
                <w:color w:val="000000"/>
              </w:rPr>
              <w:t>（▲评审项2）</w:t>
            </w:r>
            <w:r>
              <w:rPr>
                <w:rFonts w:hint="eastAsia" w:asciiTheme="minorEastAsia" w:hAnsiTheme="minorEastAsia" w:eastAsiaTheme="minorEastAsia" w:cstheme="minorEastAsia"/>
                <w:color w:val="000000"/>
              </w:rPr>
              <w:t>▲6、支持策略生命周期管理功能，支持对安全策略修改的时间、策略、变更类型进行统一管理，便于策略的运维与管理。产品内置不低于16000种漏洞规则，同时支持在控制台界面通过漏洞ID、漏洞名称、危险等级、漏洞CVE标识等条件查询漏洞特征信息，支持用户自定义IPS规则。</w:t>
            </w:r>
            <w:r>
              <w:rPr>
                <w:rFonts w:hint="eastAsia" w:asciiTheme="minorEastAsia" w:hAnsiTheme="minorEastAsia" w:eastAsiaTheme="minorEastAsia" w:cstheme="minorEastAsia"/>
                <w:b/>
                <w:color w:val="000000"/>
              </w:rPr>
              <w:t>（需提供第三方检测报告，至少包含封面及关键功能页复印件</w:t>
            </w:r>
            <w:r>
              <w:rPr>
                <w:rFonts w:hint="eastAsia" w:asciiTheme="minorEastAsia" w:hAnsiTheme="minorEastAsia" w:eastAsiaTheme="minorEastAsia" w:cstheme="minorEastAsia"/>
                <w:b/>
              </w:rPr>
              <w:t>，原件备查</w:t>
            </w:r>
            <w:r>
              <w:rPr>
                <w:rFonts w:hint="eastAsia" w:asciiTheme="minorEastAsia" w:hAnsiTheme="minorEastAsia" w:eastAsiaTheme="minorEastAsia" w:cstheme="minorEastAsia"/>
                <w:b/>
                <w:color w:val="000000"/>
              </w:rPr>
              <w:t>）</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3D3D33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4D399C1">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1445017">
            <w:pPr>
              <w:pStyle w:val="7"/>
              <w:jc w:val="center"/>
              <w:rPr>
                <w:rFonts w:hint="eastAsia" w:asciiTheme="minorEastAsia" w:hAnsiTheme="minorEastAsia" w:eastAsiaTheme="minorEastAsia" w:cstheme="minorEastAsia"/>
              </w:rPr>
            </w:pPr>
          </w:p>
        </w:tc>
      </w:tr>
      <w:tr w14:paraId="76D9476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88FED7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62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0FEBA0F">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交换机</w:t>
            </w:r>
            <w:r>
              <w:rPr>
                <w:rFonts w:hint="eastAsia" w:asciiTheme="minorEastAsia" w:hAnsiTheme="minorEastAsia" w:eastAsiaTheme="minorEastAsia" w:cstheme="minorEastAsia"/>
                <w:b/>
                <w:color w:val="000000"/>
              </w:rPr>
              <w:t>（评审项29）</w:t>
            </w:r>
          </w:p>
        </w:tc>
        <w:tc>
          <w:tcPr>
            <w:tcW w:w="612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80C03B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 支持槽位数≥3，3个业务板槽，业务板卡集成主控能力，支持电源冗余，整机高度≤4U。</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2.支持≥24个千兆电口、≥24个千兆光口。</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 支持独立的console管理串口。</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 交换容量：≥38.4Tbps。</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 转发性能：≥7200Mpps。</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 支持802.3ad规定的链路聚合功能。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 支持MAC地址绑定功能。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8. 支持按端口划分VLAN，支持VLAN TRUNK。</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9. 支持静态路由、支持OSPFv2、支持RIPv1/v2、支持等价路由，策略路由、支持VRRP。</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10. 支持基于源MAC地址、源IP、源端口、指定协议的ACL。</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11. 支持端口镜像。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12. 支持用户的分级分权控制，可以为用户分配不同权限，每个用户只能进行其权限所允许的操作。</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13. 可以为远程连接用户提供访问控制，拒绝未通过验证的连接。</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12C55B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C4D9A1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0AF8F60">
            <w:pPr>
              <w:pStyle w:val="7"/>
              <w:jc w:val="center"/>
              <w:rPr>
                <w:rFonts w:hint="eastAsia" w:asciiTheme="minorEastAsia" w:hAnsiTheme="minorEastAsia" w:eastAsiaTheme="minorEastAsia" w:cstheme="minorEastAsia"/>
              </w:rPr>
            </w:pPr>
          </w:p>
        </w:tc>
      </w:tr>
      <w:tr w14:paraId="312EE75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C7032B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p>
        </w:tc>
        <w:tc>
          <w:tcPr>
            <w:tcW w:w="62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14FF50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网络存储设备</w:t>
            </w:r>
            <w:r>
              <w:rPr>
                <w:rFonts w:hint="eastAsia" w:asciiTheme="minorEastAsia" w:hAnsiTheme="minorEastAsia" w:eastAsiaTheme="minorEastAsia" w:cstheme="minorEastAsia"/>
                <w:b/>
                <w:color w:val="000000"/>
              </w:rPr>
              <w:t>（评审项30）</w:t>
            </w:r>
          </w:p>
        </w:tc>
        <w:tc>
          <w:tcPr>
            <w:tcW w:w="612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4515A0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rPr>
              <w:t>1. Linux存储专用操作系统，配置1颗64位多核处理器，配置</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color w:val="000000"/>
              </w:rPr>
              <w:t>16GB内存，并可扩展到</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color w:val="000000"/>
              </w:rPr>
              <w:t>64GB，可接入</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color w:val="000000"/>
              </w:rPr>
              <w:t>36块硬盘，可支持</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color w:val="000000"/>
              </w:rPr>
              <w:t>3个风扇，风扇支持热插拔并可冗余温控调速。</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color w:val="000000"/>
              </w:rPr>
              <w:t>2. 设备具有</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color w:val="000000"/>
              </w:rPr>
              <w:t>1个RS232串口/CONSOLE接口、</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color w:val="000000"/>
              </w:rPr>
              <w:t>1个VGA接口、</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color w:val="000000"/>
              </w:rPr>
              <w:t>1个HDMI、</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color w:val="000000"/>
              </w:rPr>
              <w:t>2个USB2.0接口、</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color w:val="000000"/>
              </w:rPr>
              <w:t>2个USB3.0接口、</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color w:val="000000"/>
              </w:rPr>
              <w:t>2个千兆网口、</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color w:val="000000"/>
              </w:rPr>
              <w:t>1个千兆管理网口、支持PCI-E3.0插槽，采用可热插拔1+1AC220V电源，机箱具备防尘滤网和双立柱。</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color w:val="000000"/>
              </w:rPr>
              <w:t>3. 可接入硬盘容量1TB/2TB/3TB/4TB/5TB/6TB/8TB/10TB/12TB/14TB/16TB/18TB/20TB/25TB/26TB；支持SATA或SAS接口硬盘；支持硬盘交错/分时启动。</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color w:val="000000"/>
              </w:rPr>
              <w:t>4. 可对视音频、图片、智能数据（智能行为分析录像）流进行混合直存，无须存储服务器和图片服务器的参与，平台服务器宕机时，存储业务正常。</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color w:val="000000"/>
              </w:rPr>
              <w:t>5. 支持红灯/蓝灯报警，可根据故障紧急程度分级报警，不同级别闪烁不同颜色保养灯，保养灯闪烁时长、频率可设。</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b/>
                <w:color w:val="000000"/>
              </w:rPr>
              <w:t>（▲评审项3）</w:t>
            </w:r>
            <w:r>
              <w:rPr>
                <w:rFonts w:hint="eastAsia" w:asciiTheme="minorEastAsia" w:hAnsiTheme="minorEastAsia" w:eastAsiaTheme="minorEastAsia" w:cstheme="minorEastAsia"/>
                <w:color w:val="000000"/>
              </w:rPr>
              <w:t>▲6.设备内置大模型算法引擎，支持对目标图像和自然语言的多模态大模型建模，建立目标图像和自然语言的对应关系，目标包括人、车、非机动车及其附属物品。内置图文搜索引擎，支持开放式语义检索，输入文字描述即可查找人、车、非机动车及附属物等目标；搜索文本支持32个以内文字。</w:t>
            </w:r>
            <w:r>
              <w:rPr>
                <w:rFonts w:hint="eastAsia" w:asciiTheme="minorEastAsia" w:hAnsiTheme="minorEastAsia" w:eastAsiaTheme="minorEastAsia" w:cstheme="minorEastAsia"/>
                <w:b/>
                <w:color w:val="000000"/>
              </w:rPr>
              <w:t>（需提供由公安部授权机构出具的检测报告复印件，原件备查）</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color w:val="000000"/>
              </w:rPr>
              <w:t>7. 支持独立的以文搜图应用展示界面，默认支持全通道录像检索，且通道和时间范围可设；支持搜索结果相似度自定义设置展示；支持自定义选择时间范围。</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b/>
                <w:color w:val="000000"/>
              </w:rPr>
              <w:t>（▲评审项4）</w:t>
            </w:r>
            <w:r>
              <w:rPr>
                <w:rFonts w:hint="eastAsia" w:asciiTheme="minorEastAsia" w:hAnsiTheme="minorEastAsia" w:eastAsiaTheme="minorEastAsia" w:cstheme="minorEastAsia"/>
                <w:color w:val="000000"/>
              </w:rPr>
              <w:t>▲8.支持自定义以文搜图的8个高频热词分组，组内可添加高频搜索词汇；支持用户选择高频词后，设备可自动填充描述成句。以文搜图检索结果支持以相似度、时间、通道邓条件对检出录像/图片进行排序或筛选。</w:t>
            </w:r>
            <w:r>
              <w:rPr>
                <w:rFonts w:hint="eastAsia" w:asciiTheme="minorEastAsia" w:hAnsiTheme="minorEastAsia" w:eastAsiaTheme="minorEastAsia" w:cstheme="minorEastAsia"/>
                <w:b/>
                <w:color w:val="000000"/>
              </w:rPr>
              <w:t>（需提供由公安部授权机构出具的检测报告复印件，原件备查）</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color w:val="000000"/>
              </w:rPr>
              <w:t>9. 支持将搜索内容添加到历史记录，历史检索词条保持最近10条，通过直接点击该高频热词或历史记录可直接进行重复检索。</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470B636">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9EF9B6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A8F59F5">
            <w:pPr>
              <w:pStyle w:val="7"/>
              <w:jc w:val="center"/>
              <w:rPr>
                <w:rFonts w:hint="eastAsia" w:asciiTheme="minorEastAsia" w:hAnsiTheme="minorEastAsia" w:eastAsiaTheme="minorEastAsia" w:cstheme="minorEastAsia"/>
              </w:rPr>
            </w:pPr>
          </w:p>
        </w:tc>
      </w:tr>
      <w:tr w14:paraId="1F8AB4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AFEA42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p>
        </w:tc>
        <w:tc>
          <w:tcPr>
            <w:tcW w:w="62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5E57F4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硬盘</w:t>
            </w:r>
            <w:r>
              <w:rPr>
                <w:rFonts w:hint="eastAsia" w:asciiTheme="minorEastAsia" w:hAnsiTheme="minorEastAsia" w:eastAsiaTheme="minorEastAsia" w:cstheme="minorEastAsia"/>
                <w:b/>
                <w:color w:val="000000"/>
              </w:rPr>
              <w:t>（评审项31）</w:t>
            </w:r>
          </w:p>
        </w:tc>
        <w:tc>
          <w:tcPr>
            <w:tcW w:w="612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886942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1.≥12TB容量，3.5英寸，SATA3.0接口，7200RPM。</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B83010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块</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04B6C8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18</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1363008">
            <w:pPr>
              <w:pStyle w:val="7"/>
              <w:jc w:val="center"/>
              <w:rPr>
                <w:rFonts w:hint="eastAsia" w:asciiTheme="minorEastAsia" w:hAnsiTheme="minorEastAsia" w:eastAsiaTheme="minorEastAsia" w:cstheme="minorEastAsia"/>
              </w:rPr>
            </w:pPr>
          </w:p>
        </w:tc>
      </w:tr>
      <w:tr w14:paraId="39D5BC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D5FD12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8</w:t>
            </w:r>
          </w:p>
        </w:tc>
        <w:tc>
          <w:tcPr>
            <w:tcW w:w="62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9B4E94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防火大模型终端</w:t>
            </w:r>
            <w:r>
              <w:rPr>
                <w:rFonts w:hint="eastAsia" w:asciiTheme="minorEastAsia" w:hAnsiTheme="minorEastAsia" w:eastAsiaTheme="minorEastAsia" w:cstheme="minorEastAsia"/>
                <w:b/>
                <w:color w:val="000000"/>
              </w:rPr>
              <w:t>（评审项32）</w:t>
            </w:r>
          </w:p>
        </w:tc>
        <w:tc>
          <w:tcPr>
            <w:tcW w:w="612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50D784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1.处理器：配置不低于2颗国产处理器，每颗处理器核数≥24核，主频≥2.6GHz。</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2.内存：配置不低于192G DDR4；最大支持16根内存插槽。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3.硬盘：配置不低于3个480G SSD硬盘、1个8T SATA硬盘；最多 16 个 3.5 英寸或 27 个 2.5 英寸 SAS/SATA HDD 硬盘。</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4.独显&amp;GPU扩展：配置不低于1张Atlas 300V Pro(48GB)加速卡；可选支持最多8张半长单宽显卡或GPU卡。</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5.阵列卡：配置不低于1张RAID 4G卡, 支持RAID 0/1/5/6/10/50/60 ，可选支持断电保护。</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6.网口：配置不低于4个千兆电口；板载1个RJ45 系统管理端口；最大可支持2个板载网络插卡，每个插卡支持4*GE电口或者4*10GE光口或者4*25GE光口。</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7.PCI E扩展槽：最大可支持9个PCIe 4.0接口扩展插槽，其中8 个为标准的PCIe 扩展槽位， 1 个为 RAID 扣卡专用扩展槽位。</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8.电源：配置不低于900W(1+1)冗余电源；可选支持2个热插拔 2000W电源模块，支持1+1冗余。</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9.其它端口：前面板提供不低于 2 个 USB 3.0 端口、1 个 DB15 VGA 端口；后面板提供 2 个 USB 3.0 端口、1 个 DB15 VGA 端口、1 个RJ45 串口。</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0E474B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15DF1B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EC536B6">
            <w:pPr>
              <w:pStyle w:val="7"/>
              <w:jc w:val="center"/>
              <w:rPr>
                <w:rFonts w:hint="eastAsia" w:asciiTheme="minorEastAsia" w:hAnsiTheme="minorEastAsia" w:eastAsiaTheme="minorEastAsia" w:cstheme="minorEastAsia"/>
              </w:rPr>
            </w:pPr>
          </w:p>
        </w:tc>
      </w:tr>
      <w:tr w14:paraId="47EEF94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AC03FB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9</w:t>
            </w:r>
          </w:p>
        </w:tc>
        <w:tc>
          <w:tcPr>
            <w:tcW w:w="62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558D2C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边缘计算终端</w:t>
            </w:r>
            <w:r>
              <w:rPr>
                <w:rFonts w:hint="eastAsia" w:asciiTheme="minorEastAsia" w:hAnsiTheme="minorEastAsia" w:eastAsiaTheme="minorEastAsia" w:cstheme="minorEastAsia"/>
                <w:b/>
                <w:color w:val="000000"/>
              </w:rPr>
              <w:t>（评审项33）</w:t>
            </w:r>
          </w:p>
        </w:tc>
        <w:tc>
          <w:tcPr>
            <w:tcW w:w="612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FB1FCC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 具有≥2个HDMI接口、≥2个VGA接口、≥1个CVBS接口、≥2个RJ45千兆网络接口、≥2个USB2.0接口、≥2个USB3.0接口、≥1个RS232接口、≥1个RS485接口（可接入RS485键盘）、≥1个eSata接口；具有≥1路音频输入接口、≥2路音频输出接口、≥16路报警输入接口、≥9路报警输出接口（其中第9路支持受控直流12V输出）、具有≥1路直流12V输出接口（12V 1A）；可内置≥8块SATA接口硬盘。</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 设备支持以文搜图功能，可通过文字语义描述，快速检索目标对象或内容；并可基于以文搜图快速检索的结果，对目标进行图搜的二次精准检索定位。</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 支持独立的以文搜图应用展示界面，默认支持全通道录像检索，且通道和时间范围可设；支持自定义选择时间范围，可快速选择1天、3天、7天。</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 支持对智能IPC上报的人体，车辆等目标进行多模态大模型的建模并生成特征模型，也可接入普通IPC分析建模。</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 支持对人体、车辆、非机动车、物品、动物等类型的检索。</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 支持将搜索内容添加到历史记录，历史检索词条保持最近10条，通过直接点击该高频热词或历史记录可直接进行重复检索。</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 设备支持独立的智能以文搜图应用模块，应用内置以文搜图高频热词，如：人的上衣颜色、下装颜色、随身物品、性别；车的颜色、类型、品牌；其他的抽烟、打电话、玩手机等，支持用户选择高频词后，设备可自动填充描述成句。</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8. 支持常规距离、中距离、远距离三种检测模式；根据不同的检测距离，在配置界面给出最小可检出人体目标尺寸，单个通道最多同时支持 4 种周界报警模式，每种模式最多同时支持 4 个警戒区域。</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9. 支持基础周界报警/大模型周界报警过滤功能，对IPC上报越界侦测报警和区域入侵报警进行去误报，在特定条件下，可去除由树叶、灯光、车辆、阴影以及小动物引起的误报。支持设置检测目标类型，包括人体、车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10. 周界大模型支持视频分析、图片分析、图片二次分析过滤。</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11. 支持手动选择开启周界大模型，启用后可将周界报警误报降低99%。</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6F2FD9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CBDFD7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11CE04E">
            <w:pPr>
              <w:pStyle w:val="7"/>
              <w:jc w:val="center"/>
              <w:rPr>
                <w:rFonts w:hint="eastAsia" w:asciiTheme="minorEastAsia" w:hAnsiTheme="minorEastAsia" w:eastAsiaTheme="minorEastAsia" w:cstheme="minorEastAsia"/>
              </w:rPr>
            </w:pPr>
          </w:p>
        </w:tc>
      </w:tr>
      <w:tr w14:paraId="106E8B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4149E1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10</w:t>
            </w:r>
          </w:p>
        </w:tc>
        <w:tc>
          <w:tcPr>
            <w:tcW w:w="62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E1D7811">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硬盘</w:t>
            </w:r>
            <w:r>
              <w:rPr>
                <w:rFonts w:hint="eastAsia" w:asciiTheme="minorEastAsia" w:hAnsiTheme="minorEastAsia" w:eastAsiaTheme="minorEastAsia" w:cstheme="minorEastAsia"/>
                <w:b/>
                <w:color w:val="000000"/>
              </w:rPr>
              <w:t>（评审项34）</w:t>
            </w:r>
          </w:p>
        </w:tc>
        <w:tc>
          <w:tcPr>
            <w:tcW w:w="612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788836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1.≥6TB容量，3.5英寸，SATA3.0接口，5400RPM。</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216199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块</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1D8CC8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DB1DF74">
            <w:pPr>
              <w:pStyle w:val="7"/>
              <w:jc w:val="center"/>
              <w:rPr>
                <w:rFonts w:hint="eastAsia" w:asciiTheme="minorEastAsia" w:hAnsiTheme="minorEastAsia" w:eastAsiaTheme="minorEastAsia" w:cstheme="minorEastAsia"/>
              </w:rPr>
            </w:pPr>
          </w:p>
        </w:tc>
      </w:tr>
      <w:tr w14:paraId="003E0A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CB40E2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11</w:t>
            </w:r>
          </w:p>
        </w:tc>
        <w:tc>
          <w:tcPr>
            <w:tcW w:w="62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769621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内网智感探测工具系统</w:t>
            </w:r>
            <w:r>
              <w:rPr>
                <w:rFonts w:hint="eastAsia" w:asciiTheme="minorEastAsia" w:hAnsiTheme="minorEastAsia" w:eastAsiaTheme="minorEastAsia" w:cstheme="minorEastAsia"/>
                <w:b/>
                <w:color w:val="000000"/>
              </w:rPr>
              <w:t>（评审项35）</w:t>
            </w:r>
          </w:p>
        </w:tc>
        <w:tc>
          <w:tcPr>
            <w:tcW w:w="612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58753B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1、标准1U机架设备，国产CPU,内嵌国密芯片包含SM1/SM2/SM3/SM4/SM7算法， ≥4*GE（电）2*GE（COMBO光电复用），≥8G内存条，支持三年的软件更新服务、产品包修服务。</w:t>
            </w:r>
          </w:p>
          <w:p w14:paraId="3A1968F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产品具备总览显示功能。支持IP状态统计，包含：在线、离线、未分配、新发现、状态变更、僵尸资源等；支持IP使用率排行，包含：子网地址、IP使用率、最大主机数、未分配IP数、在线IP数、新发现IP数、状态变更IP数、保留IP等；支持IP状态展示，可显示各网段IP状态数量统计，包含：在线、离线、未分配、新发现、状态变更、僵尸资源、平台IP、陷阱IP、预警等；支持IP端口变更记录展示，具体信息包含：变更时间、IP、资源名称、变更内容等。</w:t>
            </w:r>
          </w:p>
          <w:p w14:paraId="6E4D092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3、具备IP地址管理功能。支持添加分类，可自定义分类名称、分类图标；支持添加子网，可关联所属分类，可自定义子网名称、子网地址、VLAN ID、保留IP、备注等，可设置IP发现周期、端口发现周期、僵尸资源判断条件，可设置定期扫描和变更审计。</w:t>
            </w:r>
          </w:p>
          <w:p w14:paraId="0A38471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color w:val="000000"/>
              </w:rPr>
              <w:t>（▲评审项5）</w:t>
            </w:r>
            <w:r>
              <w:rPr>
                <w:rFonts w:hint="eastAsia" w:asciiTheme="minorEastAsia" w:hAnsiTheme="minorEastAsia" w:eastAsiaTheme="minorEastAsia" w:cstheme="minorEastAsia"/>
              </w:rPr>
              <w:t>▲4、支持资源展示功能。展示字段包含：子网地址、子网名称、最新扫描时间、VLAN ID、保留IP、备注、IP使用率、最大主机数、未分配IP数、在线IP数、离线IP数、新发现IP数、状态变更IP数、保留IP数，支持对展示的资源进行编辑或是扫描，可按关键词、条件设置进行对应资源的搜索。</w:t>
            </w:r>
            <w:r>
              <w:rPr>
                <w:rFonts w:hint="eastAsia" w:asciiTheme="minorEastAsia" w:hAnsiTheme="minorEastAsia" w:eastAsiaTheme="minorEastAsia" w:cstheme="minorEastAsia"/>
                <w:b/>
              </w:rPr>
              <w:t>（须提供国家认可第三方检测机构出具的检测报告复印件佐证</w:t>
            </w:r>
            <w:r>
              <w:rPr>
                <w:rFonts w:hint="eastAsia" w:asciiTheme="minorEastAsia" w:hAnsiTheme="minorEastAsia" w:eastAsiaTheme="minorEastAsia" w:cstheme="minorEastAsia"/>
                <w:b/>
                <w:color w:val="000000"/>
              </w:rPr>
              <w:t>，原件备查</w:t>
            </w:r>
            <w:r>
              <w:rPr>
                <w:rFonts w:hint="eastAsia" w:asciiTheme="minorEastAsia" w:hAnsiTheme="minorEastAsia" w:eastAsiaTheme="minorEastAsia" w:cstheme="minorEastAsia"/>
                <w:b/>
              </w:rPr>
              <w:t>）</w:t>
            </w:r>
          </w:p>
          <w:p w14:paraId="0D42F1D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color w:val="000000"/>
              </w:rPr>
              <w:t>（▲评审项6）</w:t>
            </w:r>
            <w:r>
              <w:rPr>
                <w:rFonts w:hint="eastAsia" w:asciiTheme="minorEastAsia" w:hAnsiTheme="minorEastAsia" w:eastAsiaTheme="minorEastAsia" w:cstheme="minorEastAsia"/>
              </w:rPr>
              <w:t>▲5、具备网络设置功能。支持对物理接口和子接口进行网络配置，包含VLAN ID、IP地址、子网掩码、网关；支持网络诊断功能，可通过Ping、traceroute、nslookup等网络工具进行故障排查。</w:t>
            </w:r>
            <w:r>
              <w:rPr>
                <w:rFonts w:hint="eastAsia" w:asciiTheme="minorEastAsia" w:hAnsiTheme="minorEastAsia" w:eastAsiaTheme="minorEastAsia" w:cstheme="minorEastAsia"/>
                <w:b/>
              </w:rPr>
              <w:t>（须提供国家认可第三方检测机构出具的检测报告复印件佐证</w:t>
            </w:r>
            <w:r>
              <w:rPr>
                <w:rFonts w:hint="eastAsia" w:asciiTheme="minorEastAsia" w:hAnsiTheme="minorEastAsia" w:eastAsiaTheme="minorEastAsia" w:cstheme="minorEastAsia"/>
                <w:b/>
                <w:color w:val="000000"/>
              </w:rPr>
              <w:t>，原件备查</w:t>
            </w:r>
            <w:r>
              <w:rPr>
                <w:rFonts w:hint="eastAsia" w:asciiTheme="minorEastAsia" w:hAnsiTheme="minorEastAsia" w:eastAsiaTheme="minorEastAsia" w:cstheme="minorEastAsia"/>
                <w:b/>
              </w:rPr>
              <w:t>）</w:t>
            </w:r>
          </w:p>
          <w:p w14:paraId="0C385E3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6、支持路由表查询功能，可查看本地路由表信息。</w:t>
            </w:r>
          </w:p>
          <w:p w14:paraId="24452A7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7、支持系统信息展示，包含：系统名称、系统版本、序列号、运行时间、logo图片等，可自定义设置展示信息；支持查看审计日志，日志信息包含：操作时间、操作账号、IP、日志类型、日志详情等，可通过关键词、起止时间进行对应日志检索。</w:t>
            </w:r>
          </w:p>
          <w:p w14:paraId="42C7C5D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8、支持在线设备关机、重启等操作，并记录对应的系统日志，包含：操作时间、操作账号、操作类型等；支持在线版本升级，并记录对应的升级日志，包含：操作时间、操作账号、升级文件、版本号、版本说明等。</w:t>
            </w:r>
          </w:p>
          <w:p w14:paraId="73A7E0F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9、支持IP地址管理、威胁诱捕、质保服务等功能模块的授权管理，并记录对应的授权日志，包含：操作时间、操作账号、模块名称、授权状态、授权时间等。</w:t>
            </w:r>
          </w:p>
          <w:p w14:paraId="70422DB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color w:val="000000"/>
              </w:rPr>
              <w:t>（现场演示1）</w:t>
            </w:r>
            <w:r>
              <w:rPr>
                <w:rFonts w:hint="eastAsia" w:asciiTheme="minorEastAsia" w:hAnsiTheme="minorEastAsia" w:eastAsiaTheme="minorEastAsia" w:cstheme="minorEastAsia"/>
              </w:rPr>
              <w:t>10、支持IP资源发现功能。支持通过扫描配置进行IP资源发现，包含主动扫描技术、SNMP发现技术，支持通过快速扫描、标准扫描、慢速扫描等多种扫描模式并结合常用端口、全端口以及自定义端口的方式对端口资源进行发现。</w:t>
            </w:r>
          </w:p>
          <w:p w14:paraId="6B9C9E1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color w:val="000000"/>
              </w:rPr>
              <w:t>（现场演示2）</w:t>
            </w:r>
            <w:r>
              <w:rPr>
                <w:rFonts w:hint="eastAsia" w:asciiTheme="minorEastAsia" w:hAnsiTheme="minorEastAsia" w:eastAsiaTheme="minorEastAsia" w:cstheme="minorEastAsia"/>
              </w:rPr>
              <w:t>11、支持自定义模拟不少于50个陷阱IP和模拟不少于50个陷阱端口服务，并对诱捕到的攻击行为进行记录；支持对攻击源IP的首次发现时间、最新发现时间、源IP、源地点、陷阱IP、诱捕次数字段信息进行展示；支持按起止时间、关键词进行诱捕攻击行为进行检索展示。</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4AFF6E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3E82F2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8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C2A4C24">
            <w:pPr>
              <w:pStyle w:val="7"/>
              <w:jc w:val="center"/>
              <w:rPr>
                <w:rFonts w:hint="eastAsia" w:asciiTheme="minorEastAsia" w:hAnsiTheme="minorEastAsia" w:eastAsiaTheme="minorEastAsia" w:cstheme="minorEastAsia"/>
              </w:rPr>
            </w:pPr>
          </w:p>
        </w:tc>
      </w:tr>
    </w:tbl>
    <w:p w14:paraId="3FF161E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rPr>
        <w:t>系统名称:卡口</w:t>
      </w:r>
    </w:p>
    <w:tbl>
      <w:tblPr>
        <w:tblStyle w:val="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11"/>
        <w:gridCol w:w="1010"/>
        <w:gridCol w:w="5468"/>
        <w:gridCol w:w="411"/>
        <w:gridCol w:w="411"/>
        <w:gridCol w:w="411"/>
      </w:tblGrid>
      <w:tr w14:paraId="0486E0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F00BE6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序号</w:t>
            </w:r>
          </w:p>
        </w:tc>
        <w:tc>
          <w:tcPr>
            <w:tcW w:w="62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5314CE6">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项目名称</w:t>
            </w:r>
          </w:p>
        </w:tc>
        <w:tc>
          <w:tcPr>
            <w:tcW w:w="546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DA838E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技术参数要求</w:t>
            </w:r>
          </w:p>
        </w:tc>
        <w:tc>
          <w:tcPr>
            <w:tcW w:w="3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344D241">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单位</w:t>
            </w:r>
          </w:p>
        </w:tc>
        <w:tc>
          <w:tcPr>
            <w:tcW w:w="3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55EAEE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数量</w:t>
            </w:r>
          </w:p>
        </w:tc>
        <w:tc>
          <w:tcPr>
            <w:tcW w:w="32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D466AF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备注</w:t>
            </w:r>
          </w:p>
        </w:tc>
      </w:tr>
      <w:tr w14:paraId="1155E9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4688DC6">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62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BBE716F">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卡口抓拍单元</w:t>
            </w:r>
            <w:r>
              <w:rPr>
                <w:rFonts w:hint="eastAsia" w:asciiTheme="minorEastAsia" w:hAnsiTheme="minorEastAsia" w:eastAsiaTheme="minorEastAsia" w:cstheme="minorEastAsia"/>
                <w:b/>
                <w:color w:val="000000"/>
              </w:rPr>
              <w:t>（评审项36）（核心产品）</w:t>
            </w:r>
          </w:p>
        </w:tc>
        <w:tc>
          <w:tcPr>
            <w:tcW w:w="54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E917BC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 内置不小于1英寸高帧率彩色全局曝光CMOS高清智能摄像机。</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 由摄像机、高清镜头、室外防护罩、风扇、补光灯、电源适配器、安装万向节组成，采用AC220V供电。</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 支持视频分辨率设置为：50fps：4096×2160、3840×2336、1920×1080、1600×1200、1280×720；25fps：4096×2160、3840×2336、1920×1080、1600×1200、1280×720。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4.支持≥37块感兴趣区域（ROI）增强编码设置功能，ROI区域压缩比在0~100范围内可设置。</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 车身颜色识别功能检查 ：支持识别不少于 39 种车身颜色，包括白、黑、红、黄、灰、蓝、绿、粉、紫、暗紫、棕、栗色、银灰、暗灰、白烟、深橙、浅玫瑰、番茄红、橄榄、金、暗橄榄、黄绿、绿黄、森林绿、海洋绿、深天蓝、青、深蓝、深红、深绿、深黄、深粉、深紫、深棕、深青、橙、深金、粉红、其他。</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 支持识别车身副颜色。</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 xml:space="preserve">7. 车牌识别功能检查 ：支持对25×10 像素～1100×3000 像素的机动车车牌进行抓拍并识别号码。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 xml:space="preserve">8. 支持抓拍并识别垂直倾斜角度≤45°、水平倾斜角度≤35°、俯仰角度≤40°的机动车车牌号码。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 xml:space="preserve">9. 支持检测并跟踪指定区域内不少于 245 个目标，目标包括机动车、非机动车以及行人。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10. 车支持车辆子品牌识别，对车头图片进行分析抓拍，可分析输出OSD叠加7200种车辆子品牌并显示相应的年款，对车尾图片进行分析抓拍，可分析输出 OSD 叠加3900 种车辆子品牌并显示相应的年款。</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11. 信支持通过视频检测信号灯状态，支持接收信号机广播的信号灯状态，通过对比判断信号灯的整体运行状况，可在视频预览画面上叠加信号机异常的结果指标。</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12. 在成像清晰场景,支持道路塌陷检测、车辆轨迹消失报警事件。</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13. 支持自动清除附着在镜头上的灰尘、雨滴、泥污等异物。</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06D97E7">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0DD9C7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15</w:t>
            </w:r>
          </w:p>
        </w:tc>
        <w:tc>
          <w:tcPr>
            <w:tcW w:w="32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89ED992">
            <w:pPr>
              <w:pStyle w:val="7"/>
              <w:jc w:val="center"/>
              <w:rPr>
                <w:rFonts w:hint="eastAsia" w:asciiTheme="minorEastAsia" w:hAnsiTheme="minorEastAsia" w:eastAsiaTheme="minorEastAsia" w:cstheme="minorEastAsia"/>
              </w:rPr>
            </w:pPr>
          </w:p>
        </w:tc>
      </w:tr>
      <w:tr w14:paraId="104FAD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939C50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62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41FFE3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闪光灯</w:t>
            </w:r>
            <w:r>
              <w:rPr>
                <w:rFonts w:hint="eastAsia" w:asciiTheme="minorEastAsia" w:hAnsiTheme="minorEastAsia" w:eastAsiaTheme="minorEastAsia" w:cstheme="minorEastAsia"/>
                <w:b/>
                <w:color w:val="000000"/>
              </w:rPr>
              <w:t>（评审项37）</w:t>
            </w:r>
          </w:p>
        </w:tc>
        <w:tc>
          <w:tcPr>
            <w:tcW w:w="54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2F0F79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 符合GA/T 1202-2022《交通技术监控成像补光装置通用技术条件》二级要求。</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 色温5500±500k。</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 回电时间应≤50ms。</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 曝光指数试验：≤64NG。</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 在-40℃~80℃温度范围内均能正常工作。</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 防护等级</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IP66。</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B68E49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个</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C37B38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13</w:t>
            </w:r>
          </w:p>
        </w:tc>
        <w:tc>
          <w:tcPr>
            <w:tcW w:w="32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DE15D9A">
            <w:pPr>
              <w:pStyle w:val="7"/>
              <w:jc w:val="center"/>
              <w:rPr>
                <w:rFonts w:hint="eastAsia" w:asciiTheme="minorEastAsia" w:hAnsiTheme="minorEastAsia" w:eastAsiaTheme="minorEastAsia" w:cstheme="minorEastAsia"/>
              </w:rPr>
            </w:pPr>
          </w:p>
        </w:tc>
      </w:tr>
      <w:tr w14:paraId="69E11F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480E53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62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CF5E06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补光灯</w:t>
            </w:r>
            <w:r>
              <w:rPr>
                <w:rFonts w:hint="eastAsia" w:asciiTheme="minorEastAsia" w:hAnsiTheme="minorEastAsia" w:eastAsiaTheme="minorEastAsia" w:cstheme="minorEastAsia"/>
                <w:b/>
                <w:color w:val="000000"/>
              </w:rPr>
              <w:t>（评审项38）</w:t>
            </w:r>
          </w:p>
        </w:tc>
        <w:tc>
          <w:tcPr>
            <w:tcW w:w="54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3529B8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1.光源类型：</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16颗原装大功率LED。</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2.发光角度≤12°。</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3.补光距离16米～25米。</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4.响应时间小于20us。</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5.触发方式： 高电平有效（可选配开关量触发）。</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6.触发信号：频率1~250HZ，占空比1%~39%。</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7.外壳材质金属铝。</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8.设备防护等级≥IP66。</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3E19A3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个</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EA881FF">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13</w:t>
            </w:r>
          </w:p>
        </w:tc>
        <w:tc>
          <w:tcPr>
            <w:tcW w:w="32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E4D0BD4">
            <w:pPr>
              <w:pStyle w:val="7"/>
              <w:jc w:val="center"/>
              <w:rPr>
                <w:rFonts w:hint="eastAsia" w:asciiTheme="minorEastAsia" w:hAnsiTheme="minorEastAsia" w:eastAsiaTheme="minorEastAsia" w:cstheme="minorEastAsia"/>
              </w:rPr>
            </w:pPr>
          </w:p>
        </w:tc>
      </w:tr>
      <w:tr w14:paraId="2ADE35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1C5BB5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62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E0A521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八角杆6.5-3</w:t>
            </w:r>
            <w:r>
              <w:rPr>
                <w:rFonts w:hint="eastAsia" w:asciiTheme="minorEastAsia" w:hAnsiTheme="minorEastAsia" w:eastAsiaTheme="minorEastAsia" w:cstheme="minorEastAsia"/>
                <w:b/>
                <w:color w:val="000000"/>
              </w:rPr>
              <w:t>（评审项39）</w:t>
            </w:r>
          </w:p>
        </w:tc>
        <w:tc>
          <w:tcPr>
            <w:tcW w:w="54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1D0146B">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立柱：</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（280-220）*6*6500  悬臂：</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（90-130）*4*3000  法兰</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500*16含预埋件预埋件</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8根M24螺栓高度</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1200mm，表面热镀锌处理喷塑。</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A74E347">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根</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612513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p>
        </w:tc>
        <w:tc>
          <w:tcPr>
            <w:tcW w:w="32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5E0FB96">
            <w:pPr>
              <w:pStyle w:val="7"/>
              <w:jc w:val="center"/>
              <w:rPr>
                <w:rFonts w:hint="eastAsia" w:asciiTheme="minorEastAsia" w:hAnsiTheme="minorEastAsia" w:eastAsiaTheme="minorEastAsia" w:cstheme="minorEastAsia"/>
              </w:rPr>
            </w:pPr>
          </w:p>
        </w:tc>
      </w:tr>
      <w:tr w14:paraId="0E18B2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452ED2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62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3A6EE80">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八角杆6.5-4.5</w:t>
            </w:r>
            <w:r>
              <w:rPr>
                <w:rFonts w:hint="eastAsia" w:asciiTheme="minorEastAsia" w:hAnsiTheme="minorEastAsia" w:eastAsiaTheme="minorEastAsia" w:cstheme="minorEastAsia"/>
                <w:b/>
                <w:color w:val="000000"/>
              </w:rPr>
              <w:t>（评审项40）</w:t>
            </w:r>
          </w:p>
        </w:tc>
        <w:tc>
          <w:tcPr>
            <w:tcW w:w="54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33B7F71">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立柱：</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（280-220）*6*6500  悬臂：</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（90-145）*4*4500  法兰</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500*16含预埋件预埋件</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8根M24螺栓高度</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1200mm，表面热镀锌处理喷塑。</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E74D6A0">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根</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28C8FD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2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F550C74">
            <w:pPr>
              <w:pStyle w:val="7"/>
              <w:jc w:val="center"/>
              <w:rPr>
                <w:rFonts w:hint="eastAsia" w:asciiTheme="minorEastAsia" w:hAnsiTheme="minorEastAsia" w:eastAsiaTheme="minorEastAsia" w:cstheme="minorEastAsia"/>
              </w:rPr>
            </w:pPr>
          </w:p>
        </w:tc>
      </w:tr>
      <w:tr w14:paraId="58AC19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2EF9FF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p>
        </w:tc>
        <w:tc>
          <w:tcPr>
            <w:tcW w:w="62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57AD36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八角杆6.5-7</w:t>
            </w:r>
            <w:r>
              <w:rPr>
                <w:rFonts w:hint="eastAsia" w:asciiTheme="minorEastAsia" w:hAnsiTheme="minorEastAsia" w:eastAsiaTheme="minorEastAsia" w:cstheme="minorEastAsia"/>
                <w:b/>
                <w:color w:val="000000"/>
              </w:rPr>
              <w:t>（评审项41）</w:t>
            </w:r>
          </w:p>
        </w:tc>
        <w:tc>
          <w:tcPr>
            <w:tcW w:w="54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9ADF682">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立柱：</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（280-220）*6*6500  悬臂：</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（90-170）*4*7000  法兰</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500*16含预埋件预埋件</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8根M24螺栓高度</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1200mm，表面热镀锌处理喷塑。</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5482766">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根</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2EDB69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2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BFE34EC">
            <w:pPr>
              <w:pStyle w:val="7"/>
              <w:jc w:val="center"/>
              <w:rPr>
                <w:rFonts w:hint="eastAsia" w:asciiTheme="minorEastAsia" w:hAnsiTheme="minorEastAsia" w:eastAsiaTheme="minorEastAsia" w:cstheme="minorEastAsia"/>
              </w:rPr>
            </w:pPr>
          </w:p>
        </w:tc>
      </w:tr>
      <w:tr w14:paraId="4AA335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A9E1080">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p>
        </w:tc>
        <w:tc>
          <w:tcPr>
            <w:tcW w:w="62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C8D3AF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八角杆6.5-T5.5</w:t>
            </w:r>
            <w:r>
              <w:rPr>
                <w:rFonts w:hint="eastAsia" w:asciiTheme="minorEastAsia" w:hAnsiTheme="minorEastAsia" w:eastAsiaTheme="minorEastAsia" w:cstheme="minorEastAsia"/>
                <w:b/>
                <w:color w:val="000000"/>
              </w:rPr>
              <w:t>（评审项42）</w:t>
            </w:r>
          </w:p>
        </w:tc>
        <w:tc>
          <w:tcPr>
            <w:tcW w:w="54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DDEF91B">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立柱：</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（300-240）*6*6500  悬臂：</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（90-160）*4*5500  法兰</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500*16含预埋件预埋件</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8根M24螺栓高度</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1200mm，表面热镀锌处理喷塑。</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9FE3B8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根</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7F1787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2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C0B76F9">
            <w:pPr>
              <w:pStyle w:val="7"/>
              <w:jc w:val="center"/>
              <w:rPr>
                <w:rFonts w:hint="eastAsia" w:asciiTheme="minorEastAsia" w:hAnsiTheme="minorEastAsia" w:eastAsiaTheme="minorEastAsia" w:cstheme="minorEastAsia"/>
              </w:rPr>
            </w:pPr>
          </w:p>
        </w:tc>
      </w:tr>
      <w:tr w14:paraId="371B38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611DA6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8</w:t>
            </w:r>
          </w:p>
        </w:tc>
        <w:tc>
          <w:tcPr>
            <w:tcW w:w="62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059C12F">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八角杆6.5-5</w:t>
            </w:r>
            <w:r>
              <w:rPr>
                <w:rFonts w:hint="eastAsia" w:asciiTheme="minorEastAsia" w:hAnsiTheme="minorEastAsia" w:eastAsiaTheme="minorEastAsia" w:cstheme="minorEastAsia"/>
                <w:b/>
                <w:color w:val="000000"/>
              </w:rPr>
              <w:t>（评审项43）</w:t>
            </w:r>
          </w:p>
        </w:tc>
        <w:tc>
          <w:tcPr>
            <w:tcW w:w="54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276E2C3">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立柱：</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（300-240）*6*6500  悬臂：</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（90-160）*4*5000  法兰</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500*16含预埋件预埋件</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8根M24螺栓高度</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1200mm，表面热镀锌处理喷塑。</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39478F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根</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EE11B1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2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73006CB">
            <w:pPr>
              <w:pStyle w:val="7"/>
              <w:jc w:val="center"/>
              <w:rPr>
                <w:rFonts w:hint="eastAsia" w:asciiTheme="minorEastAsia" w:hAnsiTheme="minorEastAsia" w:eastAsiaTheme="minorEastAsia" w:cstheme="minorEastAsia"/>
              </w:rPr>
            </w:pPr>
          </w:p>
        </w:tc>
      </w:tr>
      <w:tr w14:paraId="711FD1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FA530B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9</w:t>
            </w:r>
          </w:p>
        </w:tc>
        <w:tc>
          <w:tcPr>
            <w:tcW w:w="62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376135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w:t>
            </w:r>
            <w:r>
              <w:rPr>
                <w:rFonts w:hint="eastAsia" w:asciiTheme="minorEastAsia" w:hAnsiTheme="minorEastAsia" w:eastAsiaTheme="minorEastAsia" w:cstheme="minorEastAsia"/>
              </w:rPr>
              <w:t>多媒体箱</w:t>
            </w:r>
          </w:p>
        </w:tc>
        <w:tc>
          <w:tcPr>
            <w:tcW w:w="54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B1D0C24">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400mm*500mm*250mm 配</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1个2P16A空开和</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1个排插，220V电源防雷，信号防雷器，熔纤盘</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8A50B16">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个</w:t>
            </w:r>
          </w:p>
        </w:tc>
        <w:tc>
          <w:tcPr>
            <w:tcW w:w="3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7C8CAD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10</w:t>
            </w:r>
          </w:p>
        </w:tc>
        <w:tc>
          <w:tcPr>
            <w:tcW w:w="32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F9FA192">
            <w:pPr>
              <w:pStyle w:val="7"/>
              <w:jc w:val="center"/>
              <w:rPr>
                <w:rFonts w:hint="eastAsia" w:asciiTheme="minorEastAsia" w:hAnsiTheme="minorEastAsia" w:eastAsiaTheme="minorEastAsia" w:cstheme="minorEastAsia"/>
              </w:rPr>
            </w:pPr>
          </w:p>
        </w:tc>
      </w:tr>
    </w:tbl>
    <w:p w14:paraId="414CDEE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rPr>
        <w:t>系统名称:视频安防监控</w:t>
      </w:r>
    </w:p>
    <w:tbl>
      <w:tblPr>
        <w:tblStyle w:val="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11"/>
        <w:gridCol w:w="710"/>
        <w:gridCol w:w="5485"/>
        <w:gridCol w:w="411"/>
        <w:gridCol w:w="411"/>
        <w:gridCol w:w="411"/>
      </w:tblGrid>
      <w:tr w14:paraId="18C452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277FF4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序号</w:t>
            </w:r>
          </w:p>
        </w:tc>
        <w:tc>
          <w:tcPr>
            <w:tcW w:w="62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B63547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项目名称</w:t>
            </w:r>
          </w:p>
        </w:tc>
        <w:tc>
          <w:tcPr>
            <w:tcW w:w="548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8304F81">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技术参数要求</w:t>
            </w:r>
          </w:p>
        </w:tc>
        <w:tc>
          <w:tcPr>
            <w:tcW w:w="36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3D1F33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单位</w:t>
            </w:r>
          </w:p>
        </w:tc>
        <w:tc>
          <w:tcPr>
            <w:tcW w:w="38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5A6994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数量</w:t>
            </w:r>
          </w:p>
        </w:tc>
        <w:tc>
          <w:tcPr>
            <w:tcW w:w="37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BDD76C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备注</w:t>
            </w:r>
          </w:p>
        </w:tc>
      </w:tr>
      <w:tr w14:paraId="250279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770CA4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6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943732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安防球机</w:t>
            </w:r>
            <w:r>
              <w:rPr>
                <w:rFonts w:hint="eastAsia" w:asciiTheme="minorEastAsia" w:hAnsiTheme="minorEastAsia" w:eastAsiaTheme="minorEastAsia" w:cstheme="minorEastAsia"/>
                <w:b/>
                <w:color w:val="000000"/>
              </w:rPr>
              <w:t>（评审项44）</w:t>
            </w:r>
          </w:p>
        </w:tc>
        <w:tc>
          <w:tcPr>
            <w:tcW w:w="548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6A444F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 内置GPU芯片。</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 光学变倍大于23倍，最大焦距135.7mm。</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 支持输出图像分辨率不小于2560×1440。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 对人或车辆进入警戒区域后，设备可发出白光警示、声音警示，并启动智能跟踪功能。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 设备支持可见光及红外补光，可见光补光距离：夜间天气晴朗无遮挡，可识别距离设备镜头30m处人体。</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 最低照度：红外灯关闭：彩色≤0.005Lux，黑白模式≤0.001Lux。</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 球机水平手控速度不小于160°/S，垂直速度不小于120°/S，云台定位精度为±0.1°。</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8. 水平旋转范围为360°连续旋转，垂直旋转范围为-15°~90°。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9. 支持对镜头前盖玻璃加热，去除玻璃上的冰状和水状附着物。</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10. 需具备智能分析抗干扰功能，当篮球、小狗、树叶等非人或车辆目标经过检测区域时，不会触发报警。</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11. 支持快捷配置功能，可在预览画面开启/关闭“快捷配置”页面，对曝光参数、OSD、智能资源分配模式等参数进行配置，并可一键恢复为默认设置。</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12. 支持像素显示功能，可实时显示监控画面上选定区域的水平像素大小和垂直像素大小。</w:t>
            </w:r>
          </w:p>
        </w:tc>
        <w:tc>
          <w:tcPr>
            <w:tcW w:w="36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C2351A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E41D59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6B20191">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含支架</w:t>
            </w:r>
          </w:p>
        </w:tc>
      </w:tr>
      <w:tr w14:paraId="4CC1BA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0A77526">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6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9924B0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周界大模型球机</w:t>
            </w:r>
            <w:r>
              <w:rPr>
                <w:rFonts w:hint="eastAsia" w:asciiTheme="minorEastAsia" w:hAnsiTheme="minorEastAsia" w:eastAsiaTheme="minorEastAsia" w:cstheme="minorEastAsia"/>
                <w:b/>
                <w:color w:val="000000"/>
              </w:rPr>
              <w:t>（评审项45）</w:t>
            </w:r>
          </w:p>
        </w:tc>
        <w:tc>
          <w:tcPr>
            <w:tcW w:w="548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A12CBB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 视频图像分辨率不低于2688×1520。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 最低照度：彩色≤0.0005lx，黑白≤0.0001lx。</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 内置GPU芯片；摄像机靶面尺寸不小于1/1.8英寸；采用大模型算法，内置≥1颗算力为10TOPS的NPU芯片。</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 摄像机内置镜头，支持不小于25倍光学变倍，镜头最大焦距不小于147mm。</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 设备支持水平旋转范围0~360°连续旋转，垂直旋转范围-15°~90°。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 设备可对监控画面中不小于15个人脸进行检测、跟踪并进行抓拍图片；支持人脸图片对比功能。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 支持大模型结构化混行目标检测功能，支持混行目标（类型包括行人、人脸、车辆、非机动车）检测、抓拍及结构化属性分析。</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8. 设备可对镜头前玻璃进行加热，去除玻璃上的冰状和水状附着物。</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9. 设备具有AI-ISP图像质量提升功能，在低照度环境下，可自动调节预览场景视频画面中人脸、人体、车辆等目标及预览场景视频画面的区域曝光、亮度、色彩饱和度、对比度、锐度等。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b/>
                <w:color w:val="000000"/>
              </w:rPr>
              <w:t>（▲评审项7）</w:t>
            </w:r>
            <w:r>
              <w:rPr>
                <w:rFonts w:hint="eastAsia" w:asciiTheme="minorEastAsia" w:hAnsiTheme="minorEastAsia" w:eastAsiaTheme="minorEastAsia" w:cstheme="minorEastAsia"/>
              </w:rPr>
              <w:t>▲10.设备内置8GB eMMC，内置大模型算法芯片，可调用大模型算法检测并分类识别目标（人员、机动车、动物）（硬盘录像机设备上不显示）。支持开启、关闭智能文搜功能，功能开启后，设备可上传目标场景图片及目标信息，目标信息包括出现的时间、目标类别、在视场中的位置。（硬盘录像机设备上不显示）。</w:t>
            </w:r>
            <w:r>
              <w:rPr>
                <w:rFonts w:hint="eastAsia" w:asciiTheme="minorEastAsia" w:hAnsiTheme="minorEastAsia" w:eastAsiaTheme="minorEastAsia" w:cstheme="minorEastAsia"/>
                <w:b/>
              </w:rPr>
              <w:t>（需提供由公安部授权机构出具的检测报告复印件，原件备查）</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b/>
                <w:color w:val="000000"/>
              </w:rPr>
              <w:t>（▲评审项8）</w:t>
            </w:r>
            <w:r>
              <w:rPr>
                <w:rFonts w:hint="eastAsia" w:asciiTheme="minorEastAsia" w:hAnsiTheme="minorEastAsia" w:eastAsiaTheme="minorEastAsia" w:cstheme="minorEastAsia"/>
              </w:rPr>
              <w:t>▲11.设备具有 VR 全景拼接功能，拼接图像具有柱状全景图和鱼眼全景图 2 种模式，生成柱状全景图分辨率为 8192×2436，鱼眼全景图分辨率为3446×3446。（硬盘录像机设备上不显示）</w:t>
            </w:r>
            <w:r>
              <w:rPr>
                <w:rFonts w:hint="eastAsia" w:asciiTheme="minorEastAsia" w:hAnsiTheme="minorEastAsia" w:eastAsiaTheme="minorEastAsia" w:cstheme="minorEastAsia"/>
                <w:b/>
              </w:rPr>
              <w:t>（需提供由公安部授权机构出具的检测报告复印件，原件备查）</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12. 设备内置暖白光补光灯，在夜晚天气晴朗无遮挡的情况下，仅开启暖白光补光灯，可识别距离设备30m处的人体轮廓；红外作用距离：可识别距离设备200m处的人体轮廓。</w:t>
            </w:r>
          </w:p>
        </w:tc>
        <w:tc>
          <w:tcPr>
            <w:tcW w:w="36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EB1A53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36B7B2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932D0CF">
            <w:pPr>
              <w:pStyle w:val="7"/>
              <w:jc w:val="center"/>
              <w:rPr>
                <w:rFonts w:hint="eastAsia" w:asciiTheme="minorEastAsia" w:hAnsiTheme="minorEastAsia" w:eastAsiaTheme="minorEastAsia" w:cstheme="minorEastAsia"/>
              </w:rPr>
            </w:pPr>
          </w:p>
        </w:tc>
      </w:tr>
      <w:tr w14:paraId="164B1B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D62730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6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B73840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圆杆4.5-1</w:t>
            </w:r>
            <w:r>
              <w:rPr>
                <w:rFonts w:hint="eastAsia" w:asciiTheme="minorEastAsia" w:hAnsiTheme="minorEastAsia" w:eastAsiaTheme="minorEastAsia" w:cstheme="minorEastAsia"/>
                <w:b/>
                <w:color w:val="000000"/>
              </w:rPr>
              <w:t>（评审项46）</w:t>
            </w:r>
          </w:p>
        </w:tc>
        <w:tc>
          <w:tcPr>
            <w:tcW w:w="548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DC4F703">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杆径</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140杆身厚度</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4.0mm、伸臂</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1米法兰对抱杆径</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60厚度</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2.5mm、底部法兰</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400*400*14、预埋件</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4根M22螺栓高度</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600mm，表面热镀锌处理喷塑。</w:t>
            </w:r>
          </w:p>
        </w:tc>
        <w:tc>
          <w:tcPr>
            <w:tcW w:w="36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05B1391">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根</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D3C206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B265493">
            <w:pPr>
              <w:pStyle w:val="7"/>
              <w:jc w:val="center"/>
              <w:rPr>
                <w:rFonts w:hint="eastAsia" w:asciiTheme="minorEastAsia" w:hAnsiTheme="minorEastAsia" w:eastAsiaTheme="minorEastAsia" w:cstheme="minorEastAsia"/>
              </w:rPr>
            </w:pPr>
          </w:p>
        </w:tc>
      </w:tr>
      <w:tr w14:paraId="736C0A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647A8B1">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6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98CD6D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w:t>
            </w:r>
            <w:r>
              <w:rPr>
                <w:rFonts w:hint="eastAsia" w:asciiTheme="minorEastAsia" w:hAnsiTheme="minorEastAsia" w:eastAsiaTheme="minorEastAsia" w:cstheme="minorEastAsia"/>
              </w:rPr>
              <w:t>多媒体箱</w:t>
            </w:r>
          </w:p>
        </w:tc>
        <w:tc>
          <w:tcPr>
            <w:tcW w:w="548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16E6D8A">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400mm*500mm*250mm 配</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1个2P16A空开和</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1个排插，220V电源防雷，信号防雷器，熔纤盘。</w:t>
            </w:r>
          </w:p>
        </w:tc>
        <w:tc>
          <w:tcPr>
            <w:tcW w:w="36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177C2EF">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个</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B97F587">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1A03EB5">
            <w:pPr>
              <w:pStyle w:val="7"/>
              <w:jc w:val="center"/>
              <w:rPr>
                <w:rFonts w:hint="eastAsia" w:asciiTheme="minorEastAsia" w:hAnsiTheme="minorEastAsia" w:eastAsiaTheme="minorEastAsia" w:cstheme="minorEastAsia"/>
              </w:rPr>
            </w:pPr>
          </w:p>
        </w:tc>
      </w:tr>
    </w:tbl>
    <w:p w14:paraId="1CDA02B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rPr>
        <w:t>系统名称:鸟类监测</w:t>
      </w:r>
    </w:p>
    <w:tbl>
      <w:tblPr>
        <w:tblStyle w:val="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10"/>
        <w:gridCol w:w="649"/>
        <w:gridCol w:w="5387"/>
        <w:gridCol w:w="410"/>
        <w:gridCol w:w="410"/>
        <w:gridCol w:w="410"/>
      </w:tblGrid>
      <w:tr w14:paraId="033D40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4EBA66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64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3C3C3D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w:t>
            </w:r>
          </w:p>
        </w:tc>
        <w:tc>
          <w:tcPr>
            <w:tcW w:w="538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03AA05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技术参数要求</w:t>
            </w:r>
          </w:p>
        </w:tc>
        <w:tc>
          <w:tcPr>
            <w:tcW w:w="35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CF293C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w:t>
            </w:r>
          </w:p>
        </w:tc>
        <w:tc>
          <w:tcPr>
            <w:tcW w:w="38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CB5FA4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数量</w:t>
            </w:r>
          </w:p>
        </w:tc>
        <w:tc>
          <w:tcPr>
            <w:tcW w:w="38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6F24FE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tc>
      </w:tr>
      <w:tr w14:paraId="649832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14" w:type="dxa"/>
            <w:gridSpan w:val="6"/>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EC222B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一、主要设备</w:t>
            </w:r>
          </w:p>
        </w:tc>
      </w:tr>
      <w:tr w14:paraId="7677DCD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386C5A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64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83978B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鸟类监测摄像机</w:t>
            </w:r>
            <w:r>
              <w:rPr>
                <w:rFonts w:hint="eastAsia" w:asciiTheme="minorEastAsia" w:hAnsiTheme="minorEastAsia" w:eastAsiaTheme="minorEastAsia" w:cstheme="minorEastAsia"/>
                <w:b/>
                <w:color w:val="000000"/>
              </w:rPr>
              <w:t>（评审项47）</w:t>
            </w:r>
          </w:p>
        </w:tc>
        <w:tc>
          <w:tcPr>
            <w:tcW w:w="538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4D9058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1.摄像机靶面尺寸不小于1/1.8英寸，内置GPU芯片。</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2.视频分辨率与帧率不小于2688×1520、25帧/秒。</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b/>
                <w:color w:val="000000"/>
              </w:rPr>
              <w:t>（▲评审项9）</w:t>
            </w:r>
            <w:r>
              <w:rPr>
                <w:rFonts w:hint="eastAsia" w:asciiTheme="minorEastAsia" w:hAnsiTheme="minorEastAsia" w:eastAsiaTheme="minorEastAsia" w:cstheme="minorEastAsia"/>
              </w:rPr>
              <w:t>▲3.摄像机具备拼接功能，双镜头从最小倍率至最大倍率或最大倍率至最小倍率的变倍过程中视频图像不间断，支持不小于73倍光学变倍，镜头最大焦距不小于490mm。</w:t>
            </w:r>
            <w:r>
              <w:rPr>
                <w:rFonts w:hint="eastAsia" w:asciiTheme="minorEastAsia" w:hAnsiTheme="minorEastAsia" w:eastAsiaTheme="minorEastAsia" w:cstheme="minorEastAsia"/>
                <w:b/>
              </w:rPr>
              <w:t>（需提供由公安部授权机构出具的检测报告复印件，原件备查）</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4.最低照度彩色0.0005 lx，黑白0.0001 lx。</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5.支持水平旋转范围360°连续旋转，垂直旋转范围-20°~90°。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6.设备具有 H.265、H.264、MJPEG设置选项。</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b/>
                <w:color w:val="000000"/>
              </w:rPr>
              <w:t>（▲评审项10）</w:t>
            </w:r>
            <w:r>
              <w:rPr>
                <w:rFonts w:hint="eastAsia" w:asciiTheme="minorEastAsia" w:hAnsiTheme="minorEastAsia" w:eastAsiaTheme="minorEastAsia" w:cstheme="minorEastAsia"/>
              </w:rPr>
              <w:t>▲7.设备具有光学防抖功能，将镜头倍率设置为最大，快门设置为1/25s，在振动台振幅不大于0.3°，振动频率不大于10Hz情况下，设备视场角应无明显变化，视频图像在振动过程中应保持稳定清晰</w:t>
            </w:r>
            <w:r>
              <w:rPr>
                <w:rFonts w:hint="eastAsia" w:asciiTheme="minorEastAsia" w:hAnsiTheme="minorEastAsia" w:eastAsiaTheme="minorEastAsia" w:cstheme="minorEastAsia"/>
                <w:b/>
              </w:rPr>
              <w:t>（需提供由公安部授权机构出具的检测报告复印件，原件备查）</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8.设备可对监视画面中不小于30个人脸进行检测、跟踪和抓拍。</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9.设备运动结束静止在某个位置，当设备水平和垂直角度方向受到外力作用发生偏移时，设备进行偏移自动校正后实际停止位置与原位置之间偏差角度应&lt;0.1°。</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10.当设备在运动过程中，由于机械结构或外力因素导致设备发生失步，运动结束的实际位置和理想位置有偏移时，设备能够自动进行位置矫正。</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11.在设备检测到位置发生偏移并已经开启位置矫正时，若有其他用户对设备云台进行控制，设备能够停止当前矫正过程，同时响应用户操作指令。</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12.设备内置鸟类检测模型，支持鸟类检测、抓拍、跟踪。</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13.支持雨刷，7路报警输入、2路报警输出、1路音频输入、1路音频输出。</w:t>
            </w:r>
          </w:p>
        </w:tc>
        <w:tc>
          <w:tcPr>
            <w:tcW w:w="35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0D1E99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38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9084CD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38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204CAD2">
            <w:pPr>
              <w:pStyle w:val="7"/>
              <w:jc w:val="center"/>
              <w:rPr>
                <w:rFonts w:hint="eastAsia" w:asciiTheme="minorEastAsia" w:hAnsiTheme="minorEastAsia" w:eastAsiaTheme="minorEastAsia" w:cstheme="minorEastAsia"/>
              </w:rPr>
            </w:pPr>
          </w:p>
        </w:tc>
      </w:tr>
      <w:tr w14:paraId="695A84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FF44BE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64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46BC65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自组网（室外工业微波网桥）</w:t>
            </w:r>
            <w:r>
              <w:rPr>
                <w:rFonts w:hint="eastAsia" w:asciiTheme="minorEastAsia" w:hAnsiTheme="minorEastAsia" w:eastAsiaTheme="minorEastAsia" w:cstheme="minorEastAsia"/>
                <w:b/>
                <w:color w:val="000000"/>
              </w:rPr>
              <w:t>（评审项48）</w:t>
            </w:r>
          </w:p>
        </w:tc>
        <w:tc>
          <w:tcPr>
            <w:tcW w:w="538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97B172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1.设备支持12~24V DC/220V供电，支持太阳能DC 12~24V功能。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2.支持信号强度扫描。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3.支持智能频谱管理。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4.支持TDMA协议，支持1对16组网。</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5.支持VLAN透传。</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6.支持无线连接状态实时展示，包括设备距离、收发速率、连接时长、信号强度等。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7.支持平台远程统一管理，支持安防+网络设备组网拓扑可视、告警推送、参数配置、设备状态查看等。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8.典型功耗：＜5W。</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9.工作温度：-30-70℃；工作湿度：5%-95%。</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10.传输距离：≥20KM。</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11.空口速率：≤867Mbps。</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12.支持自动ACK超时。</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13.支持带宽测试。</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14.防水防尘等级：≥IP68。</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15.浪涌防护等级：≤6KV（网口和DC供电接口）。</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16.EMC防护等级：≥4级</w:t>
            </w:r>
          </w:p>
        </w:tc>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E3FB3D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个</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921A7B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8</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870C808">
            <w:pPr>
              <w:pStyle w:val="7"/>
              <w:jc w:val="center"/>
              <w:rPr>
                <w:rFonts w:hint="eastAsia" w:asciiTheme="minorEastAsia" w:hAnsiTheme="minorEastAsia" w:eastAsiaTheme="minorEastAsia" w:cstheme="minorEastAsia"/>
              </w:rPr>
            </w:pPr>
          </w:p>
        </w:tc>
      </w:tr>
      <w:tr w14:paraId="520F96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14" w:type="dxa"/>
            <w:gridSpan w:val="6"/>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3D5929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rPr>
              <w:t>★</w:t>
            </w:r>
            <w:r>
              <w:rPr>
                <w:rFonts w:hint="eastAsia" w:asciiTheme="minorEastAsia" w:hAnsiTheme="minorEastAsia" w:eastAsiaTheme="minorEastAsia" w:cstheme="minorEastAsia"/>
              </w:rPr>
              <w:t>二、配套设备</w:t>
            </w:r>
          </w:p>
        </w:tc>
      </w:tr>
      <w:tr w14:paraId="7D6E29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B3FA4C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64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C6F3C9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摄像机支架</w:t>
            </w:r>
          </w:p>
        </w:tc>
        <w:tc>
          <w:tcPr>
            <w:tcW w:w="538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DE2C3DF">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用于固定鸟类监测摄像机，定制。</w:t>
            </w:r>
          </w:p>
        </w:tc>
        <w:tc>
          <w:tcPr>
            <w:tcW w:w="35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3E86AF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个</w:t>
            </w:r>
          </w:p>
        </w:tc>
        <w:tc>
          <w:tcPr>
            <w:tcW w:w="38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C0255F6">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38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67A7B88">
            <w:pPr>
              <w:pStyle w:val="7"/>
              <w:jc w:val="center"/>
              <w:rPr>
                <w:rFonts w:hint="eastAsia" w:asciiTheme="minorEastAsia" w:hAnsiTheme="minorEastAsia" w:eastAsiaTheme="minorEastAsia" w:cstheme="minorEastAsia"/>
              </w:rPr>
            </w:pPr>
          </w:p>
        </w:tc>
      </w:tr>
      <w:tr w14:paraId="63A1B7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34790A0">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64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4C2DDE6">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网桥支架</w:t>
            </w:r>
          </w:p>
        </w:tc>
        <w:tc>
          <w:tcPr>
            <w:tcW w:w="538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C73189D">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用于房顶固定网桥，定制。</w:t>
            </w:r>
          </w:p>
        </w:tc>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BB5B7C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个</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60F10F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5C88297">
            <w:pPr>
              <w:pStyle w:val="7"/>
              <w:jc w:val="center"/>
              <w:rPr>
                <w:rFonts w:hint="eastAsia" w:asciiTheme="minorEastAsia" w:hAnsiTheme="minorEastAsia" w:eastAsiaTheme="minorEastAsia" w:cstheme="minorEastAsia"/>
              </w:rPr>
            </w:pPr>
          </w:p>
        </w:tc>
      </w:tr>
      <w:tr w14:paraId="1F4187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BD5A7C7">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64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96943F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太阳能</w:t>
            </w:r>
          </w:p>
        </w:tc>
        <w:tc>
          <w:tcPr>
            <w:tcW w:w="538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207579D">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保证鸟类监测摄像机供电至少7天。电池壁挂或者离地台面安装（需离地≥4.5米以上），禁止地埋。包含太阳能板、蓄电池、防水箱、太阳能板支架。</w:t>
            </w:r>
          </w:p>
        </w:tc>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B4C3CE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套</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77E55D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8DD9246">
            <w:pPr>
              <w:pStyle w:val="7"/>
              <w:jc w:val="center"/>
              <w:rPr>
                <w:rFonts w:hint="eastAsia" w:asciiTheme="minorEastAsia" w:hAnsiTheme="minorEastAsia" w:eastAsiaTheme="minorEastAsia" w:cstheme="minorEastAsia"/>
              </w:rPr>
            </w:pPr>
          </w:p>
        </w:tc>
      </w:tr>
      <w:tr w14:paraId="3FD80D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3E7E3B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64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F783EA7">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太阳能</w:t>
            </w:r>
          </w:p>
        </w:tc>
        <w:tc>
          <w:tcPr>
            <w:tcW w:w="538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3E832EC">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保证网桥供电至少7天。电池壁挂或者离地台面安装（需离地≥4.5米以上），禁止地埋。包含太阳能板、蓄电池、防水箱、太阳能板支架。</w:t>
            </w:r>
          </w:p>
        </w:tc>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559D43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套</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3CAB85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4387474">
            <w:pPr>
              <w:pStyle w:val="7"/>
              <w:jc w:val="center"/>
              <w:rPr>
                <w:rFonts w:hint="eastAsia" w:asciiTheme="minorEastAsia" w:hAnsiTheme="minorEastAsia" w:eastAsiaTheme="minorEastAsia" w:cstheme="minorEastAsia"/>
              </w:rPr>
            </w:pPr>
          </w:p>
        </w:tc>
      </w:tr>
      <w:tr w14:paraId="31B8EA0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051040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64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720D3B0">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监控杆</w:t>
            </w:r>
          </w:p>
        </w:tc>
        <w:tc>
          <w:tcPr>
            <w:tcW w:w="538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8EAA5E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≥15米钢管拉线杆，含配套法兰、拉线预埋件、地笼、基础。需包含蓄电池放置的支架。</w:t>
            </w:r>
          </w:p>
        </w:tc>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F9BB87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根</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C6F6C3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895DE60">
            <w:pPr>
              <w:pStyle w:val="7"/>
              <w:jc w:val="center"/>
              <w:rPr>
                <w:rFonts w:hint="eastAsia" w:asciiTheme="minorEastAsia" w:hAnsiTheme="minorEastAsia" w:eastAsiaTheme="minorEastAsia" w:cstheme="minorEastAsia"/>
              </w:rPr>
            </w:pPr>
          </w:p>
        </w:tc>
      </w:tr>
      <w:tr w14:paraId="2A4941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71EEFA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p>
        </w:tc>
        <w:tc>
          <w:tcPr>
            <w:tcW w:w="64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77A6C4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监控杆</w:t>
            </w:r>
          </w:p>
        </w:tc>
        <w:tc>
          <w:tcPr>
            <w:tcW w:w="538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4F573F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≥9米钢管拉线杆，含配套法兰、拉线预埋件、地笼、基础。需包含蓄电池放置的支架。</w:t>
            </w:r>
          </w:p>
        </w:tc>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4C5BEB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根</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8E1974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FE669B8">
            <w:pPr>
              <w:pStyle w:val="7"/>
              <w:jc w:val="center"/>
              <w:rPr>
                <w:rFonts w:hint="eastAsia" w:asciiTheme="minorEastAsia" w:hAnsiTheme="minorEastAsia" w:eastAsiaTheme="minorEastAsia" w:cstheme="minorEastAsia"/>
              </w:rPr>
            </w:pPr>
          </w:p>
        </w:tc>
      </w:tr>
      <w:tr w14:paraId="6B5DEB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68CB84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p>
        </w:tc>
        <w:tc>
          <w:tcPr>
            <w:tcW w:w="64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49690D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多媒体箱</w:t>
            </w:r>
          </w:p>
        </w:tc>
        <w:tc>
          <w:tcPr>
            <w:tcW w:w="538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102BA8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≥400mm*500mm*250mm 配≥1个2P16A空开和≥1个排插，220V电源防雷，信号防雷器，熔纤盘。</w:t>
            </w:r>
          </w:p>
        </w:tc>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8B1ACB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个</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1C05C2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0712F46">
            <w:pPr>
              <w:pStyle w:val="7"/>
              <w:jc w:val="center"/>
              <w:rPr>
                <w:rFonts w:hint="eastAsia" w:asciiTheme="minorEastAsia" w:hAnsiTheme="minorEastAsia" w:eastAsiaTheme="minorEastAsia" w:cstheme="minorEastAsia"/>
              </w:rPr>
            </w:pPr>
          </w:p>
        </w:tc>
      </w:tr>
    </w:tbl>
    <w:p w14:paraId="4CF823C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rPr>
        <w:t>系统名称:森林防火</w:t>
      </w:r>
    </w:p>
    <w:tbl>
      <w:tblPr>
        <w:tblStyle w:val="5"/>
        <w:tblW w:w="0" w:type="auto"/>
        <w:tblInd w:w="4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11"/>
        <w:gridCol w:w="648"/>
        <w:gridCol w:w="5353"/>
        <w:gridCol w:w="411"/>
        <w:gridCol w:w="411"/>
        <w:gridCol w:w="411"/>
      </w:tblGrid>
      <w:tr w14:paraId="131230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DBFEEE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序号</w:t>
            </w:r>
          </w:p>
        </w:tc>
        <w:tc>
          <w:tcPr>
            <w:tcW w:w="64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F26760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项目名称</w:t>
            </w:r>
          </w:p>
        </w:tc>
        <w:tc>
          <w:tcPr>
            <w:tcW w:w="535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8165687">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技术参数要求</w:t>
            </w:r>
          </w:p>
        </w:tc>
        <w:tc>
          <w:tcPr>
            <w:tcW w:w="36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C7FA34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单位</w:t>
            </w:r>
          </w:p>
        </w:tc>
        <w:tc>
          <w:tcPr>
            <w:tcW w:w="37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D53029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数量</w:t>
            </w:r>
          </w:p>
        </w:tc>
        <w:tc>
          <w:tcPr>
            <w:tcW w:w="38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2548F7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备注</w:t>
            </w:r>
          </w:p>
        </w:tc>
      </w:tr>
      <w:tr w14:paraId="50FBDC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4A32AE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64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0F25D7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双光谱重载云台</w:t>
            </w:r>
            <w:r>
              <w:rPr>
                <w:rFonts w:hint="eastAsia" w:asciiTheme="minorEastAsia" w:hAnsiTheme="minorEastAsia" w:eastAsiaTheme="minorEastAsia" w:cstheme="minorEastAsia"/>
                <w:b/>
                <w:color w:val="000000"/>
              </w:rPr>
              <w:t>（评审项49）</w:t>
            </w:r>
          </w:p>
        </w:tc>
        <w:tc>
          <w:tcPr>
            <w:tcW w:w="53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3B4D95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rPr>
              <w:t>（▲评审项11）</w:t>
            </w:r>
            <w:r>
              <w:rPr>
                <w:rFonts w:hint="eastAsia" w:asciiTheme="minorEastAsia" w:hAnsiTheme="minorEastAsia" w:eastAsiaTheme="minorEastAsia" w:cstheme="minorEastAsia"/>
              </w:rPr>
              <w:t>▲1、云台至少内置1个陀螺仪、1个温度传感器、1个水平仪传感器、1颗算力为5TOPS的CPU芯片、1颗算力为3.35TOPS的GPU芯片、1 颗算力为3.35TOPS的NPU芯片、1颗8GB EMMC芯片、2颗4GB DDR芯片、1个氧化钒探测器、1个激光模组、1个4mm定焦型可见光镜头、1个可见光镜头、4个独立控制系统，具有1个RJ45网络接口、1个RS485接口、1个SD卡插槽、2个报警输入接口、2个报警输出接口、1个BNC接口、1个音频输入接口、1个音频输出接口。采用DC48V电源供电。</w:t>
            </w:r>
            <w:r>
              <w:rPr>
                <w:rFonts w:hint="eastAsia" w:asciiTheme="minorEastAsia" w:hAnsiTheme="minorEastAsia" w:eastAsiaTheme="minorEastAsia" w:cstheme="minorEastAsia"/>
                <w:b/>
              </w:rPr>
              <w:t>（需提供由公安部授权机构出具的检测报告复印件，原件备查）</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2、热成像传感器类型：氧化钒非制冷型探测器、热成像响应波段：8~14 μm、热成像像元尺寸：≥12μm、热成像分辨率：≥640 × 512、热成像焦距：≥150mm。</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3、可见光分辨率：≥2688 × 1520、可见光焦距：细节：10-650mm、全景：≥4mm。</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b/>
              </w:rPr>
              <w:t>（▲评审项12）</w:t>
            </w:r>
            <w:r>
              <w:rPr>
                <w:rFonts w:hint="eastAsia" w:asciiTheme="minorEastAsia" w:hAnsiTheme="minorEastAsia" w:eastAsiaTheme="minorEastAsia" w:cstheme="minorEastAsia"/>
              </w:rPr>
              <w:t>▲4、支持着火点尺寸自适应调整功能，可见光通道可自动调整监控倍率对热源进行放大抓拍，抓拍图片可自动上传</w:t>
            </w:r>
            <w:r>
              <w:rPr>
                <w:rFonts w:hint="eastAsia" w:asciiTheme="minorEastAsia" w:hAnsiTheme="minorEastAsia" w:eastAsiaTheme="minorEastAsia" w:cstheme="minorEastAsia"/>
                <w:b/>
              </w:rPr>
              <w:t>。</w:t>
            </w:r>
            <w:r>
              <w:rPr>
                <w:rFonts w:hint="eastAsia" w:asciiTheme="minorEastAsia" w:hAnsiTheme="minorEastAsia" w:eastAsiaTheme="minorEastAsia" w:cstheme="minorEastAsia"/>
              </w:rPr>
              <w:t>火情属性标签过滤设置选项，包括森林场景、民房场景、工厂场景和农田场景等。</w:t>
            </w:r>
            <w:r>
              <w:rPr>
                <w:rFonts w:hint="eastAsia" w:asciiTheme="minorEastAsia" w:hAnsiTheme="minorEastAsia" w:eastAsiaTheme="minorEastAsia" w:cstheme="minorEastAsia"/>
                <w:b/>
              </w:rPr>
              <w:t>（需提供由公安部授权机构出具的检测报告复印件，原件备查）</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5、可根据温度变化自动调整聚焦。</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6、设备含有姿态感知模块。</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7、设备支持热成像镜头磁编反馈系统。</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8、噪声等效温差(NETD)在8mk及以下。</w:t>
            </w:r>
          </w:p>
        </w:tc>
        <w:tc>
          <w:tcPr>
            <w:tcW w:w="36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94E4EA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AE3CE4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B83894A">
            <w:pPr>
              <w:pStyle w:val="7"/>
              <w:jc w:val="center"/>
              <w:rPr>
                <w:rFonts w:hint="eastAsia" w:asciiTheme="minorEastAsia" w:hAnsiTheme="minorEastAsia" w:eastAsiaTheme="minorEastAsia" w:cstheme="minorEastAsia"/>
              </w:rPr>
            </w:pPr>
          </w:p>
        </w:tc>
      </w:tr>
      <w:tr w14:paraId="6933C3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A03AB5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64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DDBBDE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w:t>
            </w:r>
            <w:r>
              <w:rPr>
                <w:rFonts w:hint="eastAsia" w:asciiTheme="minorEastAsia" w:hAnsiTheme="minorEastAsia" w:eastAsiaTheme="minorEastAsia" w:cstheme="minorEastAsia"/>
              </w:rPr>
              <w:t>云台支架</w:t>
            </w:r>
          </w:p>
        </w:tc>
        <w:tc>
          <w:tcPr>
            <w:tcW w:w="53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27D09A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用于固定双光谱重载云台，定制。</w:t>
            </w:r>
          </w:p>
        </w:tc>
        <w:tc>
          <w:tcPr>
            <w:tcW w:w="36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85A0497">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个</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FF17C6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2FF74D2">
            <w:pPr>
              <w:pStyle w:val="7"/>
              <w:jc w:val="center"/>
              <w:rPr>
                <w:rFonts w:hint="eastAsia" w:asciiTheme="minorEastAsia" w:hAnsiTheme="minorEastAsia" w:eastAsiaTheme="minorEastAsia" w:cstheme="minorEastAsia"/>
              </w:rPr>
            </w:pPr>
          </w:p>
        </w:tc>
      </w:tr>
      <w:tr w14:paraId="14A177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6B6DE41">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64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18D998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w:t>
            </w:r>
            <w:r>
              <w:rPr>
                <w:rFonts w:hint="eastAsia" w:asciiTheme="minorEastAsia" w:hAnsiTheme="minorEastAsia" w:eastAsiaTheme="minorEastAsia" w:cstheme="minorEastAsia"/>
              </w:rPr>
              <w:t>多媒体箱</w:t>
            </w:r>
          </w:p>
        </w:tc>
        <w:tc>
          <w:tcPr>
            <w:tcW w:w="53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46BB98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≥400mm*500mm*250mm 配≥1个2P16A空开和≥1个排插，220V电源防雷，信号防雷器，熔纤盘。</w:t>
            </w:r>
          </w:p>
        </w:tc>
        <w:tc>
          <w:tcPr>
            <w:tcW w:w="36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A375006">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个</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2D9A3B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38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C677D17">
            <w:pPr>
              <w:pStyle w:val="7"/>
              <w:jc w:val="center"/>
              <w:rPr>
                <w:rFonts w:hint="eastAsia" w:asciiTheme="minorEastAsia" w:hAnsiTheme="minorEastAsia" w:eastAsiaTheme="minorEastAsia" w:cstheme="minorEastAsia"/>
              </w:rPr>
            </w:pPr>
          </w:p>
        </w:tc>
      </w:tr>
    </w:tbl>
    <w:p w14:paraId="127C04C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rPr>
        <w:t>系统名称:可视化语音宣传</w:t>
      </w:r>
    </w:p>
    <w:tbl>
      <w:tblPr>
        <w:tblStyle w:val="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11"/>
        <w:gridCol w:w="637"/>
        <w:gridCol w:w="5418"/>
        <w:gridCol w:w="411"/>
        <w:gridCol w:w="411"/>
        <w:gridCol w:w="411"/>
      </w:tblGrid>
      <w:tr w14:paraId="6701DE6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16CF13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序号</w:t>
            </w:r>
          </w:p>
        </w:tc>
        <w:tc>
          <w:tcPr>
            <w:tcW w:w="63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DADBC2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项目名称</w:t>
            </w:r>
          </w:p>
        </w:tc>
        <w:tc>
          <w:tcPr>
            <w:tcW w:w="541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0029EB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技术参数要求</w:t>
            </w:r>
          </w:p>
        </w:tc>
        <w:tc>
          <w:tcPr>
            <w:tcW w:w="35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E7F533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单位</w:t>
            </w:r>
          </w:p>
        </w:tc>
        <w:tc>
          <w:tcPr>
            <w:tcW w:w="40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F2771C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数量</w:t>
            </w:r>
          </w:p>
        </w:tc>
        <w:tc>
          <w:tcPr>
            <w:tcW w:w="39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ED47467">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备注</w:t>
            </w:r>
          </w:p>
        </w:tc>
      </w:tr>
      <w:tr w14:paraId="37C8DC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970F8A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6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1152B2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可视化语音宣传装置（森林智能哨卫）</w:t>
            </w:r>
            <w:r>
              <w:rPr>
                <w:rFonts w:hint="eastAsia" w:asciiTheme="minorEastAsia" w:hAnsiTheme="minorEastAsia" w:eastAsiaTheme="minorEastAsia" w:cstheme="minorEastAsia"/>
                <w:b/>
                <w:color w:val="000000"/>
              </w:rPr>
              <w:t>（评审项50）</w:t>
            </w:r>
          </w:p>
        </w:tc>
        <w:tc>
          <w:tcPr>
            <w:tcW w:w="54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539907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一、传感器</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1、红外人体传感器对人与车辆进行检测距离1~12米；</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2、数字感应器触发对人与车辆进行检测距离10~50米；</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3、本地可调节红外人体传感器的感应上下角度。</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4、支持环境因子五要素的检测：包括风速、风向、温度、湿度、大气压。</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二、LED显示器</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1、嵌入式LEDP10单色显示屏箱屏一体，防水屏幕。</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三、电源</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1、支持胶体电池≥DC12V，100AH。</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四、喇叭外放</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1、喇叭警示语音播报频响范围：≥331Hz-40KHz,带语音驱赶喊话功能：警示语音支持本地更换，播报内容可根据实际要求自定。</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义；喇叭口附近，音量≥100分贝。</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2、系统默认3条警示语音，语音内容可储存999条。</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五、太阳能板</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1、太阳能电池板：A级单晶硅电池板，最大功率≥200W,12V。</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六、太阳能控制器</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1、太阳能控制器充电电流≥20A,太阳能端最高电压≥60V,具有过充保护，低压保护，过温保护，负载短路保护，蓄电池反接保护，电池板反接保护功能。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七、通讯传输</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1、支持接入4G模块、WIFI路由器、双绞网线。</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八、控制主板</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1、输入电源：12V(7V-24V宽工作电压)。</w:t>
            </w:r>
          </w:p>
          <w:p w14:paraId="1599F29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2、工作温度：-20℃~+70℃。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3、CPU:四核ARM Cortex-A7 Quadcore@l.4GHz。</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4、GPU:Ma1i400MP2。</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5、DRAM:1 GByte DDR3。</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6、Flash:8 GByte EMMC。</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7、0S:Android7.1。</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8、交换机网口：网口1、网口2、网口3。</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9、备用电池：备用电池输入正极，两节7.4V三元锂电池，容量按需调整。</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九、摄像机</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1、传感器类型：【全景】1/1.8＂ progressive scan CMOS,【细节】1/2.8" progressive scan CMOS。</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2、最低照度：【全景】彩色：0.0005 Lux @ ( F1.0，AGC ON )，0 Lux with Light；【细节】彩色：0.005 Lux @（F1.5，AGC ON )，黑白：0.001 Lux @（F1.5，AGC ON)，0 Lux with IR。</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3、宽动态：支持真宽动态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4、焦距：【全景】4 mm；【细节】5.9 mm~135.7 mm，≥23倍光学变倍。</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5、视场角：【全景】水平视场角：≥88.7°，垂直视场角：≥44.7°。</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【细节】</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水平视场角：60°～4°。</w:t>
            </w:r>
          </w:p>
          <w:p w14:paraId="02B2299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垂直视场角：35°～2°。</w:t>
            </w:r>
          </w:p>
          <w:p w14:paraId="7D29365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对角视场角：67°～4°。</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6、补光灯距离：【全景】≥30 m白光  【细节】≥30 m白光，≥150 m红外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7、水平范围：360°。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8、垂直范围：-15°-90°(自动翻转)。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9、水平速度：水平键控速度：0.1°-160°/s,速度可设;水平预置点速度：240°/s。</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10、垂直速度：垂直键控速度：0.1°-120°/s,速度可设;垂直预置点速度：200°/s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11、主码流帧率分辨率：全功耗模式。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【全景】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50 Hz：25 fps（2560 × 1440，1920 × 1080，1280 × 960，1280 × 720）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60 Hz：30 fps（2560 × 1440，1920 × 1080，1280 × 960，1280 × 720）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【细节】</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50 Hz：25 fps（2560 × 1440，1920 × 1080，1280 × 960，1280 × 720）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60 Hz：30 fps（2560 × 1440，1920 × 1080，1280 × 960，1280 × 720）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低功耗实时模式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50 Hz：12 fps（2560 × 1440，1920 × 1080，1280 × 960，1280 × 720）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60 Hz：15 fps（2560 × 1440，1920 × 1080，1280 × 960，1280 × 720）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【细节】</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50 Hz：12 fps（1920 × 1080，1280 × 960，1280 × 720）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60 Hz：15 fps（1920 × 1080，1280 × 960，1280 × 720）</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12、视频压缩标准：H.265,H.264,MJPEG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13、无线频段：LTE-TDD：Band 34/38/39/40/41</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LTE-FDD：Band 1/3/5/8。</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14、无线制式：LTE-TDD/LTE-FDD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15、电源输出：12V 1.0 A反向供电输出。</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16、网络接口：RJ45网口;自适应10M/100M网络数据。</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17、SD卡扩展：内置Micro SD卡插槽，支持Micro SD/Micro SDHC/Micro SDXC卡（最大支持512GB）。</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18、报警输入：≥2路报警输入。</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 xml:space="preserve">19、音频输入：≥1路音频输入，音频峰值：2-2.4V[p-p]，输入阻抗：1 kΩ±10%。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20、电源：DC12 V。</w:t>
            </w:r>
          </w:p>
        </w:tc>
        <w:tc>
          <w:tcPr>
            <w:tcW w:w="3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D0B118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台</w:t>
            </w:r>
          </w:p>
        </w:tc>
        <w:tc>
          <w:tcPr>
            <w:tcW w:w="40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9C67B8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3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CC0514D">
            <w:pPr>
              <w:pStyle w:val="7"/>
              <w:jc w:val="center"/>
              <w:rPr>
                <w:rFonts w:hint="eastAsia" w:asciiTheme="minorEastAsia" w:hAnsiTheme="minorEastAsia" w:eastAsiaTheme="minorEastAsia" w:cstheme="minorEastAsia"/>
              </w:rPr>
            </w:pPr>
          </w:p>
        </w:tc>
      </w:tr>
      <w:tr w14:paraId="3D944D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70048D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6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787F59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w:t>
            </w:r>
            <w:r>
              <w:rPr>
                <w:rFonts w:hint="eastAsia" w:asciiTheme="minorEastAsia" w:hAnsiTheme="minorEastAsia" w:eastAsiaTheme="minorEastAsia" w:cstheme="minorEastAsia"/>
              </w:rPr>
              <w:t>4G卡</w:t>
            </w:r>
          </w:p>
        </w:tc>
        <w:tc>
          <w:tcPr>
            <w:tcW w:w="54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AB74C1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包含≥3年网络使用费。</w:t>
            </w:r>
          </w:p>
        </w:tc>
        <w:tc>
          <w:tcPr>
            <w:tcW w:w="3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F2E63D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张</w:t>
            </w:r>
          </w:p>
        </w:tc>
        <w:tc>
          <w:tcPr>
            <w:tcW w:w="40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BBE63B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3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59239AB">
            <w:pPr>
              <w:pStyle w:val="7"/>
              <w:jc w:val="center"/>
              <w:rPr>
                <w:rFonts w:hint="eastAsia" w:asciiTheme="minorEastAsia" w:hAnsiTheme="minorEastAsia" w:eastAsiaTheme="minorEastAsia" w:cstheme="minorEastAsia"/>
              </w:rPr>
            </w:pPr>
          </w:p>
        </w:tc>
      </w:tr>
    </w:tbl>
    <w:p w14:paraId="3F6D522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rPr>
        <w:t>★系统名称:</w:t>
      </w:r>
      <w:r>
        <w:rPr>
          <w:rFonts w:hint="eastAsia" w:asciiTheme="minorEastAsia" w:hAnsiTheme="minorEastAsia" w:eastAsiaTheme="minorEastAsia" w:cstheme="minorEastAsia"/>
          <w:b/>
          <w:lang w:eastAsia="zh-CN"/>
        </w:rPr>
        <w:t>网络技术服务</w:t>
      </w:r>
    </w:p>
    <w:tbl>
      <w:tblPr>
        <w:tblStyle w:val="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11"/>
        <w:gridCol w:w="622"/>
        <w:gridCol w:w="5758"/>
        <w:gridCol w:w="411"/>
        <w:gridCol w:w="411"/>
        <w:gridCol w:w="411"/>
      </w:tblGrid>
      <w:tr w14:paraId="155058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11635C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序号</w:t>
            </w:r>
          </w:p>
        </w:tc>
        <w:tc>
          <w:tcPr>
            <w:tcW w:w="622"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tcPr>
          <w:p w14:paraId="0FD7BF5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项目名称</w:t>
            </w:r>
          </w:p>
        </w:tc>
        <w:tc>
          <w:tcPr>
            <w:tcW w:w="575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tcPr>
          <w:p w14:paraId="146E309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技术参数要求</w:t>
            </w:r>
          </w:p>
        </w:tc>
        <w:tc>
          <w:tcPr>
            <w:tcW w:w="402"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tcPr>
          <w:p w14:paraId="07A8ACFF">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单位</w:t>
            </w:r>
          </w:p>
        </w:tc>
        <w:tc>
          <w:tcPr>
            <w:tcW w:w="376"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tcPr>
          <w:p w14:paraId="4261104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数量</w:t>
            </w:r>
          </w:p>
        </w:tc>
        <w:tc>
          <w:tcPr>
            <w:tcW w:w="311"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tcPr>
          <w:p w14:paraId="5E00C740">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备注</w:t>
            </w:r>
          </w:p>
        </w:tc>
      </w:tr>
      <w:tr w14:paraId="128CF3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5" w:type="dxa"/>
            <w:gridSpan w:val="6"/>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D60826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rPr>
              <w:t>一、后端（局端）</w:t>
            </w:r>
          </w:p>
        </w:tc>
      </w:tr>
      <w:tr w14:paraId="4796AC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12BB86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62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371A70F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网络传输</w:t>
            </w:r>
          </w:p>
        </w:tc>
        <w:tc>
          <w:tcPr>
            <w:tcW w:w="5758"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75E53E59">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≥200M局域网专线，≥3年服务费用。</w:t>
            </w:r>
          </w:p>
        </w:tc>
        <w:tc>
          <w:tcPr>
            <w:tcW w:w="40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549A01B0">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条</w:t>
            </w:r>
          </w:p>
        </w:tc>
        <w:tc>
          <w:tcPr>
            <w:tcW w:w="37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2F70651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1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11D5CF79">
            <w:pPr>
              <w:pStyle w:val="7"/>
              <w:jc w:val="center"/>
              <w:rPr>
                <w:rFonts w:hint="eastAsia" w:asciiTheme="minorEastAsia" w:hAnsiTheme="minorEastAsia" w:eastAsiaTheme="minorEastAsia" w:cstheme="minorEastAsia"/>
              </w:rPr>
            </w:pPr>
          </w:p>
        </w:tc>
      </w:tr>
      <w:tr w14:paraId="1991EC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6019E3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62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655DC00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网络传输</w:t>
            </w:r>
          </w:p>
        </w:tc>
        <w:tc>
          <w:tcPr>
            <w:tcW w:w="5758"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12BDB3D3">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≥100M互联网专线，≥3年服务费用。</w:t>
            </w:r>
          </w:p>
        </w:tc>
        <w:tc>
          <w:tcPr>
            <w:tcW w:w="40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79ADA846">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条</w:t>
            </w:r>
          </w:p>
        </w:tc>
        <w:tc>
          <w:tcPr>
            <w:tcW w:w="37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14F5AC7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1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35C94AE1">
            <w:pPr>
              <w:pStyle w:val="7"/>
              <w:jc w:val="center"/>
              <w:rPr>
                <w:rFonts w:hint="eastAsia" w:asciiTheme="minorEastAsia" w:hAnsiTheme="minorEastAsia" w:eastAsiaTheme="minorEastAsia" w:cstheme="minorEastAsia"/>
              </w:rPr>
            </w:pPr>
          </w:p>
        </w:tc>
      </w:tr>
      <w:tr w14:paraId="29FB53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5" w:type="dxa"/>
            <w:gridSpan w:val="6"/>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104FF6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rPr>
              <w:t>二、前端</w:t>
            </w:r>
          </w:p>
        </w:tc>
      </w:tr>
      <w:tr w14:paraId="78D50A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1577BF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62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2CE0FAB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网络传输</w:t>
            </w:r>
          </w:p>
        </w:tc>
        <w:tc>
          <w:tcPr>
            <w:tcW w:w="5758"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0F9EAE06">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≥100M局域网专线，≥3年服务费用。</w:t>
            </w:r>
          </w:p>
        </w:tc>
        <w:tc>
          <w:tcPr>
            <w:tcW w:w="40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5A84D30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条</w:t>
            </w:r>
          </w:p>
        </w:tc>
        <w:tc>
          <w:tcPr>
            <w:tcW w:w="37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360CD07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14</w:t>
            </w:r>
          </w:p>
        </w:tc>
        <w:tc>
          <w:tcPr>
            <w:tcW w:w="31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02869770">
            <w:pPr>
              <w:pStyle w:val="7"/>
              <w:jc w:val="center"/>
              <w:rPr>
                <w:rFonts w:hint="eastAsia" w:asciiTheme="minorEastAsia" w:hAnsiTheme="minorEastAsia" w:eastAsiaTheme="minorEastAsia" w:cstheme="minorEastAsia"/>
              </w:rPr>
            </w:pPr>
          </w:p>
        </w:tc>
      </w:tr>
      <w:tr w14:paraId="0624C33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525D51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62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0EE8D2DF">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网络传输</w:t>
            </w:r>
          </w:p>
        </w:tc>
        <w:tc>
          <w:tcPr>
            <w:tcW w:w="5758"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4C808043">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≥100M互联网专线，≥3年服务费用。</w:t>
            </w:r>
          </w:p>
        </w:tc>
        <w:tc>
          <w:tcPr>
            <w:tcW w:w="40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2A32F0B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条</w:t>
            </w:r>
          </w:p>
        </w:tc>
        <w:tc>
          <w:tcPr>
            <w:tcW w:w="37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2D147F1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1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10CB3E36">
            <w:pPr>
              <w:pStyle w:val="7"/>
              <w:jc w:val="center"/>
              <w:rPr>
                <w:rFonts w:hint="eastAsia" w:asciiTheme="minorEastAsia" w:hAnsiTheme="minorEastAsia" w:eastAsiaTheme="minorEastAsia" w:cstheme="minorEastAsia"/>
              </w:rPr>
            </w:pPr>
          </w:p>
        </w:tc>
      </w:tr>
    </w:tbl>
    <w:p w14:paraId="1DB4922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rPr>
        <w:t>★系统名称:配套电源</w:t>
      </w:r>
    </w:p>
    <w:tbl>
      <w:tblPr>
        <w:tblStyle w:val="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11"/>
        <w:gridCol w:w="622"/>
        <w:gridCol w:w="5559"/>
        <w:gridCol w:w="415"/>
        <w:gridCol w:w="610"/>
        <w:gridCol w:w="411"/>
      </w:tblGrid>
      <w:tr w14:paraId="02A7E9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3F92D9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序号</w:t>
            </w:r>
          </w:p>
        </w:tc>
        <w:tc>
          <w:tcPr>
            <w:tcW w:w="62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CAD7E4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项目名称</w:t>
            </w:r>
          </w:p>
        </w:tc>
        <w:tc>
          <w:tcPr>
            <w:tcW w:w="555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C5C6971">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技术参数要求</w:t>
            </w:r>
          </w:p>
        </w:tc>
        <w:tc>
          <w:tcPr>
            <w:tcW w:w="41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C096CF0">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单位</w:t>
            </w:r>
          </w:p>
        </w:tc>
        <w:tc>
          <w:tcPr>
            <w:tcW w:w="37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C4C50C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数量</w:t>
            </w:r>
          </w:p>
        </w:tc>
        <w:tc>
          <w:tcPr>
            <w:tcW w:w="37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7574EE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rPr>
              <w:t>备注</w:t>
            </w:r>
          </w:p>
        </w:tc>
      </w:tr>
      <w:tr w14:paraId="6BF3F0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FFDAD01">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6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2FCC22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电源线</w:t>
            </w:r>
          </w:p>
        </w:tc>
        <w:tc>
          <w:tcPr>
            <w:tcW w:w="555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E1CE6D6">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≥RVV3*2.5</w:t>
            </w:r>
          </w:p>
        </w:tc>
        <w:tc>
          <w:tcPr>
            <w:tcW w:w="4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30B320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米</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6F1C27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350</w:t>
            </w:r>
          </w:p>
        </w:tc>
        <w:tc>
          <w:tcPr>
            <w:tcW w:w="376"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AB2411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不包含电费</w:t>
            </w:r>
          </w:p>
        </w:tc>
      </w:tr>
      <w:tr w14:paraId="538473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3C0A0D7">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6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518C6F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电源线</w:t>
            </w:r>
          </w:p>
        </w:tc>
        <w:tc>
          <w:tcPr>
            <w:tcW w:w="555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731C0CD">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≥RVV3*4.0</w:t>
            </w:r>
          </w:p>
        </w:tc>
        <w:tc>
          <w:tcPr>
            <w:tcW w:w="4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67235E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米</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F7DD81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5950</w:t>
            </w:r>
          </w:p>
        </w:tc>
        <w:tc>
          <w:tcPr>
            <w:tcW w:w="376" w:type="dxa"/>
            <w:vMerge w:val="continue"/>
            <w:tcBorders>
              <w:top w:val="nil"/>
              <w:left w:val="single" w:color="000000" w:sz="4" w:space="0"/>
              <w:bottom w:val="single" w:color="000000" w:sz="4" w:space="0"/>
              <w:right w:val="single" w:color="000000" w:sz="4" w:space="0"/>
            </w:tcBorders>
          </w:tcPr>
          <w:p w14:paraId="224BFEE6">
            <w:pPr>
              <w:rPr>
                <w:rFonts w:hint="eastAsia" w:asciiTheme="minorEastAsia" w:hAnsiTheme="minorEastAsia" w:eastAsiaTheme="minorEastAsia" w:cstheme="minorEastAsia"/>
              </w:rPr>
            </w:pPr>
          </w:p>
        </w:tc>
      </w:tr>
      <w:tr w14:paraId="4BDC6D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AE1EDC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6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024D73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电源线</w:t>
            </w:r>
          </w:p>
        </w:tc>
        <w:tc>
          <w:tcPr>
            <w:tcW w:w="555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3347BE3">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≥RVV3*6.0</w:t>
            </w:r>
          </w:p>
        </w:tc>
        <w:tc>
          <w:tcPr>
            <w:tcW w:w="4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A49CBB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米</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5EC6163">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2000</w:t>
            </w:r>
          </w:p>
        </w:tc>
        <w:tc>
          <w:tcPr>
            <w:tcW w:w="376" w:type="dxa"/>
            <w:vMerge w:val="continue"/>
            <w:tcBorders>
              <w:top w:val="nil"/>
              <w:left w:val="single" w:color="000000" w:sz="4" w:space="0"/>
              <w:bottom w:val="single" w:color="000000" w:sz="4" w:space="0"/>
              <w:right w:val="single" w:color="000000" w:sz="4" w:space="0"/>
            </w:tcBorders>
          </w:tcPr>
          <w:p w14:paraId="0A59C38B">
            <w:pPr>
              <w:rPr>
                <w:rFonts w:hint="eastAsia" w:asciiTheme="minorEastAsia" w:hAnsiTheme="minorEastAsia" w:eastAsiaTheme="minorEastAsia" w:cstheme="minorEastAsia"/>
              </w:rPr>
            </w:pPr>
          </w:p>
        </w:tc>
      </w:tr>
      <w:tr w14:paraId="34FEC2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EE64E0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6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6B25EB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立杆</w:t>
            </w:r>
          </w:p>
        </w:tc>
        <w:tc>
          <w:tcPr>
            <w:tcW w:w="555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A602FD2">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用于布放电源线，≥7米水泥杆</w:t>
            </w:r>
          </w:p>
        </w:tc>
        <w:tc>
          <w:tcPr>
            <w:tcW w:w="4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DDF8DF7">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根</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34706B4">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90</w:t>
            </w:r>
          </w:p>
        </w:tc>
        <w:tc>
          <w:tcPr>
            <w:tcW w:w="376" w:type="dxa"/>
            <w:vMerge w:val="continue"/>
            <w:tcBorders>
              <w:top w:val="nil"/>
              <w:left w:val="single" w:color="000000" w:sz="4" w:space="0"/>
              <w:bottom w:val="single" w:color="000000" w:sz="4" w:space="0"/>
              <w:right w:val="single" w:color="000000" w:sz="4" w:space="0"/>
            </w:tcBorders>
          </w:tcPr>
          <w:p w14:paraId="62FD30A4">
            <w:pPr>
              <w:rPr>
                <w:rFonts w:hint="eastAsia" w:asciiTheme="minorEastAsia" w:hAnsiTheme="minorEastAsia" w:eastAsiaTheme="minorEastAsia" w:cstheme="minorEastAsia"/>
              </w:rPr>
            </w:pPr>
          </w:p>
        </w:tc>
      </w:tr>
      <w:tr w14:paraId="179FC5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72FD545">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6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6E5A3F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镀锌钢丝</w:t>
            </w:r>
          </w:p>
        </w:tc>
        <w:tc>
          <w:tcPr>
            <w:tcW w:w="555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1A78729">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≥8号</w:t>
            </w:r>
          </w:p>
        </w:tc>
        <w:tc>
          <w:tcPr>
            <w:tcW w:w="4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2199D8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米</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244A721">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7950</w:t>
            </w:r>
          </w:p>
        </w:tc>
        <w:tc>
          <w:tcPr>
            <w:tcW w:w="376" w:type="dxa"/>
            <w:vMerge w:val="continue"/>
            <w:tcBorders>
              <w:top w:val="nil"/>
              <w:left w:val="single" w:color="000000" w:sz="4" w:space="0"/>
              <w:bottom w:val="single" w:color="000000" w:sz="4" w:space="0"/>
              <w:right w:val="single" w:color="000000" w:sz="4" w:space="0"/>
            </w:tcBorders>
          </w:tcPr>
          <w:p w14:paraId="03F7DF5B">
            <w:pPr>
              <w:rPr>
                <w:rFonts w:hint="eastAsia" w:asciiTheme="minorEastAsia" w:hAnsiTheme="minorEastAsia" w:eastAsiaTheme="minorEastAsia" w:cstheme="minorEastAsia"/>
              </w:rPr>
            </w:pPr>
          </w:p>
        </w:tc>
      </w:tr>
      <w:tr w14:paraId="1CEDF4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0250ECC">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p>
        </w:tc>
        <w:tc>
          <w:tcPr>
            <w:tcW w:w="6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0FE0E30">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PVC管</w:t>
            </w:r>
          </w:p>
        </w:tc>
        <w:tc>
          <w:tcPr>
            <w:tcW w:w="555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7518993">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≥PVC20</w:t>
            </w:r>
          </w:p>
        </w:tc>
        <w:tc>
          <w:tcPr>
            <w:tcW w:w="4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269DED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米</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DE986F6">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6200</w:t>
            </w:r>
          </w:p>
        </w:tc>
        <w:tc>
          <w:tcPr>
            <w:tcW w:w="376" w:type="dxa"/>
            <w:vMerge w:val="continue"/>
            <w:tcBorders>
              <w:top w:val="nil"/>
              <w:left w:val="single" w:color="000000" w:sz="4" w:space="0"/>
              <w:bottom w:val="single" w:color="000000" w:sz="4" w:space="0"/>
              <w:right w:val="single" w:color="000000" w:sz="4" w:space="0"/>
            </w:tcBorders>
          </w:tcPr>
          <w:p w14:paraId="38C1B663">
            <w:pPr>
              <w:rPr>
                <w:rFonts w:hint="eastAsia" w:asciiTheme="minorEastAsia" w:hAnsiTheme="minorEastAsia" w:eastAsiaTheme="minorEastAsia" w:cstheme="minorEastAsia"/>
              </w:rPr>
            </w:pPr>
          </w:p>
        </w:tc>
      </w:tr>
      <w:tr w14:paraId="110438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0ED74BF">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p>
        </w:tc>
        <w:tc>
          <w:tcPr>
            <w:tcW w:w="6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999D5E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PVC管</w:t>
            </w:r>
          </w:p>
        </w:tc>
        <w:tc>
          <w:tcPr>
            <w:tcW w:w="555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A0C97C7">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≥PVC25</w:t>
            </w:r>
          </w:p>
        </w:tc>
        <w:tc>
          <w:tcPr>
            <w:tcW w:w="4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03EC5D1">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米</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11FD72F6">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2000</w:t>
            </w:r>
          </w:p>
        </w:tc>
        <w:tc>
          <w:tcPr>
            <w:tcW w:w="376" w:type="dxa"/>
            <w:vMerge w:val="continue"/>
            <w:tcBorders>
              <w:top w:val="nil"/>
              <w:left w:val="single" w:color="000000" w:sz="4" w:space="0"/>
              <w:bottom w:val="single" w:color="000000" w:sz="4" w:space="0"/>
              <w:right w:val="single" w:color="000000" w:sz="4" w:space="0"/>
            </w:tcBorders>
          </w:tcPr>
          <w:p w14:paraId="106F687B">
            <w:pPr>
              <w:rPr>
                <w:rFonts w:hint="eastAsia" w:asciiTheme="minorEastAsia" w:hAnsiTheme="minorEastAsia" w:eastAsiaTheme="minorEastAsia" w:cstheme="minorEastAsia"/>
              </w:rPr>
            </w:pPr>
          </w:p>
        </w:tc>
      </w:tr>
      <w:tr w14:paraId="4A8B5D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BA174D8">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8</w:t>
            </w:r>
          </w:p>
        </w:tc>
        <w:tc>
          <w:tcPr>
            <w:tcW w:w="6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70CCFCF">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开挖割槽预埋</w:t>
            </w:r>
          </w:p>
        </w:tc>
        <w:tc>
          <w:tcPr>
            <w:tcW w:w="555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5B01F97">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现场制作</w:t>
            </w:r>
          </w:p>
        </w:tc>
        <w:tc>
          <w:tcPr>
            <w:tcW w:w="4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F90B4B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米</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4C6C51D">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600</w:t>
            </w:r>
          </w:p>
        </w:tc>
        <w:tc>
          <w:tcPr>
            <w:tcW w:w="376" w:type="dxa"/>
            <w:vMerge w:val="continue"/>
            <w:tcBorders>
              <w:top w:val="nil"/>
              <w:left w:val="single" w:color="000000" w:sz="4" w:space="0"/>
              <w:bottom w:val="single" w:color="000000" w:sz="4" w:space="0"/>
              <w:right w:val="single" w:color="000000" w:sz="4" w:space="0"/>
            </w:tcBorders>
          </w:tcPr>
          <w:p w14:paraId="6992B2A2">
            <w:pPr>
              <w:rPr>
                <w:rFonts w:hint="eastAsia" w:asciiTheme="minorEastAsia" w:hAnsiTheme="minorEastAsia" w:eastAsiaTheme="minorEastAsia" w:cstheme="minorEastAsia"/>
              </w:rPr>
            </w:pPr>
          </w:p>
        </w:tc>
      </w:tr>
      <w:tr w14:paraId="110BF9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B4ED0D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9</w:t>
            </w:r>
          </w:p>
        </w:tc>
        <w:tc>
          <w:tcPr>
            <w:tcW w:w="6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CC5AFDE">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防雷接地</w:t>
            </w:r>
          </w:p>
        </w:tc>
        <w:tc>
          <w:tcPr>
            <w:tcW w:w="555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B321622">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现场制作</w:t>
            </w:r>
          </w:p>
        </w:tc>
        <w:tc>
          <w:tcPr>
            <w:tcW w:w="4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39313BE7">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项</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786E14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76" w:type="dxa"/>
            <w:vMerge w:val="continue"/>
            <w:tcBorders>
              <w:top w:val="nil"/>
              <w:left w:val="single" w:color="000000" w:sz="4" w:space="0"/>
              <w:bottom w:val="single" w:color="000000" w:sz="4" w:space="0"/>
              <w:right w:val="single" w:color="000000" w:sz="4" w:space="0"/>
            </w:tcBorders>
          </w:tcPr>
          <w:p w14:paraId="7EFB2AB9">
            <w:pPr>
              <w:rPr>
                <w:rFonts w:hint="eastAsia" w:asciiTheme="minorEastAsia" w:hAnsiTheme="minorEastAsia" w:eastAsiaTheme="minorEastAsia" w:cstheme="minorEastAsia"/>
              </w:rPr>
            </w:pPr>
          </w:p>
        </w:tc>
      </w:tr>
      <w:tr w14:paraId="3E31D4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B655D1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10</w:t>
            </w:r>
          </w:p>
        </w:tc>
        <w:tc>
          <w:tcPr>
            <w:tcW w:w="6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247DA9B7">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辅材</w:t>
            </w:r>
          </w:p>
        </w:tc>
        <w:tc>
          <w:tcPr>
            <w:tcW w:w="555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098A009">
            <w:pPr>
              <w:pStyle w:val="7"/>
              <w:numPr>
                <w:ilvl w:val="0"/>
                <w:numId w:val="1"/>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包含分支电源线、六类网络线、接头、铁丝、标签等</w:t>
            </w:r>
          </w:p>
        </w:tc>
        <w:tc>
          <w:tcPr>
            <w:tcW w:w="4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7E571D4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项</w:t>
            </w:r>
          </w:p>
        </w:tc>
        <w:tc>
          <w:tcPr>
            <w:tcW w:w="3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07461F4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376" w:type="dxa"/>
            <w:vMerge w:val="continue"/>
            <w:tcBorders>
              <w:top w:val="nil"/>
              <w:left w:val="single" w:color="000000" w:sz="4" w:space="0"/>
              <w:bottom w:val="single" w:color="000000" w:sz="4" w:space="0"/>
              <w:right w:val="single" w:color="000000" w:sz="4" w:space="0"/>
            </w:tcBorders>
          </w:tcPr>
          <w:p w14:paraId="17F8CA89">
            <w:pPr>
              <w:rPr>
                <w:rFonts w:hint="eastAsia" w:asciiTheme="minorEastAsia" w:hAnsiTheme="minorEastAsia" w:eastAsiaTheme="minorEastAsia" w:cstheme="minorEastAsia"/>
              </w:rPr>
            </w:pPr>
          </w:p>
        </w:tc>
      </w:tr>
    </w:tbl>
    <w:p w14:paraId="0B446C26">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注：1、技术参数要求中已明确有取值范围从其要求，未明确取值范围的技术参数允许±2%偏差。</w:t>
      </w:r>
    </w:p>
    <w:p w14:paraId="2F4C4BA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2、技术和服务要求的所有清单中未参与评分的技术参数（除清单中相同设备已作为评分项的技术参数外）必须逐条响应，未逐条响应或任一项响应负偏离均视为未响应招标文件实质性要求，作无效投标处理。</w:t>
      </w:r>
    </w:p>
    <w:p w14:paraId="0FF23539">
      <w:pPr>
        <w:pStyle w:val="7"/>
        <w:ind w:firstLine="422"/>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3、核心产品</w:t>
      </w:r>
      <w:r>
        <w:rPr>
          <w:rFonts w:hint="eastAsia" w:asciiTheme="minorEastAsia" w:hAnsiTheme="minorEastAsia" w:cstheme="minorEastAsia"/>
          <w:b/>
          <w:sz w:val="24"/>
          <w:lang w:eastAsia="zh-CN"/>
        </w:rPr>
        <w:t>（卡口抓拍单元）</w:t>
      </w:r>
      <w:r>
        <w:rPr>
          <w:rFonts w:hint="eastAsia" w:asciiTheme="minorEastAsia" w:hAnsiTheme="minorEastAsia" w:eastAsiaTheme="minorEastAsia" w:cstheme="minorEastAsia"/>
          <w:b/>
          <w:sz w:val="24"/>
        </w:rPr>
        <w:t>的品牌相同的将被视为一个供应商并按以下规定确定资格条件：使用综合评分法的采购项目，提供相同品牌产品且通过资格审查、符合性审查的不同供应商参加同一合同项下投标的，按一家供应商计算，评审后得分最高的同品牌供应商获得成交供应商推荐资格，其他同品牌供应商不作为成交供应商；评审得分相同的，按投标总报价低者获得成交供应商推荐资格，其他同品牌供应商不作为中标候选供应商推荐。</w:t>
      </w:r>
    </w:p>
    <w:p w14:paraId="7919BF32">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三、商务要求（以“★”标示的内容为不允许负偏离的实质性要求）</w:t>
      </w:r>
    </w:p>
    <w:p w14:paraId="289558DD">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94"/>
        <w:gridCol w:w="1257"/>
        <w:gridCol w:w="1223"/>
        <w:gridCol w:w="4304"/>
      </w:tblGrid>
      <w:tr w14:paraId="753E3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94" w:type="dxa"/>
          </w:tcPr>
          <w:p w14:paraId="496783F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1257" w:type="dxa"/>
          </w:tcPr>
          <w:p w14:paraId="401F963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参数性质</w:t>
            </w:r>
          </w:p>
        </w:tc>
        <w:tc>
          <w:tcPr>
            <w:tcW w:w="1223" w:type="dxa"/>
          </w:tcPr>
          <w:p w14:paraId="0838F091">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类型</w:t>
            </w:r>
          </w:p>
        </w:tc>
        <w:tc>
          <w:tcPr>
            <w:tcW w:w="4304" w:type="dxa"/>
          </w:tcPr>
          <w:p w14:paraId="467A3F23">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要求</w:t>
            </w:r>
          </w:p>
        </w:tc>
      </w:tr>
      <w:tr w14:paraId="2F93C5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94" w:type="dxa"/>
          </w:tcPr>
          <w:p w14:paraId="391EFBD5">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257" w:type="dxa"/>
          </w:tcPr>
          <w:p w14:paraId="395D6068">
            <w:pPr>
              <w:rPr>
                <w:rFonts w:hint="eastAsia" w:asciiTheme="minorEastAsia" w:hAnsiTheme="minorEastAsia" w:eastAsiaTheme="minorEastAsia" w:cstheme="minorEastAsia"/>
              </w:rPr>
            </w:pPr>
          </w:p>
        </w:tc>
        <w:tc>
          <w:tcPr>
            <w:tcW w:w="1223" w:type="dxa"/>
          </w:tcPr>
          <w:p w14:paraId="6CE47F83">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交货时间</w:t>
            </w:r>
          </w:p>
        </w:tc>
        <w:tc>
          <w:tcPr>
            <w:tcW w:w="4304" w:type="dxa"/>
          </w:tcPr>
          <w:p w14:paraId="3D88A96E">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自合同签订之日起100日</w:t>
            </w:r>
          </w:p>
        </w:tc>
      </w:tr>
      <w:tr w14:paraId="24FF86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94" w:type="dxa"/>
          </w:tcPr>
          <w:p w14:paraId="64894983">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1257" w:type="dxa"/>
          </w:tcPr>
          <w:p w14:paraId="317408FA">
            <w:pPr>
              <w:rPr>
                <w:rFonts w:hint="eastAsia" w:asciiTheme="minorEastAsia" w:hAnsiTheme="minorEastAsia" w:eastAsiaTheme="minorEastAsia" w:cstheme="minorEastAsia"/>
              </w:rPr>
            </w:pPr>
          </w:p>
        </w:tc>
        <w:tc>
          <w:tcPr>
            <w:tcW w:w="1223" w:type="dxa"/>
          </w:tcPr>
          <w:p w14:paraId="21DF7251">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交货地点</w:t>
            </w:r>
          </w:p>
        </w:tc>
        <w:tc>
          <w:tcPr>
            <w:tcW w:w="4304" w:type="dxa"/>
          </w:tcPr>
          <w:p w14:paraId="27C864DD">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福建闽江源国家级自然保护区</w:t>
            </w:r>
          </w:p>
        </w:tc>
      </w:tr>
      <w:tr w14:paraId="77DCF3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94" w:type="dxa"/>
          </w:tcPr>
          <w:p w14:paraId="104F2ABC">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1257" w:type="dxa"/>
          </w:tcPr>
          <w:p w14:paraId="025739A8">
            <w:pPr>
              <w:rPr>
                <w:rFonts w:hint="eastAsia" w:asciiTheme="minorEastAsia" w:hAnsiTheme="minorEastAsia" w:eastAsiaTheme="minorEastAsia" w:cstheme="minorEastAsia"/>
              </w:rPr>
            </w:pPr>
          </w:p>
        </w:tc>
        <w:tc>
          <w:tcPr>
            <w:tcW w:w="1223" w:type="dxa"/>
          </w:tcPr>
          <w:p w14:paraId="785729F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交货条件</w:t>
            </w:r>
          </w:p>
        </w:tc>
        <w:tc>
          <w:tcPr>
            <w:tcW w:w="4304" w:type="dxa"/>
          </w:tcPr>
          <w:p w14:paraId="5348CC3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中标人负责所有设备及软件的现场安装、就位、调试，并确保所有设备能够正常运行，各项技术指标符合招标文件要求。</w:t>
            </w:r>
          </w:p>
        </w:tc>
      </w:tr>
      <w:tr w14:paraId="4218FD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94" w:type="dxa"/>
          </w:tcPr>
          <w:p w14:paraId="3954DCE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1257" w:type="dxa"/>
          </w:tcPr>
          <w:p w14:paraId="67E1E009">
            <w:pPr>
              <w:rPr>
                <w:rFonts w:hint="eastAsia" w:asciiTheme="minorEastAsia" w:hAnsiTheme="minorEastAsia" w:eastAsiaTheme="minorEastAsia" w:cstheme="minorEastAsia"/>
              </w:rPr>
            </w:pPr>
          </w:p>
        </w:tc>
        <w:tc>
          <w:tcPr>
            <w:tcW w:w="1223" w:type="dxa"/>
          </w:tcPr>
          <w:p w14:paraId="25BC294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是否邀请投标人验收</w:t>
            </w:r>
          </w:p>
        </w:tc>
        <w:tc>
          <w:tcPr>
            <w:tcW w:w="4304" w:type="dxa"/>
          </w:tcPr>
          <w:p w14:paraId="46D09F4E">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不邀请投标人验收</w:t>
            </w:r>
          </w:p>
        </w:tc>
      </w:tr>
      <w:tr w14:paraId="3F0A04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94" w:type="dxa"/>
          </w:tcPr>
          <w:p w14:paraId="6B04E1F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1257" w:type="dxa"/>
          </w:tcPr>
          <w:p w14:paraId="6E68F49F">
            <w:pPr>
              <w:rPr>
                <w:rFonts w:hint="eastAsia" w:asciiTheme="minorEastAsia" w:hAnsiTheme="minorEastAsia" w:eastAsiaTheme="minorEastAsia" w:cstheme="minorEastAsia"/>
              </w:rPr>
            </w:pPr>
          </w:p>
        </w:tc>
        <w:tc>
          <w:tcPr>
            <w:tcW w:w="1223" w:type="dxa"/>
          </w:tcPr>
          <w:p w14:paraId="21F000B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履约验收方式</w:t>
            </w:r>
          </w:p>
        </w:tc>
        <w:tc>
          <w:tcPr>
            <w:tcW w:w="4304" w:type="dxa"/>
          </w:tcPr>
          <w:p w14:paraId="457C2736">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1、期次1，说明：验收标准 项目应符合招标文件、相关技术规范和国家有关质量标准。设备质量达到设计要求，安装调试各项指标符合技术参数。 验收程序 （1）设备进场：按照设备清单提供完整并且质量达标的设备送达指定地点。 （2）初验：在本项目系统建设工程全部完成并具备试运行条件后进行初验，由</w:t>
            </w:r>
            <w:r>
              <w:rPr>
                <w:rFonts w:hint="eastAsia" w:asciiTheme="minorEastAsia" w:hAnsiTheme="minorEastAsia" w:cstheme="minorEastAsia"/>
                <w:lang w:eastAsia="zh-CN"/>
              </w:rPr>
              <w:t>中标人</w:t>
            </w:r>
            <w:r>
              <w:rPr>
                <w:rFonts w:hint="eastAsia" w:asciiTheme="minorEastAsia" w:hAnsiTheme="minorEastAsia" w:eastAsiaTheme="minorEastAsia" w:cstheme="minorEastAsia"/>
              </w:rPr>
              <w:t>向采购人提出初验申请，采购人根据合同约定和国家的相关标准对项目进行验收，并提出整改意见，如果无整改意见或</w:t>
            </w:r>
            <w:r>
              <w:rPr>
                <w:rFonts w:hint="eastAsia" w:asciiTheme="minorEastAsia" w:hAnsiTheme="minorEastAsia" w:cstheme="minorEastAsia"/>
                <w:lang w:eastAsia="zh-CN"/>
              </w:rPr>
              <w:t>中标人</w:t>
            </w:r>
            <w:r>
              <w:rPr>
                <w:rFonts w:hint="eastAsia" w:asciiTheme="minorEastAsia" w:hAnsiTheme="minorEastAsia" w:eastAsiaTheme="minorEastAsia" w:cstheme="minorEastAsia"/>
              </w:rPr>
              <w:t>按整改意见完成整改后双方签署《初验合格报告》。 （3）终验：自初验完成之日起，系统稳定试运行不少于3个月，</w:t>
            </w:r>
            <w:r>
              <w:rPr>
                <w:rFonts w:hint="eastAsia" w:asciiTheme="minorEastAsia" w:hAnsiTheme="minorEastAsia" w:cstheme="minorEastAsia"/>
                <w:lang w:eastAsia="zh-CN"/>
              </w:rPr>
              <w:t>中标人</w:t>
            </w:r>
            <w:r>
              <w:rPr>
                <w:rFonts w:hint="eastAsia" w:asciiTheme="minorEastAsia" w:hAnsiTheme="minorEastAsia" w:eastAsiaTheme="minorEastAsia" w:cstheme="minorEastAsia"/>
              </w:rPr>
              <w:t>可向采购人提出终验申请。根据初验整改结果由监理方进行确定并出具《终验报告》及相关文件，由采购人组织有关专家和业务部门根据合同约定和国家的相关标准对项目进行终验，并对有异议和疑义项提出书面说明，无异议则签订《终验合格报告》。《终验合格报告》一式肆份，采购人、</w:t>
            </w:r>
            <w:r>
              <w:rPr>
                <w:rFonts w:hint="eastAsia" w:asciiTheme="minorEastAsia" w:hAnsiTheme="minorEastAsia" w:cstheme="minorEastAsia"/>
                <w:lang w:eastAsia="zh-CN"/>
              </w:rPr>
              <w:t>中标人</w:t>
            </w:r>
            <w:r>
              <w:rPr>
                <w:rFonts w:hint="eastAsia" w:asciiTheme="minorEastAsia" w:hAnsiTheme="minorEastAsia" w:eastAsiaTheme="minorEastAsia" w:cstheme="minorEastAsia"/>
              </w:rPr>
              <w:t>、监理方各一份，送招标代理机构各一份（原件）。 （4）若验收结论为不合格，</w:t>
            </w:r>
            <w:r>
              <w:rPr>
                <w:rFonts w:hint="eastAsia" w:asciiTheme="minorEastAsia" w:hAnsiTheme="minorEastAsia" w:cstheme="minorEastAsia"/>
                <w:lang w:eastAsia="zh-CN"/>
              </w:rPr>
              <w:t>中标人</w:t>
            </w:r>
            <w:r>
              <w:rPr>
                <w:rFonts w:hint="eastAsia" w:asciiTheme="minorEastAsia" w:hAnsiTheme="minorEastAsia" w:eastAsiaTheme="minorEastAsia" w:cstheme="minorEastAsia"/>
              </w:rPr>
              <w:t>应在30天内进行整改完毕，整改完毕后再次向采购人提出书面验收申请，采购人应按照验收质量、标准等相关要求择机进行再次验收。 验收费用：项目最终验收过程中所发生的一切费用由</w:t>
            </w:r>
            <w:r>
              <w:rPr>
                <w:rFonts w:hint="eastAsia" w:asciiTheme="minorEastAsia" w:hAnsiTheme="minorEastAsia" w:cstheme="minorEastAsia"/>
                <w:lang w:eastAsia="zh-CN"/>
              </w:rPr>
              <w:t>中标人</w:t>
            </w:r>
            <w:r>
              <w:rPr>
                <w:rFonts w:hint="eastAsia" w:asciiTheme="minorEastAsia" w:hAnsiTheme="minorEastAsia" w:eastAsiaTheme="minorEastAsia" w:cstheme="minorEastAsia"/>
              </w:rPr>
              <w:t>承担。</w:t>
            </w:r>
          </w:p>
        </w:tc>
      </w:tr>
      <w:tr w14:paraId="5BCEEF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94" w:type="dxa"/>
          </w:tcPr>
          <w:p w14:paraId="20CCC720">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p>
        </w:tc>
        <w:tc>
          <w:tcPr>
            <w:tcW w:w="1257" w:type="dxa"/>
          </w:tcPr>
          <w:p w14:paraId="1E1CB28F">
            <w:pPr>
              <w:rPr>
                <w:rFonts w:hint="eastAsia" w:asciiTheme="minorEastAsia" w:hAnsiTheme="minorEastAsia" w:eastAsiaTheme="minorEastAsia" w:cstheme="minorEastAsia"/>
              </w:rPr>
            </w:pPr>
          </w:p>
        </w:tc>
        <w:tc>
          <w:tcPr>
            <w:tcW w:w="1223" w:type="dxa"/>
          </w:tcPr>
          <w:p w14:paraId="5BA1BA3F">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合同支付方式</w:t>
            </w:r>
          </w:p>
        </w:tc>
        <w:tc>
          <w:tcPr>
            <w:tcW w:w="4304" w:type="dxa"/>
          </w:tcPr>
          <w:p w14:paraId="5868E3AA">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1、预付款，合同签订生效后，达到付款条件起30日内，支付合同总金额的</w:t>
            </w:r>
            <w:r>
              <w:rPr>
                <w:rFonts w:hint="eastAsia" w:asciiTheme="minorEastAsia" w:hAnsiTheme="minorEastAsia" w:cstheme="minorEastAsia"/>
                <w:lang w:val="en-US" w:eastAsia="zh-CN"/>
              </w:rPr>
              <w:t>2</w:t>
            </w:r>
            <w:r>
              <w:rPr>
                <w:rFonts w:hint="eastAsia" w:asciiTheme="minorEastAsia" w:hAnsiTheme="minorEastAsia" w:eastAsiaTheme="minorEastAsia" w:cstheme="minorEastAsia"/>
              </w:rPr>
              <w:t>0.00%</w:t>
            </w:r>
          </w:p>
          <w:p w14:paraId="6FB5B201">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2、进度款，设备到场后，达到付款条件起30日内，支付合同总金额的</w:t>
            </w:r>
            <w:r>
              <w:rPr>
                <w:rFonts w:hint="eastAsia" w:asciiTheme="minorEastAsia" w:hAnsiTheme="minorEastAsia" w:cstheme="minorEastAsia"/>
                <w:lang w:val="en-US" w:eastAsia="zh-CN"/>
              </w:rPr>
              <w:t>5</w:t>
            </w:r>
            <w:r>
              <w:rPr>
                <w:rFonts w:hint="eastAsia" w:asciiTheme="minorEastAsia" w:hAnsiTheme="minorEastAsia" w:eastAsiaTheme="minorEastAsia" w:cstheme="minorEastAsia"/>
              </w:rPr>
              <w:t>0.00%</w:t>
            </w:r>
          </w:p>
          <w:p w14:paraId="25B419D3">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3、进度款，项目完成初验且初验结果合格后，达到付款条件起30日内，支付合同总金额的</w:t>
            </w:r>
            <w:r>
              <w:rPr>
                <w:rFonts w:hint="eastAsia" w:asciiTheme="minorEastAsia" w:hAnsiTheme="minorEastAsia" w:cstheme="minorEastAsia"/>
                <w:lang w:val="en-US" w:eastAsia="zh-CN"/>
              </w:rPr>
              <w:t>2</w:t>
            </w:r>
            <w:r>
              <w:rPr>
                <w:rFonts w:hint="eastAsia" w:asciiTheme="minorEastAsia" w:hAnsiTheme="minorEastAsia" w:eastAsiaTheme="minorEastAsia" w:cstheme="minorEastAsia"/>
              </w:rPr>
              <w:t>0.00%</w:t>
            </w:r>
          </w:p>
          <w:p w14:paraId="67583838">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4、进度款，项目完成终验且终验结果合格后，达到付款条件起30日内，支付合同总金额的10.00%</w:t>
            </w:r>
          </w:p>
        </w:tc>
      </w:tr>
      <w:tr w14:paraId="62FC0A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94" w:type="dxa"/>
          </w:tcPr>
          <w:p w14:paraId="3659CBAD">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p>
        </w:tc>
        <w:tc>
          <w:tcPr>
            <w:tcW w:w="1257" w:type="dxa"/>
          </w:tcPr>
          <w:p w14:paraId="714F4CFE">
            <w:pPr>
              <w:rPr>
                <w:rFonts w:hint="eastAsia" w:asciiTheme="minorEastAsia" w:hAnsiTheme="minorEastAsia" w:eastAsiaTheme="minorEastAsia" w:cstheme="minorEastAsia"/>
              </w:rPr>
            </w:pPr>
          </w:p>
        </w:tc>
        <w:tc>
          <w:tcPr>
            <w:tcW w:w="1223" w:type="dxa"/>
          </w:tcPr>
          <w:p w14:paraId="677E1247">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4304" w:type="dxa"/>
          </w:tcPr>
          <w:p w14:paraId="766DA49B">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缴纳</w:t>
            </w:r>
          </w:p>
          <w:p w14:paraId="3724E1D5">
            <w:pPr>
              <w:pStyle w:val="7"/>
              <w:jc w:val="both"/>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缴纳方式：银行转账，支票/汇票/本票，保函/保险。</w:t>
            </w:r>
          </w:p>
          <w:p w14:paraId="1AED5673">
            <w:pPr>
              <w:pStyle w:val="7"/>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说明：中标人在合同签订前须向采购人开具中标金额10%对应金额的履约保证金。在项目售后服务期结束后，中标方无违约行为，采购人于10个工作日内予以原额无息退还中标方的履约保证金。履约保证金可以以银行转账、保函/保险的形式提供。中标方未按规定缴纳履约保证金的，视为中标方无正当理由放弃中标权，须承担相应的法律责任。</w:t>
            </w:r>
          </w:p>
        </w:tc>
      </w:tr>
    </w:tbl>
    <w:p w14:paraId="319A968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其他商务要求</w:t>
      </w:r>
    </w:p>
    <w:p w14:paraId="6D71B8CD">
      <w:pPr>
        <w:pStyle w:val="7"/>
        <w:keepNext w:val="0"/>
        <w:keepLines w:val="0"/>
        <w:pageBreakBefore w:val="0"/>
        <w:widowControl/>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8、售后服务要求</w:t>
      </w:r>
    </w:p>
    <w:p w14:paraId="5E1E2751">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8.1</w:t>
      </w:r>
      <w:r>
        <w:rPr>
          <w:rFonts w:hint="eastAsia" w:asciiTheme="minorEastAsia" w:hAnsiTheme="minorEastAsia" w:eastAsiaTheme="minorEastAsia" w:cstheme="minorEastAsia"/>
          <w:sz w:val="24"/>
          <w:szCs w:val="24"/>
        </w:rPr>
        <w:t>本项目整体的售</w:t>
      </w:r>
      <w:bookmarkStart w:id="0" w:name="_GoBack"/>
      <w:r>
        <w:rPr>
          <w:rFonts w:hint="eastAsia" w:asciiTheme="minorEastAsia" w:hAnsiTheme="minorEastAsia" w:eastAsiaTheme="minorEastAsia" w:cstheme="minorEastAsia"/>
          <w:sz w:val="24"/>
          <w:szCs w:val="24"/>
          <w:highlight w:val="none"/>
        </w:rPr>
        <w:t>后服务期不少于三年（技术参数内有</w:t>
      </w:r>
      <w:bookmarkEnd w:id="0"/>
      <w:r>
        <w:rPr>
          <w:rFonts w:hint="eastAsia" w:asciiTheme="minorEastAsia" w:hAnsiTheme="minorEastAsia" w:eastAsiaTheme="minorEastAsia" w:cstheme="minorEastAsia"/>
          <w:sz w:val="24"/>
          <w:szCs w:val="24"/>
        </w:rPr>
        <w:t>特别要求的，按技术参数内的标准执行，厂家或国家有更长维保期限规定的从其规定），售后服务期从双方签署最终验收报告之日算起。在维保期内，</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需向采购人提供必要软件升级的服务；</w:t>
      </w:r>
    </w:p>
    <w:p w14:paraId="1E954FD9">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8.2</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应成立专门的项目管理机构和运维团队负责该项目的运维管理，并制定详细的责任分工和故障处理流程等规章制度，建立起完善的运维体系。</w:t>
      </w:r>
    </w:p>
    <w:p w14:paraId="4C711B5F">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8.3</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运维管理部门应对每次故障的地点、现象、维护情况以及故障原因分析作详细的记录，并根据采购人要求向采购人提供运维情况分析报告；</w:t>
      </w:r>
    </w:p>
    <w:p w14:paraId="46003587">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8.4</w:t>
      </w:r>
      <w:r>
        <w:rPr>
          <w:rFonts w:hint="eastAsia" w:asciiTheme="minorEastAsia" w:hAnsiTheme="minorEastAsia" w:eastAsiaTheme="minorEastAsia" w:cstheme="minorEastAsia"/>
          <w:sz w:val="24"/>
          <w:szCs w:val="24"/>
        </w:rPr>
        <w:t>售后维护期内（3年内），由于产品本身质量或施工质量原因造成的任何损伤和损坏，</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须无条件负责修理或更换；</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应保障系统能以满足本招标文件中技术要求的性能有效运行，运维过程中涉及的软硬件升级、更换、维修等所产生的费用均包含在本项目采购中，</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应对此进行承诺，采购人不再支付任何费用；</w:t>
      </w:r>
    </w:p>
    <w:p w14:paraId="428767B3">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8.5</w:t>
      </w:r>
      <w:r>
        <w:rPr>
          <w:rFonts w:hint="eastAsia" w:asciiTheme="minorEastAsia" w:hAnsiTheme="minorEastAsia" w:eastAsiaTheme="minorEastAsia" w:cstheme="minorEastAsia"/>
          <w:sz w:val="24"/>
          <w:szCs w:val="24"/>
        </w:rPr>
        <w:t>技术资料要求：</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提供完整的技术资料2套，包括：使用说明书；项目建设过程材料；设备安装调试资料及其合格证书及合同中要求的其他文件资料。</w:t>
      </w:r>
    </w:p>
    <w:p w14:paraId="44F9B09A">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8.6</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应负责组织用户方人员进行培训，使用户能完全熟悉并掌握平台的使用方法和常见一般故障的排除技能。培训分为集中培训和现场培训，集中培训由采购人统一组织各相关部门人员参加，</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负责培训；现场培训由</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根据采购人需求派技术员到指定的部门上门培训。所有培训相关费用由</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承担。</w:t>
      </w:r>
    </w:p>
    <w:p w14:paraId="52D15820">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8.7</w:t>
      </w:r>
      <w:r>
        <w:rPr>
          <w:rFonts w:hint="eastAsia" w:asciiTheme="minorEastAsia" w:hAnsiTheme="minorEastAsia" w:eastAsiaTheme="minorEastAsia" w:cstheme="minorEastAsia"/>
          <w:sz w:val="24"/>
          <w:szCs w:val="24"/>
        </w:rPr>
        <w:t>维保期内，</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应设立24小时热线服务电话，受理采购人系统故障申告、技术咨询。</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在收到采购人系统故障申告后，必须按要求及时解决。</w:t>
      </w:r>
    </w:p>
    <w:p w14:paraId="2AAED4D1">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系统或设备发生故障的，要求</w:t>
      </w:r>
      <w:r>
        <w:rPr>
          <w:rFonts w:hint="eastAsia" w:asciiTheme="minorEastAsia" w:hAnsiTheme="minorEastAsia" w:cstheme="minorEastAsia"/>
          <w:sz w:val="24"/>
          <w:szCs w:val="24"/>
          <w:lang w:val="en-US" w:eastAsia="zh-CN"/>
        </w:rPr>
        <w:t>中标人</w:t>
      </w:r>
      <w:r>
        <w:rPr>
          <w:rFonts w:hint="eastAsia" w:asciiTheme="minorEastAsia" w:hAnsiTheme="minorEastAsia" w:eastAsiaTheme="minorEastAsia" w:cstheme="minorEastAsia"/>
          <w:sz w:val="24"/>
          <w:szCs w:val="24"/>
        </w:rPr>
        <w:t>30分钟内响应，12个小时内到达故障现场。系统或设备发生故障的，应在24小时内修复。若遇特殊情况，需厂家提供技术和设备支持的，经采购人同意在原有基础上可再延长24小时解决。</w:t>
      </w:r>
    </w:p>
    <w:p w14:paraId="08C235FC">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8.8</w:t>
      </w:r>
      <w:r>
        <w:rPr>
          <w:rFonts w:hint="eastAsia" w:asciiTheme="minorEastAsia" w:hAnsiTheme="minorEastAsia" w:eastAsiaTheme="minorEastAsia" w:cstheme="minorEastAsia"/>
          <w:sz w:val="24"/>
          <w:szCs w:val="24"/>
        </w:rPr>
        <w:t>要求维护人员保持通信畅通，7×24小时处于待命抢修，确保网络运行及设备工作状态正常。</w:t>
      </w:r>
    </w:p>
    <w:p w14:paraId="0AEA13E7">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8.9</w:t>
      </w:r>
      <w:r>
        <w:rPr>
          <w:rFonts w:hint="eastAsia" w:asciiTheme="minorEastAsia" w:hAnsiTheme="minorEastAsia" w:eastAsiaTheme="minorEastAsia" w:cstheme="minorEastAsia"/>
          <w:sz w:val="24"/>
          <w:szCs w:val="24"/>
        </w:rPr>
        <w:t>保修期满后，如遇设备故障，</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应及时处理设备故障等质量问题,接到采购人故障通知，响应时间≤2小时；若电话指导无法排除故障,</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技术员应在48小时内到场进行检查、维修并排除故障，费用另行协商。</w:t>
      </w:r>
    </w:p>
    <w:p w14:paraId="007167A9">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9、实施要求</w:t>
      </w:r>
    </w:p>
    <w:p w14:paraId="269C181D">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9.1项目工期</w:t>
      </w:r>
    </w:p>
    <w:p w14:paraId="369F28D3">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本项目要求在合同签订后100日内完成施工。</w:t>
      </w:r>
    </w:p>
    <w:p w14:paraId="5A6B1E35">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9.2施工计划和要求</w:t>
      </w:r>
    </w:p>
    <w:p w14:paraId="0CF92E12">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应制定详细的施工计划，并将施工进度安排计划报采购人备案，确保项目按时完成。采购人将不定期根据进度计划对项目实施进度进行抽查；</w:t>
      </w:r>
    </w:p>
    <w:p w14:paraId="1B40DCE5">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（2）施工过程中的隐蔽工程部分，包括管道敷设等都应在施工时进行拍照存档，项目竣工后作为验收资料交付采购人；</w:t>
      </w:r>
    </w:p>
    <w:p w14:paraId="1A747690">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（3）施工过程中应按照相关要求采取必要的安全防护措施以确保施工安全，施工过程中出现安全责任事故的，由</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和施工方承担相应责任。若发生死亡安全事故，除按国家有关安全管理规定及采购人有关安全管理办法执行外，并报相关行政主管部门处罚；发生重大安全事故或特大安全事故，除按国家有关安全管理规定及采购人有关安全管理办法执行外，采购人保留更换中标供应商的权利，给采购人造成的损失，还应承担赔偿责任。</w:t>
      </w:r>
    </w:p>
    <w:p w14:paraId="3D61902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lang w:val="en-US" w:eastAsia="zh-CN"/>
        </w:rPr>
        <w:t>9.2、</w:t>
      </w:r>
      <w:r>
        <w:rPr>
          <w:rFonts w:hint="eastAsia" w:asciiTheme="minorEastAsia" w:hAnsiTheme="minorEastAsia" w:eastAsiaTheme="minorEastAsia" w:cstheme="minorEastAsia"/>
          <w:kern w:val="0"/>
          <w:sz w:val="24"/>
          <w:szCs w:val="24"/>
        </w:rPr>
        <w:t>设备安装调试</w:t>
      </w:r>
    </w:p>
    <w:p w14:paraId="62E4965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9.2</w:t>
      </w:r>
      <w:r>
        <w:rPr>
          <w:rFonts w:hint="eastAsia" w:asciiTheme="minorEastAsia" w:hAnsiTheme="minorEastAsia" w:eastAsiaTheme="minorEastAsia" w:cstheme="minorEastAsia"/>
          <w:kern w:val="0"/>
          <w:sz w:val="24"/>
          <w:szCs w:val="24"/>
        </w:rPr>
        <w:t>.1中标人负责组织专业技术人员进行设备安装调试，保证各项安装工作顺利进行。</w:t>
      </w:r>
    </w:p>
    <w:p w14:paraId="7669585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9.2.</w:t>
      </w:r>
      <w:r>
        <w:rPr>
          <w:rFonts w:hint="eastAsia" w:asciiTheme="minorEastAsia" w:hAnsiTheme="minorEastAsia" w:eastAsiaTheme="minorEastAsia" w:cstheme="minorEastAsia"/>
          <w:kern w:val="0"/>
          <w:sz w:val="24"/>
          <w:szCs w:val="24"/>
        </w:rPr>
        <w:t>.2项目验收前，中标人须提供完整的技术资料（包括产品说明书、采购人手册、出厂明细表或装箱单、制造厂质量合格证书及其他相关文件资料）。</w:t>
      </w:r>
    </w:p>
    <w:p w14:paraId="426E99F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9.2.</w:t>
      </w:r>
      <w:r>
        <w:rPr>
          <w:rFonts w:hint="eastAsia" w:asciiTheme="minorEastAsia" w:hAnsiTheme="minorEastAsia" w:eastAsiaTheme="minorEastAsia" w:cstheme="minorEastAsia"/>
          <w:kern w:val="0"/>
          <w:sz w:val="24"/>
          <w:szCs w:val="24"/>
        </w:rPr>
        <w:t>3中标人向采购人提供安装和维修所需特殊专用的工具、备件及清单和中文说明书，其费用包括在投标价格内。</w:t>
      </w:r>
    </w:p>
    <w:p w14:paraId="2815273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9.2</w:t>
      </w:r>
      <w:r>
        <w:rPr>
          <w:rFonts w:hint="eastAsia" w:asciiTheme="minorEastAsia" w:hAnsiTheme="minorEastAsia" w:eastAsiaTheme="minorEastAsia" w:cstheme="minorEastAsia"/>
          <w:kern w:val="0"/>
          <w:sz w:val="24"/>
          <w:szCs w:val="24"/>
        </w:rPr>
        <w:t>.4中标人在采购人安装现场到进行最终验收所发生的一切费用由中标人承担。</w:t>
      </w:r>
    </w:p>
    <w:p w14:paraId="79FBAF4D">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10、保密要求</w:t>
      </w:r>
    </w:p>
    <w:p w14:paraId="775C0B6B">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由于本项目涉及到大量的系统及数据，</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在与采购人签订合同时，同时要与采购人另行签订保密协议，以约束其单位和参与人员的行为。不经采购人书面同意，</w:t>
      </w:r>
      <w:r>
        <w:rPr>
          <w:rFonts w:hint="eastAsia" w:asciiTheme="minorEastAsia" w:hAnsiTheme="minorEastAsia" w:cstheme="minorEastAsia"/>
          <w:sz w:val="24"/>
          <w:szCs w:val="24"/>
          <w:lang w:eastAsia="zh-CN"/>
        </w:rPr>
        <w:t>中标人</w:t>
      </w:r>
      <w:r>
        <w:rPr>
          <w:rFonts w:hint="eastAsia" w:asciiTheme="minorEastAsia" w:hAnsiTheme="minorEastAsia" w:eastAsiaTheme="minorEastAsia" w:cstheme="minorEastAsia"/>
          <w:sz w:val="24"/>
          <w:szCs w:val="24"/>
        </w:rPr>
        <w:t>不得在本系统中接入任何其它网络用户、不得将系统或数据提供给第三方使用。双方必须对合作过程中涉及的业务需求、协议、系统设计、技术成果等内容和相关事务保密，未经许可，不得向第三方提供，并不得用于与本项目无关的其它场合，采购人保留追究责任的权利。</w:t>
      </w:r>
    </w:p>
    <w:p w14:paraId="067BDF4C">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11、培训要求</w:t>
      </w:r>
    </w:p>
    <w:p w14:paraId="1BBB9D82">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培训要求交付期间，中标人应根据招标人要求在指定地点进行培训，培训所产生的一切费用由中标人负责。</w:t>
      </w:r>
    </w:p>
    <w:p w14:paraId="20BE5083">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培训目标与对象。针对不同的使用者进行系统管理和使用培训，并制定相应的培训目标、计划、培训内容和要求，编制统一的培训方案和教材。培训对象包括负责本项目建设、运行和维护的专业人员和系统使用人员。培训结束后，提供必要后续的技术指导和支持。</w:t>
      </w:r>
    </w:p>
    <w:p w14:paraId="4E5157EA">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培训计划。本项目投标人应在系统进入试运行期前对招标人的技术人员和操作人 员进行理论、实际操作、技术原理、维修维护、应急处理等方面的培训。培训期间提供相关培训资料，并制定切实可行的培训计划。</w:t>
      </w:r>
    </w:p>
    <w:p w14:paraId="39AFC6BC">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根据招标人要求，培训方式可以采取现场培训、视频会议、录制培训视频、编制 培训材料等方式，相关费用均由中标人承担。</w:t>
      </w:r>
    </w:p>
    <w:p w14:paraId="36A4CB66">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12.报价要求</w:t>
      </w:r>
    </w:p>
    <w:p w14:paraId="33F33DF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12.1.</w:t>
      </w:r>
      <w:r>
        <w:rPr>
          <w:rFonts w:hint="eastAsia" w:asciiTheme="minorEastAsia" w:hAnsiTheme="minorEastAsia"/>
          <w:b/>
          <w:sz w:val="24"/>
        </w:rPr>
        <w:t>本项目按合同总价包干</w:t>
      </w:r>
      <w:r>
        <w:rPr>
          <w:rFonts w:hint="eastAsia" w:asciiTheme="minorEastAsia" w:hAnsiTheme="minorEastAsia"/>
          <w:sz w:val="24"/>
        </w:rPr>
        <w:t>，投标人必须按采购清单填报价格，总报价包括产品价格、运输费、搬运费、安装费、整改费用、质量保修期内的维护费用、调试费、验收费、技术服务费、培训费、保险费、检验、税费、代理服务费、所有安装实施过程中不确定辅材费用等，投标人应充分计算完工所需的最低要求，一旦中标将认为投标人认同遗漏部分并免费提供。</w:t>
      </w:r>
    </w:p>
    <w:p w14:paraId="2B573A66">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12.2投标人在报价时应充分考虑投标后材料、人工、机械费用浮动及今后的任何政策性文件调整的影响进行报价，中标后，不再对单价作任何调整。</w:t>
      </w:r>
    </w:p>
    <w:p w14:paraId="7DE3FF89">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12.3投标人应承诺在随后的项目扩容建设中，采购同种设备与软件的价格水平不高于本次的价格水平。</w:t>
      </w:r>
    </w:p>
    <w:p w14:paraId="3204FCB2">
      <w:pPr>
        <w:pStyle w:val="7"/>
        <w:ind w:firstLine="480"/>
        <w:jc w:val="left"/>
      </w:pPr>
      <w:r>
        <w:rPr>
          <w:rFonts w:hint="eastAsia" w:asciiTheme="minorEastAsia" w:hAnsiTheme="minorEastAsia" w:cstheme="minorEastAsia"/>
          <w:sz w:val="24"/>
          <w:szCs w:val="24"/>
          <w:lang w:val="en-US" w:eastAsia="zh-CN"/>
        </w:rPr>
        <w:t>注：1、</w:t>
      </w:r>
      <w:r>
        <w:rPr>
          <w:rFonts w:ascii="仿宋_GB2312" w:hAnsi="仿宋_GB2312" w:eastAsia="仿宋_GB2312" w:cs="仿宋_GB2312"/>
          <w:b/>
          <w:sz w:val="24"/>
        </w:rPr>
        <w:t>因</w:t>
      </w:r>
      <w:r>
        <w:rPr>
          <w:rFonts w:hint="eastAsia" w:ascii="仿宋_GB2312" w:hAnsi="仿宋_GB2312" w:eastAsia="仿宋_GB2312" w:cs="仿宋_GB2312"/>
          <w:b/>
          <w:sz w:val="24"/>
          <w:lang w:val="en-US" w:eastAsia="zh-CN"/>
        </w:rPr>
        <w:t>采购</w:t>
      </w:r>
      <w:r>
        <w:rPr>
          <w:rFonts w:ascii="仿宋_GB2312" w:hAnsi="仿宋_GB2312" w:eastAsia="仿宋_GB2312" w:cs="仿宋_GB2312"/>
          <w:b/>
          <w:sz w:val="24"/>
        </w:rPr>
        <w:t>系统生成的投标文件的份数未设置纸质投标文件，各</w:t>
      </w:r>
      <w:r>
        <w:rPr>
          <w:rFonts w:hint="eastAsia" w:ascii="仿宋_GB2312" w:hAnsi="仿宋_GB2312" w:eastAsia="仿宋_GB2312" w:cs="仿宋_GB2312"/>
          <w:b/>
          <w:sz w:val="24"/>
          <w:lang w:val="en-US" w:eastAsia="zh-CN"/>
        </w:rPr>
        <w:t>投标人</w:t>
      </w:r>
      <w:r>
        <w:rPr>
          <w:rFonts w:ascii="仿宋_GB2312" w:hAnsi="仿宋_GB2312" w:eastAsia="仿宋_GB2312" w:cs="仿宋_GB2312"/>
          <w:b/>
          <w:sz w:val="24"/>
        </w:rPr>
        <w:t>需在制作电子投标文件时将本招标文件第七章投标文件《报价部分》的《投标分项报价表》明细上传至投标文件的“</w:t>
      </w:r>
      <w:r>
        <w:rPr>
          <w:rFonts w:hint="eastAsia" w:ascii="仿宋_GB2312" w:hAnsi="仿宋_GB2312" w:eastAsia="仿宋_GB2312" w:cs="仿宋_GB2312"/>
          <w:b/>
          <w:sz w:val="24"/>
          <w:lang w:val="en-US" w:eastAsia="zh-CN"/>
        </w:rPr>
        <w:t>节能减排价格扣除部分</w:t>
      </w:r>
      <w:r>
        <w:rPr>
          <w:rFonts w:ascii="仿宋_GB2312" w:hAnsi="仿宋_GB2312" w:eastAsia="仿宋_GB2312" w:cs="仿宋_GB2312"/>
          <w:b/>
          <w:sz w:val="24"/>
        </w:rPr>
        <w:t>”，评委无法判定供应商所投各产品的品牌、型号、单价视同投标文件未实质响应招标文件要求，其投标将被拒绝。</w:t>
      </w:r>
    </w:p>
    <w:p w14:paraId="6605B40E">
      <w:pPr>
        <w:pStyle w:val="7"/>
        <w:numPr>
          <w:ilvl w:val="0"/>
          <w:numId w:val="0"/>
        </w:numPr>
        <w:ind w:firstLine="482" w:firstLineChars="0"/>
        <w:jc w:val="both"/>
        <w:rPr>
          <w:rFonts w:ascii="仿宋_GB2312" w:hAnsi="仿宋_GB2312" w:eastAsia="仿宋_GB2312" w:cs="仿宋_GB2312"/>
          <w:b/>
          <w:sz w:val="24"/>
        </w:rPr>
      </w:pPr>
      <w:r>
        <w:rPr>
          <w:rFonts w:hint="eastAsia" w:ascii="仿宋_GB2312" w:hAnsi="仿宋_GB2312" w:eastAsia="仿宋_GB2312" w:cs="仿宋_GB2312"/>
          <w:b/>
          <w:sz w:val="24"/>
          <w:lang w:val="en-US" w:eastAsia="zh-CN"/>
        </w:rPr>
        <w:t>2、</w:t>
      </w:r>
      <w:r>
        <w:rPr>
          <w:rFonts w:ascii="仿宋_GB2312" w:hAnsi="仿宋_GB2312" w:eastAsia="仿宋_GB2312" w:cs="仿宋_GB2312"/>
          <w:b/>
          <w:sz w:val="24"/>
        </w:rPr>
        <w:t>供应商针对采购包项目清单逐项进行合理报价</w:t>
      </w:r>
    </w:p>
    <w:p w14:paraId="7F050FD1">
      <w:pPr>
        <w:pStyle w:val="7"/>
        <w:numPr>
          <w:ilvl w:val="0"/>
          <w:numId w:val="0"/>
        </w:numPr>
        <w:ind w:firstLine="482" w:firstLineChars="0"/>
        <w:jc w:val="both"/>
      </w:pPr>
      <w:r>
        <w:rPr>
          <w:rFonts w:hint="eastAsia" w:ascii="仿宋_GB2312" w:hAnsi="仿宋_GB2312" w:eastAsia="仿宋_GB2312" w:cs="仿宋_GB2312"/>
          <w:b/>
          <w:sz w:val="24"/>
          <w:lang w:val="en-US" w:eastAsia="zh-CN"/>
        </w:rPr>
        <w:t>3、</w:t>
      </w:r>
      <w:r>
        <w:rPr>
          <w:rFonts w:ascii="仿宋_GB2312" w:hAnsi="仿宋_GB2312" w:eastAsia="仿宋_GB2312" w:cs="仿宋_GB2312"/>
          <w:b/>
          <w:sz w:val="24"/>
        </w:rPr>
        <w:t>本项目因需求变化增项减项，成交供应商应无条件配合，因成交供应商无理报价造成后果由成交供应商自行承担。</w:t>
      </w:r>
    </w:p>
    <w:p w14:paraId="5C8EAA7F">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13、其他要求</w:t>
      </w:r>
    </w:p>
    <w:p w14:paraId="0CF1B4B6">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13.1中标人须保障供应的货物、服务及其他任何部分不受到第三方关于侵犯专利权、商标或工业设计的指控。任何第三方如果提出侵权指控，投标方须与第三方交涉并承担由此而引起的一切法律责任和费用。如在合同签订履行过程中，发标人受到相关利益方的干涉（诸如专利权人声明，律师函等），中标人又无法提供充足证据，发标人有权解除合同或者与其他方签订采购合同。</w:t>
      </w:r>
    </w:p>
    <w:p w14:paraId="000AFBA5">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13.2中标供应商不得以任何名义和理由进行转包、分包，如有发现，采购人有权单方终止合同，视为中标供应商违约；中标供应商还需另行支付相应的赔偿；</w:t>
      </w:r>
    </w:p>
    <w:p w14:paraId="7DC24EA4">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13.3</w:t>
      </w:r>
      <w:r>
        <w:rPr>
          <w:rFonts w:hint="eastAsia" w:asciiTheme="minorEastAsia" w:hAnsiTheme="minorEastAsia" w:eastAsiaTheme="minorEastAsia" w:cstheme="minorEastAsia"/>
          <w:kern w:val="0"/>
          <w:sz w:val="24"/>
          <w:szCs w:val="24"/>
        </w:rPr>
        <w:t>本项目不统一组织现场踏勘，投标人如有需要，请自行与采购单位联系，投标人应充分考虑到项目实施过程可能遇到的困难，充分考虑施工时间的安排合理性，因投标人原因导致本项目不能顺利完成，与采购人无关，由投标人承担责任，采购人有权不予项目验收与付款；项目未按期完成的，由投标人承担违约责任，采购人有权解除合同并要求投标人赔偿损失。</w:t>
      </w:r>
    </w:p>
    <w:p w14:paraId="5DE9C28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13.4</w:t>
      </w:r>
      <w:r>
        <w:rPr>
          <w:rFonts w:hint="eastAsia" w:asciiTheme="minorEastAsia" w:hAnsiTheme="minorEastAsia" w:eastAsiaTheme="minorEastAsia" w:cstheme="minorEastAsia"/>
          <w:kern w:val="0"/>
          <w:sz w:val="24"/>
          <w:szCs w:val="24"/>
        </w:rPr>
        <w:t>本项目投标产品必须为各品牌制造商原厂生产，不接受任何形式的代加工、OEM及其他形式的贴牌产品。发现设备无中文标明的产品名 称、生产厂名和厂址、无产品检验合格证，翻新或以次充好，采购人有权拒绝接收。验收过程中如发现货物与中标人承诺明显不符，采购人有权作换货、退货、不付货款等处理；中标人在收到采购人要求更换货物通知后一周内，全部无条件免费更换货物；发生的一切费用由中标人承担。</w:t>
      </w:r>
    </w:p>
    <w:p w14:paraId="343CB004">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w:t>
      </w: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rPr>
        <w:t>本招标文件未明确的其它约定事项或条款，待采购人与中标供应商签订合同时，由双方协商订立。</w:t>
      </w:r>
    </w:p>
    <w:p w14:paraId="09C9BF13">
      <w:pPr>
        <w:pStyle w:val="7"/>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14、违约责任</w:t>
      </w:r>
    </w:p>
    <w:p w14:paraId="2AC27C6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.1因中标人原因造成采购合同无法按时签订的，视为中标人违约并没收投标人的投标保证金，中标人需按合同价格的10%偿付给采购人违约金。</w:t>
      </w:r>
    </w:p>
    <w:p w14:paraId="022A479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.2在签订采购合同之后，有下列情形之一的，将视为中标人违约，除应退还采购人支付的合同款项以外，采购人还可进一步提出索赔：</w:t>
      </w:r>
    </w:p>
    <w:p w14:paraId="2B09481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.2.1中标人提供的产品实际情况与投标文件响应不符，或未按合同规定的质量要求交货的，采购人有权拒收，由此造成的直接损失和间接损失由中标人赔偿；</w:t>
      </w:r>
    </w:p>
    <w:p w14:paraId="1E1F8B3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.2.2中标人提供的产品不是原装正品或来源渠道不合法、不合规，不能享受原厂或原厂认可的售后维修机构售后服务的；</w:t>
      </w:r>
    </w:p>
    <w:p w14:paraId="3B2C032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.2.3合同签订生效后按合同规定时间内完成最终验收工作为项目完工。延期7天以内（含7天），每延期一天按合同总金额的</w:t>
      </w:r>
      <w:r>
        <w:rPr>
          <w:rFonts w:hint="eastAsia" w:asciiTheme="minorEastAsia" w:hAnsiTheme="minorEastAsia" w:eastAsiaTheme="minorEastAsia" w:cstheme="minorEastAsia"/>
          <w:kern w:val="0"/>
          <w:sz w:val="24"/>
          <w:szCs w:val="24"/>
          <w:lang w:val="en-US" w:eastAsia="zh-CN"/>
        </w:rPr>
        <w:t>3</w:t>
      </w:r>
      <w:r>
        <w:rPr>
          <w:rFonts w:hint="eastAsia" w:asciiTheme="minorEastAsia" w:hAnsiTheme="minorEastAsia" w:eastAsiaTheme="minorEastAsia" w:cstheme="minorEastAsia"/>
          <w:kern w:val="0"/>
          <w:sz w:val="24"/>
          <w:szCs w:val="24"/>
        </w:rPr>
        <w:t>%支付逾期违约金；延期8-15天（含15天），每延期一天按合同总金额的</w:t>
      </w:r>
      <w:r>
        <w:rPr>
          <w:rFonts w:hint="eastAsia" w:asciiTheme="minorEastAsia" w:hAnsiTheme="minorEastAsia" w:eastAsiaTheme="minorEastAsia" w:cstheme="minorEastAsia"/>
          <w:kern w:val="0"/>
          <w:sz w:val="24"/>
          <w:szCs w:val="24"/>
          <w:lang w:val="en-US" w:eastAsia="zh-CN"/>
        </w:rPr>
        <w:t>8</w:t>
      </w:r>
      <w:r>
        <w:rPr>
          <w:rFonts w:hint="eastAsia" w:asciiTheme="minorEastAsia" w:hAnsiTheme="minorEastAsia" w:eastAsiaTheme="minorEastAsia" w:cstheme="minorEastAsia"/>
          <w:kern w:val="0"/>
          <w:sz w:val="24"/>
          <w:szCs w:val="24"/>
        </w:rPr>
        <w:t>%支付逾期违约金；延期16-30天（含30天），每延期一天按合同总金额的</w:t>
      </w:r>
      <w:r>
        <w:rPr>
          <w:rFonts w:hint="eastAsia" w:asciiTheme="minorEastAsia" w:hAnsiTheme="minorEastAsia" w:eastAsiaTheme="minorEastAsia" w:cstheme="minorEastAsia"/>
          <w:kern w:val="0"/>
          <w:sz w:val="24"/>
          <w:szCs w:val="24"/>
          <w:lang w:val="en-US" w:eastAsia="zh-CN"/>
        </w:rPr>
        <w:t>10</w:t>
      </w:r>
      <w:r>
        <w:rPr>
          <w:rFonts w:hint="eastAsia" w:asciiTheme="minorEastAsia" w:hAnsiTheme="minorEastAsia" w:eastAsiaTheme="minorEastAsia" w:cstheme="minorEastAsia"/>
          <w:kern w:val="0"/>
          <w:sz w:val="24"/>
          <w:szCs w:val="24"/>
        </w:rPr>
        <w:t>%支付逾期违约金；延期超过30天，除每延期一天按合同总金额的</w:t>
      </w:r>
      <w:r>
        <w:rPr>
          <w:rFonts w:hint="eastAsia" w:asciiTheme="minorEastAsia" w:hAnsiTheme="minorEastAsia" w:eastAsiaTheme="minorEastAsia" w:cstheme="minorEastAsia"/>
          <w:kern w:val="0"/>
          <w:sz w:val="24"/>
          <w:szCs w:val="24"/>
          <w:lang w:val="en-US" w:eastAsia="zh-CN"/>
        </w:rPr>
        <w:t>15</w:t>
      </w:r>
      <w:r>
        <w:rPr>
          <w:rFonts w:hint="eastAsia" w:asciiTheme="minorEastAsia" w:hAnsiTheme="minorEastAsia" w:eastAsiaTheme="minorEastAsia" w:cstheme="minorEastAsia"/>
          <w:kern w:val="0"/>
          <w:sz w:val="24"/>
          <w:szCs w:val="24"/>
        </w:rPr>
        <w:t>%支付逾期违约金外，采购人有权解除合同。若因此给采购人造成损失的，还应赔偿采购人所受损失。采购人所受损失包括但不限于诉讼费、律师费等为实现债权所产生的一切费用。如未造成重大损失及影响的，采购人也可根据违约金额延长项目维保期限或补充采购相应等值货物。</w:t>
      </w:r>
    </w:p>
    <w:p w14:paraId="228126D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.2.4中标人不能交货或不能完成合同的（不可抗力因素造成的除外）；</w:t>
      </w:r>
    </w:p>
    <w:p w14:paraId="4FBCBB4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.2.5中标人未能按合同规定履行其义务的；</w:t>
      </w:r>
    </w:p>
    <w:p w14:paraId="1668BE0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.2.6在签订采购合同之后，中标人要求解除合同的；</w:t>
      </w:r>
    </w:p>
    <w:p w14:paraId="4B4FC1D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.3中标人履行售后 服务不符合合同约定时，采购人有权扣减尾款。</w:t>
      </w:r>
    </w:p>
    <w:p w14:paraId="4DCCACD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.4因中标人原因发生重大质量事故，除依约承担赔偿责任外，还将按有关质量管理办法规定执行。同时，采购人有权保留更换中标人的权利，并报相关行政主管部门处罚。</w:t>
      </w:r>
    </w:p>
    <w:p w14:paraId="400EF25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.5本招标文件未明确的其它约定事项或条款，待采购人与中标人签订合同时，由双方协商订立。</w:t>
      </w:r>
    </w:p>
    <w:p w14:paraId="1872FB33">
      <w:pPr>
        <w:pStyle w:val="7"/>
        <w:keepNext w:val="0"/>
        <w:keepLines w:val="0"/>
        <w:pageBreakBefore w:val="0"/>
        <w:widowControl/>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rPr>
      </w:pPr>
    </w:p>
    <w:p w14:paraId="1588CF4A">
      <w:pPr>
        <w:pStyle w:val="7"/>
        <w:ind w:firstLine="482"/>
        <w:rPr>
          <w:rFonts w:hint="eastAsia" w:asciiTheme="minorEastAsia" w:hAnsiTheme="minorEastAsia" w:eastAsiaTheme="minorEastAsia" w:cstheme="minorEastAsia"/>
        </w:rPr>
      </w:pPr>
    </w:p>
    <w:p w14:paraId="0DB071D3">
      <w:pPr>
        <w:pStyle w:val="7"/>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四、其他事项</w:t>
      </w:r>
    </w:p>
    <w:p w14:paraId="2C72060E">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1、除招标文件另有规定外，若出现有关法律、法规和规章有强制性规定但招标文件未列明的情形，则投标人应按照有关法律、法规和规章强制性规定执行。</w:t>
      </w:r>
    </w:p>
    <w:p w14:paraId="7B4D1639">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2、其他：</w:t>
      </w:r>
    </w:p>
    <w:p w14:paraId="6D2D5690">
      <w:pPr>
        <w:pStyle w:val="7"/>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无</w:t>
      </w:r>
    </w:p>
    <w:p w14:paraId="78494EF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r>
        <w:rPr>
          <w:rFonts w:hint="eastAsia" w:asciiTheme="minorEastAsia" w:hAnsiTheme="minorEastAsia" w:eastAsiaTheme="minorEastAsia" w:cstheme="minorEastAsia"/>
          <w:b/>
          <w:sz w:val="36"/>
        </w:rPr>
        <w:t>第六章 政府采购合同</w:t>
      </w:r>
    </w:p>
    <w:p w14:paraId="2D4DC6E3">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参考文本</w:t>
      </w:r>
    </w:p>
    <w:p w14:paraId="5B4807C4">
      <w:pPr>
        <w:pStyle w:val="7"/>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 xml:space="preserve"> 政府采购货物买卖合同</w:t>
      </w:r>
    </w:p>
    <w:p w14:paraId="153CA060">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（试行）</w:t>
      </w:r>
    </w:p>
    <w:p w14:paraId="6637567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项目名称： __________________________</w:t>
      </w:r>
    </w:p>
    <w:p w14:paraId="063D19C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合同编号： __________________________</w:t>
      </w:r>
    </w:p>
    <w:p w14:paraId="72574E4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甲   方： __________________________</w:t>
      </w:r>
    </w:p>
    <w:p w14:paraId="19A7D3A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乙   方：__________________________</w:t>
      </w:r>
    </w:p>
    <w:p w14:paraId="78222E0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签订时间：__________________________</w:t>
      </w:r>
    </w:p>
    <w:p w14:paraId="563ADB0F">
      <w:pPr>
        <w:pStyle w:val="7"/>
        <w:rPr>
          <w:rFonts w:hint="eastAsia" w:asciiTheme="minorEastAsia" w:hAnsiTheme="minorEastAsia" w:eastAsiaTheme="minorEastAsia" w:cstheme="minorEastAsia"/>
        </w:rPr>
      </w:pPr>
    </w:p>
    <w:p w14:paraId="74A84736">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使用说明</w:t>
      </w:r>
    </w:p>
    <w:p w14:paraId="491CB4F4">
      <w:pPr>
        <w:pStyle w:val="7"/>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1.本合同标准文本适用于购买现成货物的采购项目，不包括需要供应商定制开发、创新研发的货物采购项目。</w:t>
      </w:r>
    </w:p>
    <w:p w14:paraId="1D47D2D7">
      <w:pPr>
        <w:pStyle w:val="7"/>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2.本合同标准文本为政府采购货物买卖合同编制提供参考，可以结合采购项目具体情况，对文本作必要的调整修订后使用。</w:t>
      </w:r>
    </w:p>
    <w:p w14:paraId="0F995CB4">
      <w:pPr>
        <w:pStyle w:val="7"/>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3.本合同标准文本各条款中，如涉及填写多家供应商、制造商，多种采购标的、分包主要内容等信息的，可根据采购项目具体情况添加信息项。</w:t>
      </w:r>
    </w:p>
    <w:p w14:paraId="1386DEC8">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第一节 政府采购合同协议书</w:t>
      </w:r>
    </w:p>
    <w:p w14:paraId="0CCC8B2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甲方（全称）：___________________________（采购人、受采购人委托签订合同的单位或采购文件约定的合同甲方）</w:t>
      </w:r>
    </w:p>
    <w:p w14:paraId="4AFA6EE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乙方1（全称）：___________________________（供应商）</w:t>
      </w:r>
    </w:p>
    <w:p w14:paraId="7008979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乙方2（全称）：___________________________（联合体成员供应商或其他合同主体）（如有）</w:t>
      </w:r>
    </w:p>
    <w:p w14:paraId="3E09379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乙方3（全称）：___________________________（联合体成员供应商或其他合同主体）（如有）</w:t>
      </w:r>
    </w:p>
    <w:p w14:paraId="1FE370C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3C830BDC">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1.项目信息</w:t>
      </w:r>
    </w:p>
    <w:p w14:paraId="37B258D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(1)采购项目名称：___________________________</w:t>
      </w:r>
    </w:p>
    <w:p w14:paraId="3E979E0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采购项目编号：____________________________</w:t>
      </w:r>
    </w:p>
    <w:p w14:paraId="4EA4AE1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(2)采购计划编号：___________________________</w:t>
      </w:r>
    </w:p>
    <w:p w14:paraId="3332FB5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(3)项目内容：</w:t>
      </w:r>
    </w:p>
    <w:p w14:paraId="3822E1C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采购标的及数量（台/套/个/架/组等）：___________________</w:t>
      </w:r>
    </w:p>
    <w:p w14:paraId="243D0FE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品牌： ___________________ 规格型号：___________________</w:t>
      </w:r>
    </w:p>
    <w:p w14:paraId="4A18663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采购标的的技术要求、商务要求具体见附件。</w:t>
      </w:r>
    </w:p>
    <w:p w14:paraId="0CDF910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①涉及信息类产品，请填写该产品关键部件的品牌、型号：</w:t>
      </w:r>
    </w:p>
    <w:p w14:paraId="559B1D4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标的名称： ___________________</w:t>
      </w:r>
    </w:p>
    <w:p w14:paraId="288E208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关键部件： ___________________ 品牌：___________________ 型号： ___________________</w:t>
      </w:r>
    </w:p>
    <w:p w14:paraId="6FEDDEF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关键部件： ___________________ 品牌：___________________ 型号： ___________________</w:t>
      </w:r>
    </w:p>
    <w:p w14:paraId="6B0D848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关键部件： ___________________ 品牌：___________________ 型号： ___________________</w:t>
      </w:r>
    </w:p>
    <w:p w14:paraId="558476A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（注：关键部件是指财政部会同有关部门发布的政府采购需求标准规定的需要通过国家有关部门指定的测评机构开展的安全可靠测评的软硬件，如CPU芯片、操作系统、数据库等。）</w:t>
      </w:r>
    </w:p>
    <w:p w14:paraId="0557887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②涉及车辆采购，请填写是否属于新能源汽车：</w:t>
      </w:r>
    </w:p>
    <w:p w14:paraId="1ECE360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是，《政府采购品目分类目录》底级品目名称：__________  数量：__________  金额：__________</w:t>
      </w:r>
    </w:p>
    <w:p w14:paraId="6CBD30F4">
      <w:pPr>
        <w:pStyle w:val="7"/>
        <w:spacing w:line="30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23A671D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(4)政府采购组织形式：政府集中采购 部门集中采购 分散采购</w:t>
      </w:r>
    </w:p>
    <w:p w14:paraId="4F347DA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(5)政府采购方式：公开招标 邀请招标 竞争性谈判 竞争性磋商询价 单一来源 框架协议 其他：____________________</w:t>
      </w:r>
    </w:p>
    <w:p w14:paraId="0E3B937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(6)中标（成交）采购标的制造商是否为中小企业：是否</w:t>
      </w:r>
    </w:p>
    <w:p w14:paraId="4B9F454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本合同是否为专门面向中小企业的采购合同（中小企业预留合同）：是否</w:t>
      </w:r>
    </w:p>
    <w:p w14:paraId="1A6F555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若本项目不专门面向中小企业采购，是否给予小微企业评审优惠：是否</w:t>
      </w:r>
    </w:p>
    <w:p w14:paraId="03ECCCB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中标（成交）采购标的制造商是否为残疾人福利性单位：是否</w:t>
      </w:r>
    </w:p>
    <w:p w14:paraId="0B851D6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中标（成交）采购标的制造商是否为监狱企业：是否</w:t>
      </w:r>
    </w:p>
    <w:p w14:paraId="7780ADD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(7)合同是否分包：是否</w:t>
      </w:r>
    </w:p>
    <w:p w14:paraId="4F75A55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分包主要内容：________________________________________</w:t>
      </w:r>
    </w:p>
    <w:p w14:paraId="528DE26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分包供应商/制造商名称（如供应商和制造商不同，请分别填写）：</w:t>
      </w:r>
    </w:p>
    <w:p w14:paraId="589AC2C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________________________________________</w:t>
      </w:r>
    </w:p>
    <w:p w14:paraId="0736113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分包供应商/制造商类型（如果供应商和制造商不同，只填写制造商类型）：</w:t>
      </w:r>
    </w:p>
    <w:p w14:paraId="45DCD99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大型企业中型企业小微型企业</w:t>
      </w:r>
    </w:p>
    <w:p w14:paraId="48A3FCE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残疾人福利性单位监狱企业其他</w:t>
      </w:r>
    </w:p>
    <w:p w14:paraId="718106B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(8)中标（成交）供应商是否为外商投资企业：是否</w:t>
      </w:r>
    </w:p>
    <w:p w14:paraId="67F8C128">
      <w:pPr>
        <w:pStyle w:val="7"/>
        <w:spacing w:line="300" w:lineRule="auto"/>
        <w:ind w:firstLine="840"/>
        <w:rPr>
          <w:rFonts w:hint="eastAsia" w:asciiTheme="minorEastAsia" w:hAnsiTheme="minorEastAsia" w:eastAsiaTheme="minorEastAsia" w:cstheme="minorEastAsia"/>
        </w:rPr>
      </w:pPr>
      <w:r>
        <w:rPr>
          <w:rFonts w:hint="eastAsia" w:asciiTheme="minorEastAsia" w:hAnsiTheme="minorEastAsia" w:eastAsiaTheme="minorEastAsia" w:cstheme="minorEastAsia"/>
        </w:rPr>
        <w:t>外商投资企业类型：全部由外国投资者投资部分由外国投资者投资</w:t>
      </w:r>
    </w:p>
    <w:p w14:paraId="4D1FC27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（9）是否涉及进口产品：</w:t>
      </w:r>
    </w:p>
    <w:p w14:paraId="5FFF002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是，《政府采购品目分类目录》底级品目名称：__________  金额：__________</w:t>
      </w:r>
    </w:p>
    <w:p w14:paraId="7CF40E5E">
      <w:pPr>
        <w:pStyle w:val="7"/>
        <w:spacing w:line="300" w:lineRule="auto"/>
        <w:ind w:firstLine="1260"/>
        <w:rPr>
          <w:rFonts w:hint="eastAsia" w:asciiTheme="minorEastAsia" w:hAnsiTheme="minorEastAsia" w:eastAsiaTheme="minorEastAsia" w:cstheme="minorEastAsia"/>
        </w:rPr>
      </w:pPr>
      <w:r>
        <w:rPr>
          <w:rFonts w:hint="eastAsia" w:asciiTheme="minorEastAsia" w:hAnsiTheme="minorEastAsia" w:eastAsiaTheme="minorEastAsia" w:cstheme="minorEastAsia"/>
        </w:rPr>
        <w:t>国别：__________  品牌：__________  规格型号__________</w:t>
      </w:r>
    </w:p>
    <w:p w14:paraId="12D6246E">
      <w:pPr>
        <w:pStyle w:val="7"/>
        <w:spacing w:line="300" w:lineRule="auto"/>
        <w:ind w:firstLine="84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1DA70B0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（10）是否涉及节能产品：</w:t>
      </w:r>
    </w:p>
    <w:p w14:paraId="0FCCEDA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是，《节能产品政府采购品目清单》的底级品目名称：__________</w:t>
      </w:r>
    </w:p>
    <w:p w14:paraId="60DD8039">
      <w:pPr>
        <w:pStyle w:val="7"/>
        <w:spacing w:line="300" w:lineRule="auto"/>
        <w:ind w:firstLine="126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强制采购 优先采购</w:t>
      </w:r>
    </w:p>
    <w:p w14:paraId="7606E5D7">
      <w:pPr>
        <w:pStyle w:val="7"/>
        <w:spacing w:line="300" w:lineRule="auto"/>
        <w:ind w:firstLine="84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14833C74">
      <w:pPr>
        <w:pStyle w:val="7"/>
        <w:ind w:firstLine="840"/>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是否涉及环境标志产品：</w:t>
      </w:r>
    </w:p>
    <w:p w14:paraId="226E646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是，《环境标志产品政府采购品目清单》的底级品目名称：__________</w:t>
      </w:r>
    </w:p>
    <w:p w14:paraId="1563B717">
      <w:pPr>
        <w:pStyle w:val="7"/>
        <w:spacing w:line="300" w:lineRule="auto"/>
        <w:ind w:firstLine="126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强制采购 优先采购</w:t>
      </w:r>
    </w:p>
    <w:p w14:paraId="4D1A0F0F">
      <w:pPr>
        <w:pStyle w:val="7"/>
        <w:spacing w:line="300" w:lineRule="auto"/>
        <w:ind w:firstLine="84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382DEB44">
      <w:pPr>
        <w:pStyle w:val="7"/>
        <w:ind w:firstLine="840"/>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是否涉及绿色产品：</w:t>
      </w:r>
    </w:p>
    <w:p w14:paraId="3AF4BA2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是，绿色产品政府采购相关政策确定的底级品目名称：__________</w:t>
      </w:r>
    </w:p>
    <w:p w14:paraId="5C06B6CF">
      <w:pPr>
        <w:pStyle w:val="7"/>
        <w:spacing w:line="300" w:lineRule="auto"/>
        <w:ind w:firstLine="126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强制采购 优先采购</w:t>
      </w:r>
    </w:p>
    <w:p w14:paraId="4DBA35B8">
      <w:pPr>
        <w:pStyle w:val="7"/>
        <w:spacing w:line="300" w:lineRule="auto"/>
        <w:ind w:firstLine="84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4332139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(11)涉及商品包装和快递包装的，是否参考《商品包装政府采购需求标准（试行）》、《快递包装政府采购需求标准（试行）》明确产品及相关快递服务的具体包装要求：</w:t>
      </w:r>
    </w:p>
    <w:p w14:paraId="6084617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是否不涉及</w:t>
      </w:r>
    </w:p>
    <w:p w14:paraId="5584C25D">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2.合同金额</w:t>
      </w:r>
    </w:p>
    <w:p w14:paraId="1D93B57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（1）合同金额小写：____________________</w:t>
      </w:r>
    </w:p>
    <w:p w14:paraId="37D12C5A">
      <w:pPr>
        <w:pStyle w:val="7"/>
        <w:ind w:firstLine="1980"/>
        <w:rPr>
          <w:rFonts w:hint="eastAsia" w:asciiTheme="minorEastAsia" w:hAnsiTheme="minorEastAsia" w:eastAsiaTheme="minorEastAsia" w:cstheme="minorEastAsia"/>
        </w:rPr>
      </w:pPr>
      <w:r>
        <w:rPr>
          <w:rFonts w:hint="eastAsia" w:asciiTheme="minorEastAsia" w:hAnsiTheme="minorEastAsia" w:eastAsiaTheme="minorEastAsia" w:cstheme="minorEastAsia"/>
        </w:rPr>
        <w:t>大写：____________________</w:t>
      </w:r>
    </w:p>
    <w:p w14:paraId="6B93DFD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分包金额（如有）小写：____________________</w:t>
      </w:r>
    </w:p>
    <w:p w14:paraId="054E56DF">
      <w:pPr>
        <w:pStyle w:val="7"/>
        <w:ind w:firstLine="2820"/>
        <w:rPr>
          <w:rFonts w:hint="eastAsia" w:asciiTheme="minorEastAsia" w:hAnsiTheme="minorEastAsia" w:eastAsiaTheme="minorEastAsia" w:cstheme="minorEastAsia"/>
        </w:rPr>
      </w:pPr>
      <w:r>
        <w:rPr>
          <w:rFonts w:hint="eastAsia" w:asciiTheme="minorEastAsia" w:hAnsiTheme="minorEastAsia" w:eastAsiaTheme="minorEastAsia" w:cstheme="minorEastAsia"/>
        </w:rPr>
        <w:t>大写：____________________</w:t>
      </w:r>
    </w:p>
    <w:p w14:paraId="0F10F55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（注：固定单价合同应填写单价和最高限价）</w:t>
      </w:r>
    </w:p>
    <w:p w14:paraId="47FAD52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（2）合同定价方式（采用组合定价方式的，可以勾选多项）：</w:t>
      </w:r>
    </w:p>
    <w:p w14:paraId="43F7DEB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固定总价固定单价成本补偿绩效激励其他__________</w:t>
      </w:r>
    </w:p>
    <w:p w14:paraId="3088BDA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（3）付款方式（按项目实际勾选填写）：</w:t>
      </w:r>
    </w:p>
    <w:p w14:paraId="0432AD7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全额付款：_______（应明确一次性支付合同款项的条件）_____________</w:t>
      </w:r>
    </w:p>
    <w:p w14:paraId="3660554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分期付款：_______（应明确分期支付合同款项的各期比例和支付条件，各期支付条件应与分期履约验收情况挂钩）_____________，其中涉及预付款的：_______ （应明确预付款的支付比例和支付条件）</w:t>
      </w:r>
    </w:p>
    <w:p w14:paraId="7901617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成本补偿：_______（应明确按照成本补偿方式的支付方式和支付条件）___________</w:t>
      </w:r>
    </w:p>
    <w:p w14:paraId="4917A64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绩效激励：_______（应明确按照绩效激励方式的支付方式和支付条件）_________</w:t>
      </w:r>
    </w:p>
    <w:p w14:paraId="1342CC3A">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3.合同履行</w:t>
      </w:r>
    </w:p>
    <w:p w14:paraId="58C370D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（1）起始日期：____________________年____________________月 ____________________日 ，完成日期：____________________年____________________月____________________日。</w:t>
      </w:r>
    </w:p>
    <w:p w14:paraId="0927C35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（2）履约地点：____________________</w:t>
      </w:r>
    </w:p>
    <w:p w14:paraId="0E2BF1B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（3）履约担保：</w:t>
      </w:r>
    </w:p>
    <w:p w14:paraId="13588FA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是否收取履约保证金：是 否</w:t>
      </w:r>
    </w:p>
    <w:p w14:paraId="797CA99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收取履约保证金形式：____________________</w:t>
      </w:r>
    </w:p>
    <w:p w14:paraId="255D272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收取履约保证金金额：____________________</w:t>
      </w:r>
    </w:p>
    <w:p w14:paraId="0D9F1FC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履约担保期限：____________________</w:t>
      </w:r>
    </w:p>
    <w:p w14:paraId="24869006">
      <w:pPr>
        <w:pStyle w:val="7"/>
        <w:ind w:firstLine="510"/>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履约担保期限：____________________</w:t>
      </w:r>
    </w:p>
    <w:p w14:paraId="0EA6AF3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（4）分期履行要求：____________________</w:t>
      </w:r>
    </w:p>
    <w:p w14:paraId="2CEE673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（5）风险处置措施和替代方案：____________________</w:t>
      </w:r>
    </w:p>
    <w:p w14:paraId="18E7B5C6">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4.合同验收</w:t>
      </w:r>
    </w:p>
    <w:p w14:paraId="0555778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（1）验收组织方式：自行验收委托第三方验收</w:t>
      </w:r>
    </w:p>
    <w:p w14:paraId="521D5C1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验收主体：____________________</w:t>
      </w:r>
    </w:p>
    <w:p w14:paraId="238FE81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是否邀请本项目的其他供应商参加验收：是否</w:t>
      </w:r>
    </w:p>
    <w:p w14:paraId="17BF410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是否邀请专家参加验收：是否</w:t>
      </w:r>
    </w:p>
    <w:p w14:paraId="0C5695E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是否邀请服务对象参加验收：是否</w:t>
      </w:r>
    </w:p>
    <w:p w14:paraId="432F5FB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是否邀请第三方检测机构参加验收：是否</w:t>
      </w:r>
    </w:p>
    <w:p w14:paraId="53F79BC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是否进行抽查检测： 是，抽查比例：__________%否</w:t>
      </w:r>
    </w:p>
    <w:p w14:paraId="501D354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是否存在破坏性检测： 是，__________否</w:t>
      </w:r>
    </w:p>
    <w:p w14:paraId="339BCA4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验收组织的其他事项：____________________</w:t>
      </w:r>
    </w:p>
    <w:p w14:paraId="3FB7EC9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（2）履约验收时间：计划于何时验收/供应商提出验收申请之日起_______日内组织验收</w:t>
      </w:r>
    </w:p>
    <w:p w14:paraId="678056B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（3）履约验收方式：一次性验收分期/分项验收：__________</w:t>
      </w:r>
    </w:p>
    <w:p w14:paraId="1921F23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（4）履约验收程序：____________________</w:t>
      </w:r>
    </w:p>
    <w:p w14:paraId="532C338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（5）履约验收的内容：_________（应当包括每一项技术和商务要求的履约情况，特别是落实政府采购扶持中小企业，支持绿色发展和乡村振兴等政策情况）___________</w:t>
      </w:r>
    </w:p>
    <w:p w14:paraId="3E01939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（6）履约验收标准：_____________________________</w:t>
      </w:r>
    </w:p>
    <w:p w14:paraId="69400F3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（7）是否以采购活动中供应商提供的样品作为参考：是否</w:t>
      </w:r>
    </w:p>
    <w:p w14:paraId="2025F18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（8）履约验收其他事项：_______________</w:t>
      </w:r>
    </w:p>
    <w:p w14:paraId="23030C3E">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5.组成合同的文件</w:t>
      </w:r>
    </w:p>
    <w:p w14:paraId="751BFE6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本协议书与下列文件一起构成合同文件，如下述文件之间有任何抵触、矛盾或歧义，应按以下顺序解释：</w:t>
      </w:r>
    </w:p>
    <w:p w14:paraId="646426A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（1）政府采购合同协议书及其变更、补充协议</w:t>
      </w:r>
    </w:p>
    <w:p w14:paraId="07BC6C9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（2）政府采购合同专用条款</w:t>
      </w:r>
    </w:p>
    <w:p w14:paraId="6CF04D0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（3）政府采购合同通用条款</w:t>
      </w:r>
    </w:p>
    <w:p w14:paraId="4CE6C87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（4）中标（成交）通知书</w:t>
      </w:r>
    </w:p>
    <w:p w14:paraId="7DBC6C9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（5）投标（响应）文件</w:t>
      </w:r>
    </w:p>
    <w:p w14:paraId="590EE31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（6）采购文件</w:t>
      </w:r>
    </w:p>
    <w:p w14:paraId="761778A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（7）有关技术文件，图纸</w:t>
      </w:r>
    </w:p>
    <w:p w14:paraId="1803EAF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（8）国家法律、行政法规和规章制度规定或合同约定的作为合同组成部分的其他文件</w:t>
      </w:r>
    </w:p>
    <w:p w14:paraId="4ACA826C">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6.合同生效</w:t>
      </w:r>
    </w:p>
    <w:p w14:paraId="7F51802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本合同自____________________生效。</w:t>
      </w:r>
    </w:p>
    <w:p w14:paraId="395A95FB">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7.合同份数</w:t>
      </w:r>
    </w:p>
    <w:p w14:paraId="799D710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本合同一式 _______ 份，甲方执 _______ 份，乙方执 _______ 份，均具有 法律效力。</w:t>
      </w:r>
    </w:p>
    <w:p w14:paraId="30643FAA">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8.合同融资支付约定</w:t>
      </w:r>
    </w:p>
    <w:p w14:paraId="3B5D0F1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rPr>
        <w:t>8.1本合同已用于政府采购合同融资，为本项目提供合同融资的金融机构为：______，本合同项下所有款项，甲方须支付至本合同约定的乙方账号，未经_______书面同意，不得变更账号。</w:t>
      </w:r>
    </w:p>
    <w:p w14:paraId="3B6DD44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合同订立时间：详见本合同封面的签订时间。</w:t>
      </w:r>
    </w:p>
    <w:p w14:paraId="0DF8E7D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合同订立时间：详见本合同封面的签订时间。</w:t>
      </w:r>
    </w:p>
    <w:p w14:paraId="01A9CB9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合同订立地点： ____________________________</w:t>
      </w:r>
    </w:p>
    <w:p w14:paraId="2225ED7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附件：具体标的及其技术要求和商务要求、联合协议、分包意向协议等。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73FB615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甲方（采购人、受采购人委托签订合同的单位或采购文件约定的合同甲方）</w:t>
      </w:r>
    </w:p>
    <w:p w14:paraId="25F42E1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单位名称（公章或合同章）： {{未填写}}（盖章）</w:t>
      </w:r>
    </w:p>
    <w:p w14:paraId="50A4523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法定代表人或其委托代理人（签章）：{{未填写}}</w:t>
      </w:r>
    </w:p>
    <w:p w14:paraId="39775D1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住 所：{{未填写}}</w:t>
      </w:r>
    </w:p>
    <w:p w14:paraId="43B09E6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 系 人：{{未填写}}</w:t>
      </w:r>
    </w:p>
    <w:p w14:paraId="413A79D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联系电话：{{未填写}}</w:t>
      </w:r>
    </w:p>
    <w:p w14:paraId="0D4A4C5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通信地址：{{未填写}}</w:t>
      </w:r>
    </w:p>
    <w:p w14:paraId="70FE884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邮政编码：{{未填写}}</w:t>
      </w:r>
    </w:p>
    <w:p w14:paraId="23BD4B1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电子邮箱：{{未填写}}</w:t>
      </w:r>
    </w:p>
    <w:p w14:paraId="2A7EACD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统一社会信用代码：{{未填写}}</w:t>
      </w:r>
    </w:p>
    <w:p w14:paraId="5BB8D277">
      <w:pPr>
        <w:pStyle w:val="7"/>
        <w:rPr>
          <w:rFonts w:hint="eastAsia" w:asciiTheme="minorEastAsia" w:hAnsiTheme="minorEastAsia" w:eastAsiaTheme="minorEastAsia" w:cstheme="minorEastAsia"/>
        </w:rPr>
      </w:pPr>
    </w:p>
    <w:p w14:paraId="7129D2D9">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第二节 政府采购合同通用条款</w:t>
      </w:r>
    </w:p>
    <w:p w14:paraId="5C2E0B6F">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 定义</w:t>
      </w:r>
    </w:p>
    <w:p w14:paraId="3D2C5D7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1.1合同当事人</w:t>
      </w:r>
    </w:p>
    <w:p w14:paraId="4145DC7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（1）采购人（以下称甲方）是指使用财政性资金，通过政府采购方式向供应商购买货物及其相关服务的国家机关、事业单位、团体组织。</w:t>
      </w:r>
    </w:p>
    <w:p w14:paraId="63CC4CD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（2）供应商（以下称乙方）是指参加政府采购活动并且中标（成交），向采购人提供合同约定的货物及其相关服务的法人、非法人组织或者自然人。</w:t>
      </w:r>
    </w:p>
    <w:p w14:paraId="687E800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（3）其他合同主体是指除采购人和供应商以外，依法参与合同缔结或履行，享有权利、承担义务的合同当事人。</w:t>
      </w:r>
    </w:p>
    <w:p w14:paraId="2D5E909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1.2本合同下列术语应解释为：</w:t>
      </w:r>
    </w:p>
    <w:p w14:paraId="4094824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69B2572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（2）“合同价款”系指根据本合同规定乙方在全面履行合同义务后甲方应支付给乙方的价款。</w:t>
      </w:r>
    </w:p>
    <w:p w14:paraId="5CAFF8C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（3）“货物”系指乙方根据本合同规定须向甲方提供的各种形态和种类的物品，包括原材料、设备、产品（包括软件）及相关的其备品备件、工具、手册及其他技术资料和材料等。</w:t>
      </w:r>
    </w:p>
    <w:p w14:paraId="316CB55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0EC748D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（5）“分包”系指中标（成交）供应商按采购文件、投标（响应）文件的规定，根据分包意向协议，将中标（成交）项目中的部分履约内容，分给具有相应资质条件的供应商履行合同的行为。</w:t>
      </w:r>
    </w:p>
    <w:p w14:paraId="6371A59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w:t>
      </w:r>
    </w:p>
    <w:p w14:paraId="7BCFF5F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（7）其他术语解释，见</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w:t>
      </w:r>
    </w:p>
    <w:p w14:paraId="76C07C93">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2.合同标的及金额</w:t>
      </w:r>
    </w:p>
    <w:p w14:paraId="46C99BF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2.1 合同标的及金额应与中标（成交）结果一致。乙方为履行本合同而发生的所有费用均应包含在合同价款中，甲方不再另行支付其他任何费用。</w:t>
      </w:r>
    </w:p>
    <w:p w14:paraId="29DBD166">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3. 履行合同的时间、地点和方式</w:t>
      </w:r>
    </w:p>
    <w:p w14:paraId="4ED70B3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3.1 乙方应当在约定的时间、地点，按照约定方式履行合同。</w:t>
      </w:r>
    </w:p>
    <w:p w14:paraId="24F7D052">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4. 甲方的权利和义务</w:t>
      </w:r>
    </w:p>
    <w:p w14:paraId="1B4958C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4.1 签署合同后，甲方应确定项目负责人（或项目联系人），负责与本合同有关的事务。甲方有权对乙方的履约行为进行检查，并及时确认乙方提交的事项。甲方应当配合乙方完成相关项目实施工作。</w:t>
      </w:r>
    </w:p>
    <w:p w14:paraId="332953C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4.2 甲方有权要求乙方按时提交各阶段有关安排计划，并有权定期核对乙方提供货物数量、规格、质量等内容。甲方有权督促乙方工作并要求乙方更换不符合要求的货物。</w:t>
      </w:r>
    </w:p>
    <w:p w14:paraId="4CD4C76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4.3 甲方有权要求乙方对缺陷部分予以修复，并按合同约定享有货物保修及其他合同约定的权利。</w:t>
      </w:r>
    </w:p>
    <w:p w14:paraId="3326705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4.4 甲方应当按照合同约定及时对交付的货物进行验收，未在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约定的期限内对乙方履约提出任何异议或者向乙方作出任何说明的，视为验收通过。</w:t>
      </w:r>
    </w:p>
    <w:p w14:paraId="726A8B8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4.5 甲方应当根据合同约定及时向乙方支付合同价款，不得以内部人员变更、履行内部付款流程等为由，拒绝或迟延支付。</w:t>
      </w:r>
    </w:p>
    <w:p w14:paraId="5BF82AD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4.6 国家法律法规规定及</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约定应由甲方承担的其他义务和责任。</w:t>
      </w:r>
    </w:p>
    <w:p w14:paraId="50EE5D98">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5. 乙方的权利和义务</w:t>
      </w:r>
    </w:p>
    <w:p w14:paraId="22195CF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5.1 签署合同后，乙方应确定项目负责人（或项目联系人），负责与本合同有关的事务。</w:t>
      </w:r>
    </w:p>
    <w:p w14:paraId="2D7226F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34722BC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5.3乙方有权根据合同约定向甲方收取合同价款。</w:t>
      </w:r>
    </w:p>
    <w:p w14:paraId="2ABA0F1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5.4国家法律法规规定及</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约定应由乙方承担的其他义务和责任。</w:t>
      </w:r>
    </w:p>
    <w:p w14:paraId="2642859C">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6.合同履行</w:t>
      </w:r>
    </w:p>
    <w:p w14:paraId="5758CC0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6.1 甲乙双方应当按照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约定顺序履行合同义务；如果没有先后顺序的，应当同时履行。</w:t>
      </w:r>
    </w:p>
    <w:p w14:paraId="6727BC2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6.2 甲乙双方按照合同约定顺序履行合同义务时，应当先履行一方未履行的，后履行一方有权拒绝其履行请求。先履行一方履行不符合约定的，后履行一方有权拒绝其相应的履行请求。</w:t>
      </w:r>
    </w:p>
    <w:p w14:paraId="7CEC4E28">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7. 货物包装、运输、保险和交付要求</w:t>
      </w:r>
    </w:p>
    <w:p w14:paraId="2F7D830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7.1 本合同涉及商品包装、快递包装的，除</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另有约定外，包装应适应远距离运输、防潮、防震、防锈和防野蛮装卸等要求，确保货物安全无损地运抵</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约定的指定现场。</w:t>
      </w:r>
    </w:p>
    <w:p w14:paraId="54861E8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7.2 除</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另有约定外，乙方负责办理将货物运抵本合同规定的交货地点，并装卸、交付至甲方的一切运输事项，相关费用应包含在合同价款中。</w:t>
      </w:r>
    </w:p>
    <w:p w14:paraId="65C008A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7.3 货物保险要求按</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规定执行。</w:t>
      </w:r>
    </w:p>
    <w:p w14:paraId="7C69FD8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F6A758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7.5 乙方在运输到达之前应提前通知甲方，并提示货物运输装卸的注意事项，甲方配合乙方做好货物的接收工作。</w:t>
      </w:r>
    </w:p>
    <w:p w14:paraId="5552AFE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7.6 如因包装、运输问题导致货物损毁、丢失或者品质下降，甲方有权要求降价、换货、拒收部分或整批货物，由此产生的费用和损失，均由乙方承担。</w:t>
      </w:r>
    </w:p>
    <w:p w14:paraId="3FE0FFBE">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8. 质量标准和保证</w:t>
      </w:r>
    </w:p>
    <w:p w14:paraId="4E1972F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8.1 质量标准</w:t>
      </w:r>
    </w:p>
    <w:p w14:paraId="4C8BE09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0E05477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（2）采用中华人民共和国法定计量单位。</w:t>
      </w:r>
    </w:p>
    <w:p w14:paraId="750F840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（3）乙方所提供的货物应符合国家有关安全、环保、卫生的规定。</w:t>
      </w:r>
    </w:p>
    <w:p w14:paraId="6207495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（4）乙方应向甲方提交所提供货物的技术文件，包括相应的中文技术文件，如：产品目录、图纸、操作手册、使用说明、维护手册或服务指南等。上述文件应包装好随货物一同发运。</w:t>
      </w:r>
    </w:p>
    <w:p w14:paraId="4B39283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8.2 保证</w:t>
      </w:r>
    </w:p>
    <w:p w14:paraId="0698D8C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490ECBC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（2）在质量保证期内所发现的缺陷，甲方应尽快以书面形式通知乙方。</w:t>
      </w:r>
    </w:p>
    <w:p w14:paraId="128FBD4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（3）乙方收到通知后，应在【政府采购合同专用条款】规定的响应时间内以合理的速度免费维修或更换有缺陷的货物或部件。</w:t>
      </w:r>
    </w:p>
    <w:p w14:paraId="6BDA5BD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（4）在质量保证期内，如果货物的质量或规格与合同不符，或证实货物是有缺陷的，包括潜在的缺陷或使用不符合要求的材料等，甲方可以根据本合同第15.1条规定以书面形式追究乙方的违约责任。</w:t>
      </w:r>
    </w:p>
    <w:p w14:paraId="755BA51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（5）乙方在约定的时间内未能弥补缺陷，甲方可采取必要的补救措施，但其风险和费用将由乙方承担，甲方根据合同约定对乙方行使的其他权利不受影响。</w:t>
      </w:r>
    </w:p>
    <w:p w14:paraId="38D94A9F">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9. 权利瑕疵担保</w:t>
      </w:r>
    </w:p>
    <w:p w14:paraId="6A30158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9.1 乙方保证对其出售的货物享有合法的权利。</w:t>
      </w:r>
    </w:p>
    <w:p w14:paraId="2CCF933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9.2 乙方保证在交付的货物上不存在抵押权等担保物权。</w:t>
      </w:r>
    </w:p>
    <w:p w14:paraId="69A3052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9.3 如甲方使用上述货物构成对第三人侵权的，则由乙方承担全部责任。</w:t>
      </w:r>
    </w:p>
    <w:p w14:paraId="4EEBEB2F">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10. 知识产权保护</w:t>
      </w:r>
    </w:p>
    <w:p w14:paraId="512ABA4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2677AA57">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11. 保密义务</w:t>
      </w:r>
    </w:p>
    <w:p w14:paraId="2847CB6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中约定。</w:t>
      </w:r>
    </w:p>
    <w:p w14:paraId="6794F985">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12. 合同价款支付</w:t>
      </w:r>
    </w:p>
    <w:p w14:paraId="29BB812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12.1 合同价款支付按照国库集中支付制度及财政管理相关规定执行。</w:t>
      </w:r>
    </w:p>
    <w:p w14:paraId="4E51482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中约定。</w:t>
      </w:r>
    </w:p>
    <w:p w14:paraId="0E298950">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13. 履约保证金</w:t>
      </w:r>
    </w:p>
    <w:p w14:paraId="6A1F7E9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13.1 乙方应当以支票、汇票、本票或者金融机构、担保机构出具的保函等非现金形式提交。</w:t>
      </w:r>
    </w:p>
    <w:p w14:paraId="22A6627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13.2 如果乙方出现</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约定情形的，履约保证金不予退还；如果乙方未能按合同约定全面履行义务，甲方有权从履约保证金中取得补偿或赔偿，且不影响甲方要求乙方承担合同约定的超过履约保证金的违约责任的权利。</w:t>
      </w:r>
    </w:p>
    <w:p w14:paraId="473F966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13.3 甲方在项目通过验收后按照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规定的时间内将履约保证金退还乙方；逾期退还的，乙方可要求甲方支付违约金，违约金按照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规定支付。</w:t>
      </w:r>
    </w:p>
    <w:p w14:paraId="549B1538">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14. 售后服务</w:t>
      </w:r>
    </w:p>
    <w:p w14:paraId="1CC7D0B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14.1 除项目不涉及或采购活动中明确约定无须承担外，乙方还应提供下列服务：</w:t>
      </w:r>
    </w:p>
    <w:p w14:paraId="7777781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（1）货物的现场移动、安装、调试、启动监督及技术支持；</w:t>
      </w:r>
    </w:p>
    <w:p w14:paraId="026854C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（2）提供货物组装和维修所需的专用工具和辅助材料；</w:t>
      </w:r>
    </w:p>
    <w:p w14:paraId="5A95F43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约定的期限内对所有的货物实施运行监督、维修，但前提条件是该服务并不能免除乙方在质量保证期内所承担的义务；</w:t>
      </w:r>
    </w:p>
    <w:p w14:paraId="0E7FBE0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（4）在制造商所在地或指定现场就货物的安装、启动、运营、维护、废弃处置等对甲方操作人员进行培训；</w:t>
      </w:r>
    </w:p>
    <w:p w14:paraId="09156D6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（5）依照法律、行政法规的规定或者按照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约定，货物在有效使用年限届满后应予回收的，乙方负有自行或者委托第三人对货物予以回收的义务；</w:t>
      </w:r>
    </w:p>
    <w:p w14:paraId="324BF4B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规定由乙方提供的其他服务。</w:t>
      </w:r>
    </w:p>
    <w:p w14:paraId="554AE07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14.2 乙方提供的售后服务的费用已包含在合同价款中，甲方不再另行支付。</w:t>
      </w:r>
    </w:p>
    <w:p w14:paraId="5258A46E">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15. 违约责任</w:t>
      </w:r>
    </w:p>
    <w:p w14:paraId="71EC23F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15.1质量瑕疵的违约责任</w:t>
      </w:r>
    </w:p>
    <w:p w14:paraId="68A0D01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乙方提供的产品不符合合同约定的质量标准或存在产品质量缺陷，甲方有权要求乙方根据</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要求及时修理、重作、更换，并承担由此给甲方造成的损失。</w:t>
      </w:r>
    </w:p>
    <w:p w14:paraId="3CB4650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15.2 迟延交货的违约责任</w:t>
      </w:r>
    </w:p>
    <w:p w14:paraId="3EA5934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32F93E5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（2）如果乙方没有按照合同规定的时间交货和提供相关服务，甲方有权从货款中扣除误期赔偿费而不影响合同项下的其他补救方法，赔偿费按</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规定执行。如果涉及公共利益，且赔偿金额无法弥补公共利益损失，甲方可要求继续履行或者采取其他补救措施。</w:t>
      </w:r>
    </w:p>
    <w:p w14:paraId="1A95E48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15.3 迟延支付的违约责任</w:t>
      </w:r>
    </w:p>
    <w:p w14:paraId="498E437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甲方存在迟延支付乙方合同款项的，应当承担</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规定的逾期付款利息。</w:t>
      </w:r>
    </w:p>
    <w:p w14:paraId="48C294A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15.4其他违约责任根据项目实际需要按</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规定执行。</w:t>
      </w:r>
    </w:p>
    <w:p w14:paraId="73D3FB56">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16.合同变更、中止与终止</w:t>
      </w:r>
    </w:p>
    <w:p w14:paraId="023DC49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16.1合同的变更</w:t>
      </w:r>
    </w:p>
    <w:p w14:paraId="5CB8EF2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政府采购合同履行中，在不改变合同其他条款的前提下，甲方可以在合同价款10%的范围内追加与合同标的相同的货物，并就此与乙方协商一致后签订补充协议。</w:t>
      </w:r>
    </w:p>
    <w:p w14:paraId="1B70A46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16.2合同的中止</w:t>
      </w:r>
    </w:p>
    <w:p w14:paraId="29049B8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（1）合同履行过程中因供应商就采购文件、采购过程或结果提起投诉的，甲方认为有必要的，可以中止合同的履行。</w:t>
      </w:r>
    </w:p>
    <w:p w14:paraId="22907E6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E4B193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（3）乙方分立、合并或者变更住所的，应当及时以书面形式告知甲方。乙方没有及时告知甲方，致使合同履行发生困难的，甲方可以中止合同履行并要求乙方承担由此给甲方造成的损失。</w:t>
      </w:r>
    </w:p>
    <w:p w14:paraId="6A62A1E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（4）甲方不得以行政区划调整、政府换届、机构或者职能调整以及相关责任人更替为由中止合同。</w:t>
      </w:r>
    </w:p>
    <w:p w14:paraId="79103C9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16.3合同的终止</w:t>
      </w:r>
    </w:p>
    <w:p w14:paraId="7273C17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（1）合同因有效期限届满而终止；</w:t>
      </w:r>
    </w:p>
    <w:p w14:paraId="6015666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（2）乙方未按合同约定履行，构成根本性违约的，甲方有权终止合同，并追究乙方的违约责任。</w:t>
      </w:r>
    </w:p>
    <w:p w14:paraId="6652345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16.4 涉及国家利益、社会公共利益的情形</w:t>
      </w:r>
    </w:p>
    <w:p w14:paraId="3FE2F74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政府采购合同继续履行将损害国家利益和社会公共利益的，双方当事人应当变更、中止或者终止合同。有过错的一方应当承担赔偿责任，双方都有过错的，各自承担相应的责任。</w:t>
      </w:r>
    </w:p>
    <w:p w14:paraId="4AC6B2F8">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17. 合同分包</w:t>
      </w:r>
    </w:p>
    <w:p w14:paraId="7E58999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17.1 乙方不得将合同转包给其他供应商。涉及合同分包的，乙方应根据采购文件和投标（响应）文件规定进行合同分包。</w:t>
      </w:r>
    </w:p>
    <w:p w14:paraId="111070E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17.2 乙方执行政府采购政策向中小企业依法分包的，乙方应当按采购文件和投标（响应）文件签订分包意向协议，分包意向协议属于本合同组成部分。</w:t>
      </w:r>
    </w:p>
    <w:p w14:paraId="4A01868F">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18. 不可抗力</w:t>
      </w:r>
    </w:p>
    <w:p w14:paraId="191C98E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18.1 不可抗力是指合同双方不能预见、不能避免且不能克服的客观情况。</w:t>
      </w:r>
    </w:p>
    <w:p w14:paraId="3CF9C6F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18.2 任何一方对由于不可抗力造成的部分或全部不能履行合同不承担违约责任。但迟延履行后发生不可抗力的，不能免除责任。</w:t>
      </w:r>
    </w:p>
    <w:p w14:paraId="39C44E4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75EDE571">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19. 解决争议的方法</w:t>
      </w:r>
    </w:p>
    <w:p w14:paraId="23B18DC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19.1 因本合同及合同有关事项发生的争议，由甲乙双方友好协商解决。协商不成时，可以向有关组织申请调解。合同一方或双方不愿调解或调解不成的，可以通过仲裁或诉讼的方式解决争议。</w:t>
      </w:r>
    </w:p>
    <w:p w14:paraId="700CF84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19.2 选择仲裁的，应在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中明确仲裁机构及仲裁地；通过诉讼方式解决的，可以在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中进一步约定选择与争议有实际联系的地点的人民法院管辖，但管辖法院的约定不得违反级别管辖和专属管辖的规定。</w:t>
      </w:r>
    </w:p>
    <w:p w14:paraId="4C8D764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19.3 如甲乙双方有争议的事项不影响合同其他部分的履行，在争议解决期间，合同其他部分应当继续履行。</w:t>
      </w:r>
    </w:p>
    <w:p w14:paraId="70CF0C5E">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20. 政府采购政策</w:t>
      </w:r>
    </w:p>
    <w:p w14:paraId="6943911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20.1 本合同应当按照规定执行政府采购政策。</w:t>
      </w:r>
    </w:p>
    <w:p w14:paraId="1E244D5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7A0E7AC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E3DAFA7">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21. 法律适用</w:t>
      </w:r>
    </w:p>
    <w:p w14:paraId="347DC43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21.1 本合同的订立、生效、解释、履行及与本合同有关的争议解决，均适用法律、行政法规。</w:t>
      </w:r>
    </w:p>
    <w:p w14:paraId="583BFFD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21.2 本合同条款与法律、行政法规的强制性规定不一致的，双方当事人应按照法律、行政法规的强制性规定修改本合同的相关条款。</w:t>
      </w:r>
    </w:p>
    <w:p w14:paraId="248B8903">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22. 通知</w:t>
      </w:r>
    </w:p>
    <w:p w14:paraId="4022A4A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22.1 本合同任何一方向对方发出的通知、信件、数据电文等，应当发送至本合同第一部分《政府采购合同协议书》所约定的通讯地址、联系人、联系电话或电子邮箱。</w:t>
      </w:r>
    </w:p>
    <w:p w14:paraId="63A12B7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22.2 一方当事人变更名称、住所、联系人、联系电话或电子邮箱等信息的，应当在变更后3日内及时书面通知对方，对方实际收到变更通知前的送达仍为有效送达。</w:t>
      </w:r>
    </w:p>
    <w:p w14:paraId="085F24D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22.3本合同一方给另一方的通知均应采用书面形式，传真或快递送到本合同中规定的对方的地址和办理签收手续。</w:t>
      </w:r>
    </w:p>
    <w:p w14:paraId="43342AF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22.4通知以送达之日或通知书中规定的生效之日起生效，两者中以较迟之日为准。</w:t>
      </w:r>
    </w:p>
    <w:p w14:paraId="387E3D25">
      <w:pPr>
        <w:pStyle w:val="7"/>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23.合同未尽事项</w:t>
      </w:r>
    </w:p>
    <w:p w14:paraId="57A08BF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23.1合同未尽事项见</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w:t>
      </w:r>
    </w:p>
    <w:p w14:paraId="5D82A86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23.2 合同附件与合同正文具有同等的法律效力。</w:t>
      </w:r>
    </w:p>
    <w:p w14:paraId="4792889B">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第三节 政府采购合同专用条款</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29320E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tcPr>
          <w:p w14:paraId="1932235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第1.2（6）项</w:t>
            </w:r>
          </w:p>
        </w:tc>
        <w:tc>
          <w:tcPr>
            <w:tcW w:w="2769" w:type="dxa"/>
          </w:tcPr>
          <w:p w14:paraId="7FD3A16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联合体具体要求</w:t>
            </w:r>
          </w:p>
        </w:tc>
        <w:tc>
          <w:tcPr>
            <w:tcW w:w="2769" w:type="dxa"/>
          </w:tcPr>
          <w:p w14:paraId="2C58E51E">
            <w:pPr>
              <w:pStyle w:val="7"/>
              <w:rPr>
                <w:rFonts w:hint="eastAsia" w:asciiTheme="minorEastAsia" w:hAnsiTheme="minorEastAsia" w:eastAsiaTheme="minorEastAsia" w:cstheme="minorEastAsia"/>
              </w:rPr>
            </w:pPr>
          </w:p>
        </w:tc>
      </w:tr>
      <w:tr w14:paraId="6A0A81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EDD309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第1.2（7）项</w:t>
            </w:r>
          </w:p>
        </w:tc>
        <w:tc>
          <w:tcPr>
            <w:tcW w:w="2769" w:type="dxa"/>
          </w:tcPr>
          <w:p w14:paraId="71F7AA7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其他术语解释</w:t>
            </w:r>
          </w:p>
        </w:tc>
        <w:tc>
          <w:tcPr>
            <w:tcW w:w="2769" w:type="dxa"/>
          </w:tcPr>
          <w:p w14:paraId="64219E70">
            <w:pPr>
              <w:pStyle w:val="7"/>
              <w:rPr>
                <w:rFonts w:hint="eastAsia" w:asciiTheme="minorEastAsia" w:hAnsiTheme="minorEastAsia" w:eastAsiaTheme="minorEastAsia" w:cstheme="minorEastAsia"/>
              </w:rPr>
            </w:pPr>
          </w:p>
        </w:tc>
      </w:tr>
      <w:tr w14:paraId="4B62B7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0F1390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第4.4款</w:t>
            </w:r>
          </w:p>
        </w:tc>
        <w:tc>
          <w:tcPr>
            <w:tcW w:w="2769" w:type="dxa"/>
          </w:tcPr>
          <w:p w14:paraId="0981C1C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履约验收中甲方提出异议或作出说明的期限</w:t>
            </w:r>
          </w:p>
        </w:tc>
        <w:tc>
          <w:tcPr>
            <w:tcW w:w="2769" w:type="dxa"/>
          </w:tcPr>
          <w:p w14:paraId="5FC33A0B">
            <w:pPr>
              <w:pStyle w:val="7"/>
              <w:rPr>
                <w:rFonts w:hint="eastAsia" w:asciiTheme="minorEastAsia" w:hAnsiTheme="minorEastAsia" w:eastAsiaTheme="minorEastAsia" w:cstheme="minorEastAsia"/>
              </w:rPr>
            </w:pPr>
          </w:p>
        </w:tc>
      </w:tr>
      <w:tr w14:paraId="29CA1B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3183C1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第4.6款</w:t>
            </w:r>
          </w:p>
        </w:tc>
        <w:tc>
          <w:tcPr>
            <w:tcW w:w="2769" w:type="dxa"/>
          </w:tcPr>
          <w:p w14:paraId="58BCD23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约定甲方承担的其他义务和责任</w:t>
            </w:r>
          </w:p>
        </w:tc>
        <w:tc>
          <w:tcPr>
            <w:tcW w:w="2769" w:type="dxa"/>
          </w:tcPr>
          <w:p w14:paraId="2E7DB95A">
            <w:pPr>
              <w:pStyle w:val="7"/>
              <w:rPr>
                <w:rFonts w:hint="eastAsia" w:asciiTheme="minorEastAsia" w:hAnsiTheme="minorEastAsia" w:eastAsiaTheme="minorEastAsia" w:cstheme="minorEastAsia"/>
              </w:rPr>
            </w:pPr>
          </w:p>
        </w:tc>
      </w:tr>
      <w:tr w14:paraId="1C8009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9C1BCE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第5.4款</w:t>
            </w:r>
          </w:p>
        </w:tc>
        <w:tc>
          <w:tcPr>
            <w:tcW w:w="2769" w:type="dxa"/>
          </w:tcPr>
          <w:p w14:paraId="626FAD6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约定乙方承担的其他义务和责任</w:t>
            </w:r>
          </w:p>
        </w:tc>
        <w:tc>
          <w:tcPr>
            <w:tcW w:w="2769" w:type="dxa"/>
          </w:tcPr>
          <w:p w14:paraId="665A5F0D">
            <w:pPr>
              <w:pStyle w:val="7"/>
              <w:rPr>
                <w:rFonts w:hint="eastAsia" w:asciiTheme="minorEastAsia" w:hAnsiTheme="minorEastAsia" w:eastAsiaTheme="minorEastAsia" w:cstheme="minorEastAsia"/>
              </w:rPr>
            </w:pPr>
          </w:p>
        </w:tc>
      </w:tr>
      <w:tr w14:paraId="515249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4DC786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第6.1款</w:t>
            </w:r>
          </w:p>
        </w:tc>
        <w:tc>
          <w:tcPr>
            <w:tcW w:w="2769" w:type="dxa"/>
          </w:tcPr>
          <w:p w14:paraId="523B147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履行合同义务的顺序</w:t>
            </w:r>
          </w:p>
        </w:tc>
        <w:tc>
          <w:tcPr>
            <w:tcW w:w="2769" w:type="dxa"/>
          </w:tcPr>
          <w:p w14:paraId="30285875">
            <w:pPr>
              <w:pStyle w:val="7"/>
              <w:rPr>
                <w:rFonts w:hint="eastAsia" w:asciiTheme="minorEastAsia" w:hAnsiTheme="minorEastAsia" w:eastAsiaTheme="minorEastAsia" w:cstheme="minorEastAsia"/>
              </w:rPr>
            </w:pPr>
          </w:p>
        </w:tc>
      </w:tr>
      <w:tr w14:paraId="4752C7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25260B1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第7.1款</w:t>
            </w:r>
          </w:p>
        </w:tc>
        <w:tc>
          <w:tcPr>
            <w:tcW w:w="2769" w:type="dxa"/>
          </w:tcPr>
          <w:p w14:paraId="24D4914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包装特殊要求</w:t>
            </w:r>
          </w:p>
        </w:tc>
        <w:tc>
          <w:tcPr>
            <w:tcW w:w="2769" w:type="dxa"/>
          </w:tcPr>
          <w:p w14:paraId="7566D10A">
            <w:pPr>
              <w:pStyle w:val="7"/>
              <w:rPr>
                <w:rFonts w:hint="eastAsia" w:asciiTheme="minorEastAsia" w:hAnsiTheme="minorEastAsia" w:eastAsiaTheme="minorEastAsia" w:cstheme="minorEastAsia"/>
              </w:rPr>
            </w:pPr>
          </w:p>
        </w:tc>
      </w:tr>
      <w:tr w14:paraId="7B9216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21DF92F1">
            <w:pPr>
              <w:rPr>
                <w:rFonts w:hint="eastAsia" w:asciiTheme="minorEastAsia" w:hAnsiTheme="minorEastAsia" w:eastAsiaTheme="minorEastAsia" w:cstheme="minorEastAsia"/>
              </w:rPr>
            </w:pPr>
          </w:p>
        </w:tc>
        <w:tc>
          <w:tcPr>
            <w:tcW w:w="2769" w:type="dxa"/>
          </w:tcPr>
          <w:p w14:paraId="0E9CB0A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指定现场</w:t>
            </w:r>
          </w:p>
        </w:tc>
        <w:tc>
          <w:tcPr>
            <w:tcW w:w="2769" w:type="dxa"/>
          </w:tcPr>
          <w:p w14:paraId="51AE800A">
            <w:pPr>
              <w:pStyle w:val="7"/>
              <w:rPr>
                <w:rFonts w:hint="eastAsia" w:asciiTheme="minorEastAsia" w:hAnsiTheme="minorEastAsia" w:eastAsiaTheme="minorEastAsia" w:cstheme="minorEastAsia"/>
              </w:rPr>
            </w:pPr>
          </w:p>
        </w:tc>
      </w:tr>
      <w:tr w14:paraId="2997A5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38DC5F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第7.2款</w:t>
            </w:r>
          </w:p>
        </w:tc>
        <w:tc>
          <w:tcPr>
            <w:tcW w:w="2769" w:type="dxa"/>
          </w:tcPr>
          <w:p w14:paraId="0E9A3D3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运输特殊要求</w:t>
            </w:r>
          </w:p>
        </w:tc>
        <w:tc>
          <w:tcPr>
            <w:tcW w:w="2769" w:type="dxa"/>
          </w:tcPr>
          <w:p w14:paraId="3332E4A9">
            <w:pPr>
              <w:pStyle w:val="7"/>
              <w:rPr>
                <w:rFonts w:hint="eastAsia" w:asciiTheme="minorEastAsia" w:hAnsiTheme="minorEastAsia" w:eastAsiaTheme="minorEastAsia" w:cstheme="minorEastAsia"/>
              </w:rPr>
            </w:pPr>
          </w:p>
        </w:tc>
      </w:tr>
      <w:tr w14:paraId="01A956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613215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第7.3款</w:t>
            </w:r>
          </w:p>
        </w:tc>
        <w:tc>
          <w:tcPr>
            <w:tcW w:w="2769" w:type="dxa"/>
          </w:tcPr>
          <w:p w14:paraId="0AE7EDF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保险要求</w:t>
            </w:r>
          </w:p>
        </w:tc>
        <w:tc>
          <w:tcPr>
            <w:tcW w:w="2769" w:type="dxa"/>
          </w:tcPr>
          <w:p w14:paraId="7138CA8C">
            <w:pPr>
              <w:pStyle w:val="7"/>
              <w:rPr>
                <w:rFonts w:hint="eastAsia" w:asciiTheme="minorEastAsia" w:hAnsiTheme="minorEastAsia" w:eastAsiaTheme="minorEastAsia" w:cstheme="minorEastAsia"/>
              </w:rPr>
            </w:pPr>
          </w:p>
        </w:tc>
      </w:tr>
      <w:tr w14:paraId="666F5B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59F58E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第8.2（1）项</w:t>
            </w:r>
          </w:p>
        </w:tc>
        <w:tc>
          <w:tcPr>
            <w:tcW w:w="2769" w:type="dxa"/>
          </w:tcPr>
          <w:p w14:paraId="3DE10C5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质量保证期</w:t>
            </w:r>
          </w:p>
        </w:tc>
        <w:tc>
          <w:tcPr>
            <w:tcW w:w="2769" w:type="dxa"/>
          </w:tcPr>
          <w:p w14:paraId="349D073D">
            <w:pPr>
              <w:rPr>
                <w:rFonts w:hint="eastAsia" w:asciiTheme="minorEastAsia" w:hAnsiTheme="minorEastAsia" w:eastAsiaTheme="minorEastAsia" w:cstheme="minorEastAsia"/>
              </w:rPr>
            </w:pPr>
          </w:p>
        </w:tc>
      </w:tr>
      <w:tr w14:paraId="2EB0EA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85A5F6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第8.2（3）项</w:t>
            </w:r>
          </w:p>
        </w:tc>
        <w:tc>
          <w:tcPr>
            <w:tcW w:w="2769" w:type="dxa"/>
          </w:tcPr>
          <w:p w14:paraId="0097E8C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货物质量缺陷响应时间</w:t>
            </w:r>
          </w:p>
        </w:tc>
        <w:tc>
          <w:tcPr>
            <w:tcW w:w="2769" w:type="dxa"/>
          </w:tcPr>
          <w:p w14:paraId="4EFA5F85">
            <w:pPr>
              <w:rPr>
                <w:rFonts w:hint="eastAsia" w:asciiTheme="minorEastAsia" w:hAnsiTheme="minorEastAsia" w:eastAsiaTheme="minorEastAsia" w:cstheme="minorEastAsia"/>
              </w:rPr>
            </w:pPr>
          </w:p>
        </w:tc>
      </w:tr>
      <w:tr w14:paraId="6CCE62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F251F1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第11.1款</w:t>
            </w:r>
          </w:p>
        </w:tc>
        <w:tc>
          <w:tcPr>
            <w:tcW w:w="2769" w:type="dxa"/>
          </w:tcPr>
          <w:p w14:paraId="0CAD6FD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其他应当保密的信息</w:t>
            </w:r>
          </w:p>
        </w:tc>
        <w:tc>
          <w:tcPr>
            <w:tcW w:w="2769" w:type="dxa"/>
          </w:tcPr>
          <w:p w14:paraId="32A93C03">
            <w:pPr>
              <w:rPr>
                <w:rFonts w:hint="eastAsia" w:asciiTheme="minorEastAsia" w:hAnsiTheme="minorEastAsia" w:eastAsiaTheme="minorEastAsia" w:cstheme="minorEastAsia"/>
              </w:rPr>
            </w:pPr>
          </w:p>
        </w:tc>
      </w:tr>
      <w:tr w14:paraId="2FF2F9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6E6444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第12.2款</w:t>
            </w:r>
          </w:p>
        </w:tc>
        <w:tc>
          <w:tcPr>
            <w:tcW w:w="2769" w:type="dxa"/>
          </w:tcPr>
          <w:p w14:paraId="0DC46E4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合同价款支付时间</w:t>
            </w:r>
          </w:p>
        </w:tc>
        <w:tc>
          <w:tcPr>
            <w:tcW w:w="2769" w:type="dxa"/>
          </w:tcPr>
          <w:p w14:paraId="4C28D668">
            <w:pPr>
              <w:rPr>
                <w:rFonts w:hint="eastAsia" w:asciiTheme="minorEastAsia" w:hAnsiTheme="minorEastAsia" w:eastAsiaTheme="minorEastAsia" w:cstheme="minorEastAsia"/>
              </w:rPr>
            </w:pPr>
          </w:p>
        </w:tc>
      </w:tr>
      <w:tr w14:paraId="2E116B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929F1F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第13.2款</w:t>
            </w:r>
          </w:p>
        </w:tc>
        <w:tc>
          <w:tcPr>
            <w:tcW w:w="2769" w:type="dxa"/>
          </w:tcPr>
          <w:p w14:paraId="24C9CD1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履约保证金不予退还的情形</w:t>
            </w:r>
          </w:p>
        </w:tc>
        <w:tc>
          <w:tcPr>
            <w:tcW w:w="2769" w:type="dxa"/>
          </w:tcPr>
          <w:p w14:paraId="4229B75A">
            <w:pPr>
              <w:rPr>
                <w:rFonts w:hint="eastAsia" w:asciiTheme="minorEastAsia" w:hAnsiTheme="minorEastAsia" w:eastAsiaTheme="minorEastAsia" w:cstheme="minorEastAsia"/>
              </w:rPr>
            </w:pPr>
          </w:p>
        </w:tc>
      </w:tr>
      <w:tr w14:paraId="377E59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E87190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第13.3款</w:t>
            </w:r>
          </w:p>
        </w:tc>
        <w:tc>
          <w:tcPr>
            <w:tcW w:w="2769" w:type="dxa"/>
          </w:tcPr>
          <w:p w14:paraId="358F6F0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履约保证金退还时间及逾期退还的违约金</w:t>
            </w:r>
          </w:p>
        </w:tc>
        <w:tc>
          <w:tcPr>
            <w:tcW w:w="2769" w:type="dxa"/>
          </w:tcPr>
          <w:p w14:paraId="3A9D2D8B">
            <w:pPr>
              <w:rPr>
                <w:rFonts w:hint="eastAsia" w:asciiTheme="minorEastAsia" w:hAnsiTheme="minorEastAsia" w:eastAsiaTheme="minorEastAsia" w:cstheme="minorEastAsia"/>
              </w:rPr>
            </w:pPr>
          </w:p>
        </w:tc>
      </w:tr>
      <w:tr w14:paraId="037245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C168ED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第14.1（3）项</w:t>
            </w:r>
          </w:p>
        </w:tc>
        <w:tc>
          <w:tcPr>
            <w:tcW w:w="2769" w:type="dxa"/>
          </w:tcPr>
          <w:p w14:paraId="647B888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运行监督、维修期限</w:t>
            </w:r>
          </w:p>
        </w:tc>
        <w:tc>
          <w:tcPr>
            <w:tcW w:w="2769" w:type="dxa"/>
          </w:tcPr>
          <w:p w14:paraId="12E64D7D">
            <w:pPr>
              <w:rPr>
                <w:rFonts w:hint="eastAsia" w:asciiTheme="minorEastAsia" w:hAnsiTheme="minorEastAsia" w:eastAsiaTheme="minorEastAsia" w:cstheme="minorEastAsia"/>
              </w:rPr>
            </w:pPr>
          </w:p>
        </w:tc>
      </w:tr>
      <w:tr w14:paraId="7B1FEA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450194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第14.1（5）项</w:t>
            </w:r>
          </w:p>
        </w:tc>
        <w:tc>
          <w:tcPr>
            <w:tcW w:w="2769" w:type="dxa"/>
          </w:tcPr>
          <w:p w14:paraId="30ADCCE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货物回收的约定</w:t>
            </w:r>
          </w:p>
        </w:tc>
        <w:tc>
          <w:tcPr>
            <w:tcW w:w="2769" w:type="dxa"/>
          </w:tcPr>
          <w:p w14:paraId="1F6828E4">
            <w:pPr>
              <w:rPr>
                <w:rFonts w:hint="eastAsia" w:asciiTheme="minorEastAsia" w:hAnsiTheme="minorEastAsia" w:eastAsiaTheme="minorEastAsia" w:cstheme="minorEastAsia"/>
              </w:rPr>
            </w:pPr>
          </w:p>
        </w:tc>
      </w:tr>
      <w:tr w14:paraId="15C8B8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62007E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第14.1（6）项</w:t>
            </w:r>
          </w:p>
        </w:tc>
        <w:tc>
          <w:tcPr>
            <w:tcW w:w="2769" w:type="dxa"/>
          </w:tcPr>
          <w:p w14:paraId="7E28263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乙方提供的其他服务</w:t>
            </w:r>
          </w:p>
        </w:tc>
        <w:tc>
          <w:tcPr>
            <w:tcW w:w="2769" w:type="dxa"/>
          </w:tcPr>
          <w:p w14:paraId="28DFBDF2">
            <w:pPr>
              <w:rPr>
                <w:rFonts w:hint="eastAsia" w:asciiTheme="minorEastAsia" w:hAnsiTheme="minorEastAsia" w:eastAsiaTheme="minorEastAsia" w:cstheme="minorEastAsia"/>
              </w:rPr>
            </w:pPr>
          </w:p>
        </w:tc>
      </w:tr>
      <w:tr w14:paraId="140CEB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2030B3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第15.1款</w:t>
            </w:r>
          </w:p>
        </w:tc>
        <w:tc>
          <w:tcPr>
            <w:tcW w:w="2769" w:type="dxa"/>
          </w:tcPr>
          <w:p w14:paraId="6265983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修理、重作、更换相关具体规定</w:t>
            </w:r>
          </w:p>
        </w:tc>
        <w:tc>
          <w:tcPr>
            <w:tcW w:w="2769" w:type="dxa"/>
          </w:tcPr>
          <w:p w14:paraId="16B13030">
            <w:pPr>
              <w:rPr>
                <w:rFonts w:hint="eastAsia" w:asciiTheme="minorEastAsia" w:hAnsiTheme="minorEastAsia" w:eastAsiaTheme="minorEastAsia" w:cstheme="minorEastAsia"/>
              </w:rPr>
            </w:pPr>
          </w:p>
        </w:tc>
      </w:tr>
      <w:tr w14:paraId="21E795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2E9827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第15.2（2）项</w:t>
            </w:r>
          </w:p>
        </w:tc>
        <w:tc>
          <w:tcPr>
            <w:tcW w:w="2769" w:type="dxa"/>
          </w:tcPr>
          <w:p w14:paraId="79996E7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迟延交货赔偿费</w:t>
            </w:r>
          </w:p>
        </w:tc>
        <w:tc>
          <w:tcPr>
            <w:tcW w:w="2769" w:type="dxa"/>
          </w:tcPr>
          <w:p w14:paraId="7B7DC520">
            <w:pPr>
              <w:rPr>
                <w:rFonts w:hint="eastAsia" w:asciiTheme="minorEastAsia" w:hAnsiTheme="minorEastAsia" w:eastAsiaTheme="minorEastAsia" w:cstheme="minorEastAsia"/>
              </w:rPr>
            </w:pPr>
          </w:p>
        </w:tc>
      </w:tr>
      <w:tr w14:paraId="665CAB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DC174F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第15.3款</w:t>
            </w:r>
          </w:p>
        </w:tc>
        <w:tc>
          <w:tcPr>
            <w:tcW w:w="2769" w:type="dxa"/>
          </w:tcPr>
          <w:p w14:paraId="694A468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逾期付款利息</w:t>
            </w:r>
          </w:p>
        </w:tc>
        <w:tc>
          <w:tcPr>
            <w:tcW w:w="2769" w:type="dxa"/>
          </w:tcPr>
          <w:p w14:paraId="1D853383">
            <w:pPr>
              <w:rPr>
                <w:rFonts w:hint="eastAsia" w:asciiTheme="minorEastAsia" w:hAnsiTheme="minorEastAsia" w:eastAsiaTheme="minorEastAsia" w:cstheme="minorEastAsia"/>
              </w:rPr>
            </w:pPr>
          </w:p>
        </w:tc>
      </w:tr>
      <w:tr w14:paraId="06BAA0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C19C41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第15.4款</w:t>
            </w:r>
          </w:p>
        </w:tc>
        <w:tc>
          <w:tcPr>
            <w:tcW w:w="2769" w:type="dxa"/>
          </w:tcPr>
          <w:p w14:paraId="7E5FF2C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其他违约责任</w:t>
            </w:r>
          </w:p>
        </w:tc>
        <w:tc>
          <w:tcPr>
            <w:tcW w:w="2769" w:type="dxa"/>
          </w:tcPr>
          <w:p w14:paraId="5BC1CA8B">
            <w:pPr>
              <w:rPr>
                <w:rFonts w:hint="eastAsia" w:asciiTheme="minorEastAsia" w:hAnsiTheme="minorEastAsia" w:eastAsiaTheme="minorEastAsia" w:cstheme="minorEastAsia"/>
              </w:rPr>
            </w:pPr>
          </w:p>
        </w:tc>
      </w:tr>
      <w:tr w14:paraId="1D00C6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2CEFC8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第19.2款</w:t>
            </w:r>
          </w:p>
        </w:tc>
        <w:tc>
          <w:tcPr>
            <w:tcW w:w="2769" w:type="dxa"/>
          </w:tcPr>
          <w:p w14:paraId="3C43226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解决争议的方法</w:t>
            </w:r>
          </w:p>
        </w:tc>
        <w:tc>
          <w:tcPr>
            <w:tcW w:w="2769" w:type="dxa"/>
          </w:tcPr>
          <w:p w14:paraId="70C2E56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因本合同及合同有关事项发生的争议，按下列第____ 种方式解决：</w:t>
            </w:r>
          </w:p>
          <w:p w14:paraId="42B0A5E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（1）向 __________________仲裁委员会申请仲裁，仲裁地点为 ____________ ；</w:t>
            </w:r>
          </w:p>
          <w:p w14:paraId="43F375F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（2）向__________________人民法院起诉。</w:t>
            </w:r>
          </w:p>
        </w:tc>
      </w:tr>
      <w:tr w14:paraId="44BFF5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5D2571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第23.1款</w:t>
            </w:r>
          </w:p>
        </w:tc>
        <w:tc>
          <w:tcPr>
            <w:tcW w:w="2769" w:type="dxa"/>
          </w:tcPr>
          <w:p w14:paraId="6515B6B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其他专用条款</w:t>
            </w:r>
          </w:p>
        </w:tc>
        <w:tc>
          <w:tcPr>
            <w:tcW w:w="2769" w:type="dxa"/>
          </w:tcPr>
          <w:p w14:paraId="4572E50D">
            <w:pPr>
              <w:rPr>
                <w:rFonts w:hint="eastAsia" w:asciiTheme="minorEastAsia" w:hAnsiTheme="minorEastAsia" w:eastAsiaTheme="minorEastAsia" w:cstheme="minorEastAsia"/>
              </w:rPr>
            </w:pPr>
          </w:p>
        </w:tc>
      </w:tr>
    </w:tbl>
    <w:p w14:paraId="79BBB33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145C3DC">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第七章 电子投标文件格式</w:t>
      </w:r>
    </w:p>
    <w:p w14:paraId="4B80E551">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编制说明</w:t>
      </w:r>
    </w:p>
    <w:p w14:paraId="3ABFFBD7">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1、除招标文件另有规定外，本章中：</w:t>
      </w:r>
    </w:p>
    <w:p w14:paraId="5E5BE56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1.1涉及投标人的“全称”：</w:t>
      </w:r>
    </w:p>
    <w:p w14:paraId="2F77737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（1）不接受联合体投标的，指投标人的全称。</w:t>
      </w:r>
    </w:p>
    <w:p w14:paraId="71E11FB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（2）接受联合体投标且投标人为联合体的，指牵头方的全称并加注（联合体牵头方），即应表述为：“牵头方的全称（联合体牵头方）”。</w:t>
      </w:r>
    </w:p>
    <w:p w14:paraId="5C9F037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1.2涉及投标人“加盖单位公章”：</w:t>
      </w:r>
    </w:p>
    <w:p w14:paraId="6D0F1A2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（1）不接受联合体投标的，指加盖投标人的单位公章。</w:t>
      </w:r>
    </w:p>
    <w:p w14:paraId="474E998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（2）接受联合体投标且投标人为联合体的，指加盖联合体牵头方的单位公章。</w:t>
      </w:r>
    </w:p>
    <w:p w14:paraId="136B331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1.3涉及“投标人代表签字”：</w:t>
      </w:r>
    </w:p>
    <w:p w14:paraId="53BFF77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（1）不接受联合体投标的，指由投标人的单位负责人或其授权的委托代理人签字，由委托代理人签字的，应提供“单位授权书”。</w:t>
      </w:r>
    </w:p>
    <w:p w14:paraId="5A2667D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（2）接受联合体投标且投标人为联合体的，指由联合体牵头方的单位负责人或其授权的委托代理人签字，由委托代理人签字的，应提供“单位授权书”。</w:t>
      </w:r>
    </w:p>
    <w:p w14:paraId="5C62ECC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1.4“其他组织”指合伙企业、非企业专业服务机构、个体工商户、农村承包经营户等。</w:t>
      </w:r>
    </w:p>
    <w:p w14:paraId="3CED557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1.5“自然人”指具有完全民事行为能力、能够承担民事责任和义务的中国公民。</w:t>
      </w:r>
    </w:p>
    <w:p w14:paraId="513D280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2、除招标文件另有规定外，本章中“投标人的资格及资信证明文件”：</w:t>
      </w:r>
    </w:p>
    <w:p w14:paraId="713BE5D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2.1投标人应按照招标文件第四章第1.3条第（2）款规定及本章规定进行编制，如有必要，可增加附页，附页作为资格及资信文件的组成部分。</w:t>
      </w:r>
    </w:p>
    <w:p w14:paraId="1DE7E897">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2.2接受联合体投标且投标人为联合体的，联合体中的各方均应按照本章第2.1条规定提交相应的全部资料。</w:t>
      </w:r>
    </w:p>
    <w:p w14:paraId="4CF42C5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3、投标人对电子投标文件的索引应编制页码。</w:t>
      </w:r>
    </w:p>
    <w:p w14:paraId="1A62D2D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4、本章提供格式仅供参考，投标人应根据自身实际情况制作电子投标文件。</w:t>
      </w:r>
    </w:p>
    <w:p w14:paraId="53A07B7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6D3E7CB">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封面格式(资格及资信证明部分)</w:t>
      </w:r>
    </w:p>
    <w:p w14:paraId="4700A56D">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14:paraId="6029A366">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（资格及资信证明部分）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7CBDAA8B">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2B93B8D6">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14:paraId="2F29BB9B">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14:paraId="6D7AA841">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14:paraId="2B8F96D1">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14:paraId="3601499A">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14:paraId="63A5C519">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14:paraId="4AF2599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9DA4B7B">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索引</w:t>
      </w:r>
    </w:p>
    <w:p w14:paraId="1C6E28E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一、投标函</w:t>
      </w:r>
    </w:p>
    <w:p w14:paraId="28FB6D4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二、投标人的资格及资信证明文件</w:t>
      </w:r>
    </w:p>
    <w:p w14:paraId="74CC7A8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三、投标保证金</w:t>
      </w:r>
    </w:p>
    <w:p w14:paraId="5462B1D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6A33C3E7">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资格及资信证明部分中不得出现报价部分的全部或部分的投标报价信息（或组成资料），否则资格审查不合格。（联合体协议及分包意向协议中的比例规定，不适用本条款）</w:t>
      </w:r>
    </w:p>
    <w:p w14:paraId="788F8B9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8CB6A70">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一、投标函</w:t>
      </w:r>
    </w:p>
    <w:p w14:paraId="267F25A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3EA50D07">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兹收到贵单位关于</w:t>
      </w:r>
      <w:r>
        <w:rPr>
          <w:rFonts w:hint="eastAsia" w:asciiTheme="minorEastAsia" w:hAnsiTheme="minorEastAsia" w:eastAsiaTheme="minorEastAsia" w:cstheme="minorEastAsia"/>
          <w:u w:val="single"/>
        </w:rPr>
        <w:t xml:space="preserve">（填写“项目名称”） </w:t>
      </w:r>
      <w:r>
        <w:rPr>
          <w:rFonts w:hint="eastAsia" w:asciiTheme="minorEastAsia" w:hAnsiTheme="minorEastAsia" w:eastAsiaTheme="minorEastAsia" w:cstheme="minorEastAsia"/>
        </w:rPr>
        <w:t>项目</w:t>
      </w:r>
      <w:r>
        <w:rPr>
          <w:rFonts w:hint="eastAsia" w:asciiTheme="minorEastAsia" w:hAnsiTheme="minorEastAsia" w:eastAsiaTheme="minorEastAsia" w:cstheme="minorEastAsia"/>
          <w:u w:val="single"/>
        </w:rPr>
        <w:t xml:space="preserve">（项目编号：　　　　　） </w:t>
      </w:r>
      <w:r>
        <w:rPr>
          <w:rFonts w:hint="eastAsia" w:asciiTheme="minorEastAsia" w:hAnsiTheme="minorEastAsia" w:eastAsiaTheme="minorEastAsia" w:cstheme="minorEastAsia"/>
        </w:rPr>
        <w:t>的投标邀请，本投标人代表</w:t>
      </w:r>
      <w:r>
        <w:rPr>
          <w:rFonts w:hint="eastAsia" w:asciiTheme="minorEastAsia" w:hAnsiTheme="minorEastAsia" w:eastAsiaTheme="minorEastAsia" w:cstheme="minorEastAsia"/>
          <w:u w:val="single"/>
        </w:rPr>
        <w:t xml:space="preserve">（填写“全名”） </w:t>
      </w:r>
      <w:r>
        <w:rPr>
          <w:rFonts w:hint="eastAsia" w:asciiTheme="minorEastAsia" w:hAnsiTheme="minorEastAsia" w:eastAsiaTheme="minorEastAsia" w:cstheme="minorEastAsia"/>
        </w:rPr>
        <w:t>已获得我方正式授权并代表投标人（填写“全称”）参加投标，并提交电子投标文件。我方提交的全部电子投标文件由下述部分组成：</w:t>
      </w:r>
    </w:p>
    <w:p w14:paraId="5EE6333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（1）资格及资信证明部分</w:t>
      </w:r>
    </w:p>
    <w:p w14:paraId="4951F7F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①投标函</w:t>
      </w:r>
    </w:p>
    <w:p w14:paraId="6E41461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②投标人的资格及资信证明文件</w:t>
      </w:r>
    </w:p>
    <w:p w14:paraId="625CF4C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③投标保证金</w:t>
      </w:r>
    </w:p>
    <w:p w14:paraId="02EB777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（2）报价部分</w:t>
      </w:r>
    </w:p>
    <w:p w14:paraId="72545EF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①开标（报价）一览表</w:t>
      </w:r>
    </w:p>
    <w:p w14:paraId="44EF27B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②投标（响应）报价明细表</w:t>
      </w:r>
    </w:p>
    <w:p w14:paraId="6101EEB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③招标文件规定的价格扣除证明材料（若有）</w:t>
      </w:r>
    </w:p>
    <w:p w14:paraId="5AA973E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④招标文件规定的加分证明材料（若有）</w:t>
      </w:r>
    </w:p>
    <w:p w14:paraId="2DA6894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（3）技术商务部分</w:t>
      </w:r>
    </w:p>
    <w:p w14:paraId="0458A52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①标的说明一览表</w:t>
      </w:r>
    </w:p>
    <w:p w14:paraId="0E891EB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②技术和服务要求响应表</w:t>
      </w:r>
    </w:p>
    <w:p w14:paraId="36CBF53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③商务条件响应表</w:t>
      </w:r>
    </w:p>
    <w:p w14:paraId="07C63F2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④投标人提交的其他资料（若有）</w:t>
      </w:r>
    </w:p>
    <w:p w14:paraId="4C79DC9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根据本函，本投标人代表宣布我方保证遵守招标文件的全部规定，同时：</w:t>
      </w:r>
    </w:p>
    <w:p w14:paraId="7DE565D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1、确认：</w:t>
      </w:r>
    </w:p>
    <w:p w14:paraId="7241E84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1.1所投采购包的投标报价详见“开标（报价）一览表”及“投标（响应）报价明细表”。</w:t>
      </w:r>
    </w:p>
    <w:p w14:paraId="51A6FB4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1.2我方已详细审查全部招标文件[包括但不限于：有关附件（若有）、澄清或修改（若有）等]，并自行承担因对全部招标文件理解不正确或误解而产生的相应后果和责任。</w:t>
      </w:r>
    </w:p>
    <w:p w14:paraId="398250F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2、承诺及声明：</w:t>
      </w:r>
    </w:p>
    <w:p w14:paraId="2570293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2.1我方具备招标文件第一章载明的“投标人的资格要求”且符合招标文件第三章载明的“二、投标人”之规定，否则投标无效。</w:t>
      </w:r>
    </w:p>
    <w:p w14:paraId="3523E76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2.2我方提交的电子投标文件各组成部分的全部内容及资料是不可割离且真实、有效、准确、完整和不具有任何误导性的，否则产生不利后果由我方承担责任。</w:t>
      </w:r>
    </w:p>
    <w:p w14:paraId="1621D41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2.3我方提供的标的价格不高于同期市场价格，否则产生不利后果由我方承担责任。</w:t>
      </w:r>
    </w:p>
    <w:p w14:paraId="4553B5C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2.4投标保证金：若出现招标文件第三章规定的不予退还情形，同意贵单位不予退还。</w:t>
      </w:r>
    </w:p>
    <w:p w14:paraId="3C24B5C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2.5投标有效期：按照招标文件第三章规定执行，并在招标文件第二章载明的期限内保持有效。</w:t>
      </w:r>
    </w:p>
    <w:p w14:paraId="797E67F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2.6若中标，将按照招标文件、我方电子投标文件及政府采购合同履行责任和义务。</w:t>
      </w:r>
    </w:p>
    <w:p w14:paraId="5558F5C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2.7若贵单位要求，我方同意提供与本项目投标有关的一切资料、数据或文件，并完全理解贵单位不一定要接受最低的投标报价或收到的任何投标。</w:t>
      </w:r>
    </w:p>
    <w:p w14:paraId="2222C49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2.8我方承诺遵守《中华人民共和国劳动合同法》有关规定和《中华人民共和国妇女权益保障法 》中关于“劳动和社会保障权益”的有关要求。</w:t>
      </w:r>
    </w:p>
    <w:p w14:paraId="5BEA999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2.9我方承诺电子投标文件所提供的全部资料真实可靠，并接受评标委员会、采购人、采购代理机构、监管部门进一步审查其中任何资料真实性的要求。</w:t>
      </w:r>
    </w:p>
    <w:p w14:paraId="5D67447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2.10除招标文件另有规定外，对于贵单位按照下述联络方式发出的任何信息或通知，均视为我方已收悉前述信息或通知的全部内容：</w:t>
      </w:r>
    </w:p>
    <w:p w14:paraId="5525A5A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通信地址：</w:t>
      </w:r>
    </w:p>
    <w:p w14:paraId="159A887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邮编：</w:t>
      </w:r>
    </w:p>
    <w:p w14:paraId="7D6CB48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联系方法：（包括但不限于：联系人、联系电话、手机、传真、电子邮箱等）</w:t>
      </w:r>
    </w:p>
    <w:p w14:paraId="620224C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投标人：（全称并加盖单位公章）</w:t>
      </w:r>
    </w:p>
    <w:p w14:paraId="13FAFEC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4A5AB10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05E49BC">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二、投标人的资格及资信证明文件</w:t>
      </w:r>
    </w:p>
    <w:p w14:paraId="01B9FE7E">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二-1单位授权书（若有）</w:t>
      </w:r>
    </w:p>
    <w:p w14:paraId="051E805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2785A66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我方的单位负责人</w:t>
      </w:r>
      <w:r>
        <w:rPr>
          <w:rFonts w:hint="eastAsia" w:asciiTheme="minorEastAsia" w:hAnsiTheme="minorEastAsia" w:eastAsiaTheme="minorEastAsia" w:cstheme="minorEastAsia"/>
          <w:u w:val="single"/>
        </w:rPr>
        <w:t>（填写“单位负责人全名”）</w:t>
      </w:r>
      <w:r>
        <w:rPr>
          <w:rFonts w:hint="eastAsia" w:asciiTheme="minorEastAsia" w:hAnsiTheme="minorEastAsia" w:eastAsiaTheme="minorEastAsia" w:cstheme="minorEastAsia"/>
        </w:rPr>
        <w:t>授权</w:t>
      </w:r>
      <w:r>
        <w:rPr>
          <w:rFonts w:hint="eastAsia" w:asciiTheme="minorEastAsia" w:hAnsiTheme="minorEastAsia" w:eastAsiaTheme="minorEastAsia" w:cstheme="minorEastAsia"/>
          <w:u w:val="single"/>
        </w:rPr>
        <w:t>（填写“投标人代表全名”）</w:t>
      </w:r>
      <w:r>
        <w:rPr>
          <w:rFonts w:hint="eastAsia" w:asciiTheme="minorEastAsia" w:hAnsiTheme="minorEastAsia" w:eastAsiaTheme="minorEastAsia" w:cstheme="minorEastAsia"/>
        </w:rPr>
        <w:t>为投标人代表，代表我方参加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1B01C29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投标人代表无转委权。特此授权。</w:t>
      </w:r>
    </w:p>
    <w:p w14:paraId="1B336F2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（以下无正文）</w:t>
      </w:r>
    </w:p>
    <w:p w14:paraId="58163EE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身份证号：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手机：</w:t>
      </w:r>
      <w:r>
        <w:rPr>
          <w:rFonts w:hint="eastAsia" w:asciiTheme="minorEastAsia" w:hAnsiTheme="minorEastAsia" w:eastAsiaTheme="minorEastAsia" w:cstheme="minorEastAsia"/>
          <w:u w:val="single"/>
        </w:rPr>
        <w:t>　　　　　</w:t>
      </w:r>
    </w:p>
    <w:p w14:paraId="75B2A760">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投标人代表：</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身份证号：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手机：</w:t>
      </w:r>
      <w:r>
        <w:rPr>
          <w:rFonts w:hint="eastAsia" w:asciiTheme="minorEastAsia" w:hAnsiTheme="minorEastAsia" w:eastAsiaTheme="minorEastAsia" w:cstheme="minorEastAsia"/>
          <w:u w:val="single"/>
        </w:rPr>
        <w:t>　　　　　</w:t>
      </w:r>
    </w:p>
    <w:p w14:paraId="3048BF5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授权方</w:t>
      </w:r>
    </w:p>
    <w:p w14:paraId="2FC253B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1F328844">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签署日期： 年 月 日</w:t>
      </w:r>
    </w:p>
    <w:p w14:paraId="019AC40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附：单位负责人、投标人代表的身份证正反面复印件</w:t>
      </w:r>
    </w:p>
    <w:p w14:paraId="3508426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要求：真实有效且内容完整、清晰、整洁。</w:t>
      </w:r>
    </w:p>
    <w:p w14:paraId="0FE097D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71E3170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1、企业（银行、保险、石油石化、电力、电信等行业除外）、事业单位和社会团体法人的“单位负责人”指法定代表人，即与实际提交的“营业执照等证明文件”载明的一致。</w:t>
      </w:r>
    </w:p>
    <w:p w14:paraId="66E4B70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479CB4D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3、投标人（自然人除外）：若投标人代表为单位授权的委托代理人，应提供本授权书；若投标人代表为单位负责人，应在此项下提交其身份证正反面复印件，可不提供本授权书。</w:t>
      </w:r>
    </w:p>
    <w:p w14:paraId="401EAAD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4、投标人为自然人的，可不填写本授权书。</w:t>
      </w:r>
    </w:p>
    <w:p w14:paraId="138183E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AC8FC18">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 证明材料</w:t>
      </w:r>
    </w:p>
    <w:p w14:paraId="430C564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366038EF">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二-2-1 福建省政府采购供应商资格承诺函</w:t>
      </w:r>
    </w:p>
    <w:p w14:paraId="3AE2106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2BB943E3">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单位名称(自然人姓名):</w:t>
      </w:r>
    </w:p>
    <w:p w14:paraId="33276D5B">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统一社会信用代码(自然人身份证号码):</w:t>
      </w:r>
    </w:p>
    <w:p w14:paraId="1DC6A001">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法定代表人(负责人):</w:t>
      </w:r>
    </w:p>
    <w:p w14:paraId="4B6E17B4">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联系地址和电话:</w:t>
      </w:r>
    </w:p>
    <w:p w14:paraId="4502FE5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我单位(本人)自愿参加本次政府采购活动，严格遵守《中华人民共和国政府采购法》及相关法律法规，坚守公开、公平公正和诚实信用等原则，依法诚信经营，并郑重承诺:</w:t>
      </w:r>
    </w:p>
    <w:p w14:paraId="65437DA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一、我单位(本人)具备采购文件要求以及《中华人民共和国政府采购法》第二十二条规定的条件:</w:t>
      </w:r>
    </w:p>
    <w:p w14:paraId="55EC9DA2">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1.具有独立承担民事责任的能力;</w:t>
      </w:r>
    </w:p>
    <w:p w14:paraId="35FF95E5">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2.具有良好的商业信誉和健全的财务会计制度;</w:t>
      </w:r>
    </w:p>
    <w:p w14:paraId="66B454A9">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3.具有履行合同所必需的设备和专业技术能力;</w:t>
      </w:r>
    </w:p>
    <w:p w14:paraId="18B17E68">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4.有依法缴纳税收和社会保障资金的良好记录;</w:t>
      </w:r>
    </w:p>
    <w:p w14:paraId="4FAF7EE6">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5.参加政府采购活动前三年内，在经营活动中没有重大违法记录；</w:t>
      </w:r>
    </w:p>
    <w:p w14:paraId="386D7241">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6.法律、行政法规规定的其他条件。</w:t>
      </w:r>
    </w:p>
    <w:p w14:paraId="10E16D7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39AF859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0509CE44">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w:t>
      </w:r>
      <w:r>
        <w:rPr>
          <w:rFonts w:hint="eastAsia" w:asciiTheme="minorEastAsia" w:hAnsiTheme="minorEastAsia" w:eastAsiaTheme="minorEastAsia" w:cstheme="minorEastAsia"/>
          <w:u w:val="single"/>
        </w:rPr>
        <w:t>名称(单位公章)</w:t>
      </w:r>
    </w:p>
    <w:p w14:paraId="2AA92103">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1E8CFD7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w:t>
      </w:r>
    </w:p>
    <w:p w14:paraId="17F130DC">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1.我单位(本人)专指参加政府采购活动的供应商(含自然人)；</w:t>
      </w:r>
    </w:p>
    <w:p w14:paraId="2051F5E2">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2.资格承诺的供应商应在投标(响应)文件中按此模板提供承诺函，否则，视为未按照招标文件规定提交投标人的资格及资信文件，按资格审查不通过处理。</w:t>
      </w:r>
    </w:p>
    <w:p w14:paraId="4AAF864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A607E3E">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二-2-2 资格证明材料</w:t>
      </w:r>
    </w:p>
    <w:p w14:paraId="552FD906">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营业执照等证明文件</w:t>
      </w:r>
    </w:p>
    <w:p w14:paraId="093ADF6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2A6C633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）投标人为法人（包括企业、事业单位和社会团体）的</w:t>
      </w:r>
    </w:p>
    <w:p w14:paraId="3657FF30">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签发的我方统一社会信用代码（请填写法人的具体证照名称）复印件，该证明材料真实有效，否则我方负全部责任。</w:t>
      </w:r>
    </w:p>
    <w:p w14:paraId="6F1CF5C0">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）投标人为非法人（包括其他组织、自然人）的</w:t>
      </w:r>
    </w:p>
    <w:p w14:paraId="2EC9DA6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签发的我方（请填写非自然人的非法人的具体证照名称）复印件，该证明材料真实有效，否则我方负全部责任。</w:t>
      </w:r>
    </w:p>
    <w:p w14:paraId="6622145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签发的我方（请填写自然人的身份证件名称）复印件，该证明材料真实有效，否则我方负全部责任。</w:t>
      </w:r>
    </w:p>
    <w:p w14:paraId="27E93C7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2D9353F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1、请投标人按照实际情况编制填写，在相应的（）中打“√”并选择相应的“□”（若有）后，再按照本格式的要求提供相应证明材料的复印件。</w:t>
      </w:r>
    </w:p>
    <w:p w14:paraId="11FFC16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26FDED5E">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170EA4D2">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4398C56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40B0EBA">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财务状况报告（财务报告、或资信证明）</w:t>
      </w:r>
    </w:p>
    <w:p w14:paraId="5D008C9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5E65049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）投标人提供财务报告的</w:t>
      </w:r>
    </w:p>
    <w:p w14:paraId="6567616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□企业适用：现附上我方</w:t>
      </w:r>
      <w:r>
        <w:rPr>
          <w:rFonts w:hint="eastAsia" w:asciiTheme="minorEastAsia" w:hAnsiTheme="minorEastAsia" w:eastAsiaTheme="minorEastAsia" w:cstheme="minorEastAsia"/>
          <w:u w:val="single"/>
        </w:rPr>
        <w:t>（填写“具体的年度、或半年度、季度”）</w:t>
      </w:r>
      <w:r>
        <w:rPr>
          <w:rFonts w:hint="eastAsia" w:asciiTheme="minorEastAsia" w:hAnsiTheme="minorEastAsia" w:eastAsiaTheme="minorEastAsia" w:cstheme="minorEastAsia"/>
        </w:rPr>
        <w:t>财务报告复印件，包括资产负债表、利润表、现金流量表、所有者权益变动表（若有）及其附注（若有）、会计师事务所营业执照和注册会计师资格证书，上述证明材料真实有效，否则我方负全部责任。</w:t>
      </w:r>
    </w:p>
    <w:p w14:paraId="533453F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□事业单位适用：现附上我方</w:t>
      </w:r>
      <w:r>
        <w:rPr>
          <w:rFonts w:hint="eastAsia" w:asciiTheme="minorEastAsia" w:hAnsiTheme="minorEastAsia" w:eastAsiaTheme="minorEastAsia" w:cstheme="minorEastAsia"/>
          <w:u w:val="single"/>
        </w:rPr>
        <w:t>（填写“具体的年度、或半年度、或季度”）</w:t>
      </w:r>
      <w:r>
        <w:rPr>
          <w:rFonts w:hint="eastAsia" w:asciiTheme="minorEastAsia" w:hAnsiTheme="minorEastAsia" w:eastAsiaTheme="minorEastAsia" w:cstheme="minorEastAsia"/>
        </w:rPr>
        <w:t>财务报告复印件，包括资产负债表、收入支出表（或收入费用表）、财政补助收入支出表（若有）、会计师事务所营业执照和注册会计师资格证书，上述证明材料真实有效，否则我方负全部责任。</w:t>
      </w:r>
    </w:p>
    <w:p w14:paraId="0053E4B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□社会团体、民办非企适用：现附上我方</w:t>
      </w:r>
      <w:r>
        <w:rPr>
          <w:rFonts w:hint="eastAsia" w:asciiTheme="minorEastAsia" w:hAnsiTheme="minorEastAsia" w:eastAsiaTheme="minorEastAsia" w:cstheme="minorEastAsia"/>
          <w:u w:val="single"/>
        </w:rPr>
        <w:t>（填写“具体的年度、或半年度、或季度”）</w:t>
      </w:r>
      <w:r>
        <w:rPr>
          <w:rFonts w:hint="eastAsia" w:asciiTheme="minorEastAsia" w:hAnsiTheme="minorEastAsia" w:eastAsiaTheme="minorEastAsia" w:cstheme="minorEastAsia"/>
        </w:rPr>
        <w:t>财务报告复印件，包括资产负债表、业务活动表、现金流量表、会计师事务所营业执照和注册会计师资格证书，上述证明材料真实有效，否则我方负全部责任。</w:t>
      </w:r>
    </w:p>
    <w:p w14:paraId="369C09F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）投标人提供资信证明的</w:t>
      </w:r>
    </w:p>
    <w:p w14:paraId="462F802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□非自然人适用（包括企业、事业单位、社会团体和其他组织）：现附上我方银行：</w:t>
      </w:r>
      <w:r>
        <w:rPr>
          <w:rFonts w:hint="eastAsia" w:asciiTheme="minorEastAsia" w:hAnsiTheme="minorEastAsia" w:eastAsiaTheme="minorEastAsia" w:cstheme="minorEastAsia"/>
          <w:u w:val="single"/>
        </w:rPr>
        <w:t>（填写“开户银行全称”）</w:t>
      </w:r>
      <w:r>
        <w:rPr>
          <w:rFonts w:hint="eastAsia" w:asciiTheme="minorEastAsia" w:hAnsiTheme="minorEastAsia" w:eastAsiaTheme="minorEastAsia" w:cstheme="minorEastAsia"/>
        </w:rPr>
        <w:t>出具的资信证明复印件，上述证明材料真实有效，否则我方负全部责任。</w:t>
      </w:r>
    </w:p>
    <w:p w14:paraId="1179B72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□自然人适用：现附上我方银行</w:t>
      </w:r>
      <w:r>
        <w:rPr>
          <w:rFonts w:hint="eastAsia" w:asciiTheme="minorEastAsia" w:hAnsiTheme="minorEastAsia" w:eastAsiaTheme="minorEastAsia" w:cstheme="minorEastAsia"/>
          <w:u w:val="single"/>
        </w:rPr>
        <w:t>：（填写自然人的“个人账户的开户银行全称”）</w:t>
      </w:r>
      <w:r>
        <w:rPr>
          <w:rFonts w:hint="eastAsia" w:asciiTheme="minorEastAsia" w:hAnsiTheme="minorEastAsia" w:eastAsiaTheme="minorEastAsia" w:cstheme="minorEastAsia"/>
        </w:rPr>
        <w:t>出具的资信证明复印件，上述证明材料真实有效，否则我方负全部责任。</w:t>
      </w:r>
    </w:p>
    <w:p w14:paraId="0B78917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3A3D7A0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1、请投标人按照实际情况编制填写，在相应的（）中打“√”并选择相应的“□”（若有）后，再按照本格式的要求提供相应证明材料的复印件。</w:t>
      </w:r>
    </w:p>
    <w:p w14:paraId="233B663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2、投标人提供的财务报告复印件（成立年限按照投标截止时间推算）应符合下列规定：</w:t>
      </w:r>
    </w:p>
    <w:p w14:paraId="4B3A422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2.1成立年限满1年及以上的投标人，提供经审计的招标文件规定的年度财务报告。</w:t>
      </w:r>
    </w:p>
    <w:p w14:paraId="3E42878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2.2成立年限满半年但不足1年的投标人，提供该半年度中任一季度的季度财务报告或该半年度的半年度财务报告。</w:t>
      </w:r>
    </w:p>
    <w:p w14:paraId="0BE3962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4D965961">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512606AB">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2BD248C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C7AB9DB">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依法缴纳税收证明材料</w:t>
      </w:r>
    </w:p>
    <w:p w14:paraId="68BBC8B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0CE9E2D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1、依法缴纳税收的投标人</w:t>
      </w:r>
    </w:p>
    <w:p w14:paraId="3167CBF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）法人（包括企业、事业单位和社会团体）的</w:t>
      </w:r>
    </w:p>
    <w:p w14:paraId="4092AF9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期间我方缴纳（包括但不限于税务机关出具的专用收据、税收缴纳证明或税收代缴银行的缴款收讫凭证）等税收凭据复印件，上述证明材料真实有效，否则我方负全部责任。</w:t>
      </w:r>
    </w:p>
    <w:p w14:paraId="35EFEDB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）非法人（包括其他组织、自然人）的</w:t>
      </w:r>
    </w:p>
    <w:p w14:paraId="5A583E67">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期间我方缴纳（包括但不限于税务机关出具的专用收据、税收缴纳证明或税收代缴银行的缴款收讫凭证）等税收凭据复印件，上述证明材料真实有效，否则我方负全部责任。</w:t>
      </w:r>
    </w:p>
    <w:p w14:paraId="7229A80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2、依法免税的投标人</w:t>
      </w:r>
    </w:p>
    <w:p w14:paraId="37386F6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）现附上我方依法免税的证明材料复印件，上述证明材料真实有效，否则我方负全部责任。</w:t>
      </w:r>
    </w:p>
    <w:p w14:paraId="0508621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2303350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1、请投标人按照实际情况编制填写，在相应的（）中打“√”，并按照本格式的要求提供相应证明材料的复印件。</w:t>
      </w:r>
    </w:p>
    <w:p w14:paraId="07BEBE7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2、投标人提供的税收缴纳凭据复印件应符合下列规定：</w:t>
      </w:r>
    </w:p>
    <w:p w14:paraId="4F6AA10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2.1投标截止时间前（不含投标截止时间的当月）已依法缴纳税收的投标人，提供投标截止时间前六个月（不含投标截止时间的当月）中任一月份的税收缴纳凭据复印件。</w:t>
      </w:r>
    </w:p>
    <w:p w14:paraId="5AB3527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2.2投标截止时间的当月成立的投标人，视同满足本项资格条件要求。</w:t>
      </w:r>
    </w:p>
    <w:p w14:paraId="1C6D654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3、若为依法免税范围的投标人，提供依法免税证明材料的，视同满足本项资格条件要求。</w:t>
      </w:r>
    </w:p>
    <w:p w14:paraId="7F45CDB8">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1F534166">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51A2ADA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89E188C">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依法缴纳社会保障资金证明材料</w:t>
      </w:r>
    </w:p>
    <w:p w14:paraId="5C0765B0">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2D9D7A5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1、依法缴纳社会保障资金的投标人</w:t>
      </w:r>
    </w:p>
    <w:p w14:paraId="15FA5AF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）法人（包括企业、事业单位和社会团体）的</w:t>
      </w:r>
    </w:p>
    <w:p w14:paraId="1D20AEA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我方缴纳的社会保险凭据（限：税务机关/社会保障资金管理机关的专用收据或社会保险缴纳清单，或社会保险的银行缴款收讫凭证）复印件，上述证明材料真实有效，否则我方负全部责任。</w:t>
      </w:r>
    </w:p>
    <w:p w14:paraId="54B81050">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）非法人（包括其他组织、自然人）的</w:t>
      </w:r>
    </w:p>
    <w:p w14:paraId="6394AB5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我方缴纳的社会保险凭据（限：税务机关/社会保障资金管理机关的专用收据或社会保险缴纳清单，或社会保险的银行缴款收讫凭证）复印件，上述证明材料真实有效，否则我方负全部责任。</w:t>
      </w:r>
    </w:p>
    <w:p w14:paraId="477FDAB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2、依法不需要缴纳或暂缓缴纳社会保障资金的投标人</w:t>
      </w:r>
    </w:p>
    <w:p w14:paraId="05A59890">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）现附上我方依法不需要缴纳或暂缓缴纳社会保障资金证明材料复印件，上述证明材料真实有效，否则我方负全部责任。</w:t>
      </w:r>
    </w:p>
    <w:p w14:paraId="508E936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7F1931D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1、请投标人按照实际情况编制填写，在相应的（）中打“√”，并按照本格式的要求提供相应证明材料的复印件。</w:t>
      </w:r>
    </w:p>
    <w:p w14:paraId="7513AA9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2、投标人提供的社会保障资金缴纳凭据复印件应符合下列规定：</w:t>
      </w:r>
    </w:p>
    <w:p w14:paraId="6BF05E07">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2.1投标截止时间前（不含投标截止时间的当月）已依法缴纳社会保障资金的投标人，提供投标截止时间前六个月（不含投标截止时间的当月）中任一月份的社会保障资金缴纳凭据复印件。</w:t>
      </w:r>
    </w:p>
    <w:p w14:paraId="597ABF07">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2.2投标截止时间的当月成立的投标人，视同满足本项资格条件要求。</w:t>
      </w:r>
    </w:p>
    <w:p w14:paraId="10463D9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3、若为依法不需要缴纳或暂缓缴纳社会保障资金的投标人，提供依法不需要缴纳或暂缓缴纳社会保障资金证明材料的，视同满足本项资格条件要求。</w:t>
      </w:r>
    </w:p>
    <w:p w14:paraId="127D64C2">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F19E544">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4F1BEE6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B50FB42">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具备履行合同所必需设备和专业技术能力的声明函（若有）</w:t>
      </w:r>
    </w:p>
    <w:p w14:paraId="57EAAEE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1B4BD7D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我方具备履行合同所必需的设备和专业技术能力，否则产生不利后果由我方承担责任。</w:t>
      </w:r>
    </w:p>
    <w:p w14:paraId="79F7666A">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特此声明。</w:t>
      </w:r>
    </w:p>
    <w:p w14:paraId="7B260B4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022BD89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1、招标文件未要求投标人提供“具备履行合同所必需的设备和专业技术能力专项证明材料”的，投标人应提供本声明函。</w:t>
      </w:r>
    </w:p>
    <w:p w14:paraId="66F720A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2、招标文件要求投标人提供“具备履行合同所必需的设备和专业技术能力专项证明材料”的，投标人可不提供本声明函。</w:t>
      </w:r>
    </w:p>
    <w:p w14:paraId="63F9CB0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3、请投标人根据实际情况如实声明，否则视为提供虚假材料。</w:t>
      </w:r>
    </w:p>
    <w:p w14:paraId="4020A3AA">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55CC667D">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3DDF486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1BB930C">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参加采购活动前三年内在经营活动中没有重大违法记录书面声明</w:t>
      </w:r>
    </w:p>
    <w:p w14:paraId="0921F29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1894FB7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参加采购活动前三年内，我方在经营活动中没有重大违法记录，即没有因违法经营受到刑事处罚或责令停产停业、吊销许可证或执照、较大数额罚款等行政处罚。否则产生不利后果由我方承担责任。</w:t>
      </w:r>
    </w:p>
    <w:p w14:paraId="6E1A5704">
      <w:pPr>
        <w:pStyle w:val="7"/>
        <w:ind w:firstLine="960"/>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特此声明。</w:t>
      </w:r>
    </w:p>
    <w:p w14:paraId="29FFDA6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210F707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825B21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请投标人根据实际情况如实声明，否则视为提供虚假材料。</w:t>
      </w:r>
    </w:p>
    <w:p w14:paraId="44A8CBEA">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AFF0292">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4647A8B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5607A9A">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二-3信用记录查询提示</w:t>
      </w:r>
    </w:p>
    <w:p w14:paraId="5C8CFB0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1、由资格审查小组通过网站查询并打印投标人的信用记录。</w:t>
      </w:r>
    </w:p>
    <w:p w14:paraId="1D4D3EE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54C4660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57D710B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7BE2E43">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二-4中小企业声明函</w:t>
      </w:r>
    </w:p>
    <w:p w14:paraId="68AF0D03">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（以资格条件落实中小企业扶持政策时适用，若有）</w:t>
      </w:r>
    </w:p>
    <w:p w14:paraId="14FB6ACE">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中小企业声明函（货物）</w:t>
      </w:r>
    </w:p>
    <w:p w14:paraId="47BE4FE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采购活动，提供的货物全部由符合政策要求的中小企业制造。相关企业（含联合体中的中小企业、签订分包意向协议的中小企业）的具体情况如下：</w:t>
      </w:r>
    </w:p>
    <w:p w14:paraId="69CCD1D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万元¹，属于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66F887D7">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7CECDD1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48B46B4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72D3153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4314F83F">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F916B5F">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33E6AEA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623B99A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52680E2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D278DA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B1B86A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1A64317">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中小企业声明函（工程、服务）</w:t>
      </w:r>
    </w:p>
    <w:p w14:paraId="73868F3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采购活动，工程的施工单位全部为符合政策要求的中小企业（或者：服务全部由符合政策要求的中小企业承接）。相关企业（含联合体中的中小企业、签订分包意向协议的中小企业）的具体情况如下：</w:t>
      </w:r>
    </w:p>
    <w:p w14:paraId="0976C64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万元¹，属于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61E79C8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37740A8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3D43DCF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3F2B44D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45427020">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4F721C2D">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2F98C08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0C048EA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788276B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CB1E9F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DDDB69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8D48658">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残疾人福利性单位声明函</w:t>
      </w:r>
    </w:p>
    <w:p w14:paraId="18710150">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（以资格条件落实中小企业扶持政策时适用，若有）</w:t>
      </w:r>
    </w:p>
    <w:p w14:paraId="5E42738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15EA988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3F95E5F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）由本投标人承建的（填写“所投采购包、品目号”）工程</w:t>
      </w:r>
    </w:p>
    <w:p w14:paraId="20F2167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）由本投标人承接的（填写“所投采购包、品目号”）服务；</w:t>
      </w:r>
    </w:p>
    <w:p w14:paraId="19FE024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本投标人对上述声明的真实性负责。如有虚假，将依法承担相应责任。</w:t>
      </w:r>
    </w:p>
    <w:p w14:paraId="69307D9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p w14:paraId="25898A30">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1、请投标人按照实际情况编制填写本声明函，并在相应的（）中打“√”。</w:t>
      </w:r>
    </w:p>
    <w:p w14:paraId="60358D20">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2、若《残疾人福利性单位声明函》内容不真实，视为提供虚假材料。</w:t>
      </w:r>
    </w:p>
    <w:p w14:paraId="714F91BC">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7F44358">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66868E6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14:paraId="629C8290">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监狱企业证明材料</w:t>
      </w:r>
    </w:p>
    <w:p w14:paraId="5274E137">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投标人为监狱企业，提供本单位制造的货物（承接的服务），并在电子投标文件中提供省级以上监狱管理局、戒毒管理局（含新疆生产建设兵团）出具的属于监狱企业的证明文件。</w:t>
      </w:r>
    </w:p>
    <w:p w14:paraId="4F45C63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5913F65">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二-5联合体协议（若有）</w:t>
      </w:r>
    </w:p>
    <w:p w14:paraId="5B983AD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39ADF0F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兹有</w:t>
      </w:r>
      <w:r>
        <w:rPr>
          <w:rFonts w:hint="eastAsia" w:asciiTheme="minorEastAsia" w:hAnsiTheme="minorEastAsia" w:eastAsiaTheme="minorEastAsia" w:cstheme="minorEastAsia"/>
          <w:u w:val="single"/>
        </w:rPr>
        <w:t>（填写“联合体中各方的全称”，各方的全称之间请用“、”分割）</w:t>
      </w:r>
      <w:r>
        <w:rPr>
          <w:rFonts w:hint="eastAsia" w:asciiTheme="minorEastAsia" w:hAnsiTheme="minorEastAsia" w:eastAsiaTheme="minorEastAsia" w:cstheme="minorEastAsia"/>
        </w:rPr>
        <w:t>自愿组成联合体，共同参加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 xml:space="preserve"> 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）的投标。现就联合体参加本项目投标的有关事宜达成下列协议：</w:t>
      </w:r>
    </w:p>
    <w:p w14:paraId="36DA636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一、联合体各方应承担的工作和义务具体如下：</w:t>
      </w:r>
    </w:p>
    <w:p w14:paraId="0AA0634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1、牵头方（全称）：</w:t>
      </w:r>
      <w:r>
        <w:rPr>
          <w:rFonts w:hint="eastAsia" w:asciiTheme="minorEastAsia" w:hAnsiTheme="minorEastAsia" w:eastAsiaTheme="minorEastAsia" w:cstheme="minorEastAsia"/>
          <w:u w:val="single"/>
        </w:rPr>
        <w:t xml:space="preserve">（填写“工作及义务的具体内容”） </w:t>
      </w:r>
      <w:r>
        <w:rPr>
          <w:rFonts w:hint="eastAsia" w:asciiTheme="minorEastAsia" w:hAnsiTheme="minorEastAsia" w:eastAsiaTheme="minorEastAsia" w:cstheme="minorEastAsia"/>
        </w:rPr>
        <w:t>；</w:t>
      </w:r>
    </w:p>
    <w:p w14:paraId="72AE91C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2、成员方：</w:t>
      </w:r>
    </w:p>
    <w:p w14:paraId="4AB21E6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2.1（成员一的全称）：</w:t>
      </w:r>
      <w:r>
        <w:rPr>
          <w:rFonts w:hint="eastAsia" w:asciiTheme="minorEastAsia" w:hAnsiTheme="minorEastAsia" w:eastAsiaTheme="minorEastAsia" w:cstheme="minorEastAsia"/>
          <w:u w:val="single"/>
        </w:rPr>
        <w:t>（填写“工作及义务的具体内容”）</w:t>
      </w:r>
      <w:r>
        <w:rPr>
          <w:rFonts w:hint="eastAsia" w:asciiTheme="minorEastAsia" w:hAnsiTheme="minorEastAsia" w:eastAsiaTheme="minorEastAsia" w:cstheme="minorEastAsia"/>
        </w:rPr>
        <w:t xml:space="preserve"> ；</w:t>
      </w:r>
    </w:p>
    <w:p w14:paraId="0FC20C6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7F32A41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二、联合体各方的合同金额占比，具体如下：</w:t>
      </w:r>
    </w:p>
    <w:p w14:paraId="38FE212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1.牵头方（</w:t>
      </w:r>
      <w:r>
        <w:rPr>
          <w:rFonts w:hint="eastAsia" w:asciiTheme="minorEastAsia" w:hAnsiTheme="minorEastAsia" w:eastAsiaTheme="minorEastAsia" w:cstheme="minorEastAsia"/>
          <w:u w:val="single"/>
        </w:rPr>
        <w:t xml:space="preserve"> 全称</w:t>
      </w:r>
      <w:r>
        <w:rPr>
          <w:rFonts w:hint="eastAsia" w:asciiTheme="minorEastAsia" w:hAnsiTheme="minorEastAsia" w:eastAsiaTheme="minorEastAsia" w:cstheme="minorEastAsia"/>
        </w:rPr>
        <w:t xml:space="preserve"> ）的合同金额占合同总额的</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14:paraId="10929E3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2.成员方：</w:t>
      </w:r>
    </w:p>
    <w:p w14:paraId="31D332B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2.1（</w:t>
      </w:r>
      <w:r>
        <w:rPr>
          <w:rFonts w:hint="eastAsia" w:asciiTheme="minorEastAsia" w:hAnsiTheme="minorEastAsia" w:eastAsiaTheme="minorEastAsia" w:cstheme="minorEastAsia"/>
          <w:u w:val="single"/>
        </w:rPr>
        <w:t xml:space="preserve"> 成员1的全称 </w:t>
      </w:r>
      <w:r>
        <w:rPr>
          <w:rFonts w:hint="eastAsia" w:asciiTheme="minorEastAsia" w:hAnsiTheme="minorEastAsia" w:eastAsiaTheme="minorEastAsia" w:cstheme="minorEastAsia"/>
        </w:rPr>
        <w:t>）的合同金额占合同总额的</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14:paraId="31F072D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2AC10CB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三、联合体各方约定：</w:t>
      </w:r>
    </w:p>
    <w:p w14:paraId="38B8D97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1、由</w:t>
      </w:r>
      <w:r>
        <w:rPr>
          <w:rFonts w:hint="eastAsia" w:asciiTheme="minorEastAsia" w:hAnsiTheme="minorEastAsia" w:eastAsiaTheme="minorEastAsia" w:cstheme="minorEastAsia"/>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6C0F823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2、联合体各方约定由</w:t>
      </w:r>
      <w:r>
        <w:rPr>
          <w:rFonts w:hint="eastAsia" w:asciiTheme="minorEastAsia" w:hAnsiTheme="minorEastAsia" w:eastAsiaTheme="minorEastAsia" w:cstheme="minorEastAsia"/>
          <w:u w:val="single"/>
        </w:rPr>
        <w:t>（填写“牵头方的全称”）代表联合体办理投标保证金事宜。</w:t>
      </w:r>
    </w:p>
    <w:p w14:paraId="032FD220">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0202C13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四、若中标，牵头方将代表联合体与采购人就合同签订事宜进行协商；若协商一致，则联合体各方将共同与采购人签订政府采购合同，并就政府采购合同约定的事项对采购人承担连带责任。</w:t>
      </w:r>
    </w:p>
    <w:p w14:paraId="44826D9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五、本协议自签署之日起生效，政府采购合同履行完毕后自动失效。</w:t>
      </w:r>
    </w:p>
    <w:p w14:paraId="21FBC65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六、本协议一式</w:t>
      </w:r>
      <w:r>
        <w:rPr>
          <w:rFonts w:hint="eastAsia" w:asciiTheme="minorEastAsia" w:hAnsiTheme="minorEastAsia" w:eastAsiaTheme="minorEastAsia" w:cstheme="minorEastAsia"/>
          <w:u w:val="single"/>
        </w:rPr>
        <w:t>（填写具体份数）</w:t>
      </w:r>
      <w:r>
        <w:rPr>
          <w:rFonts w:hint="eastAsia" w:asciiTheme="minorEastAsia" w:hAnsiTheme="minorEastAsia" w:eastAsiaTheme="minorEastAsia" w:cstheme="minorEastAsia"/>
        </w:rPr>
        <w:t>份，联合体各方各执一份，电子投标文件中提交一份。</w:t>
      </w:r>
    </w:p>
    <w:p w14:paraId="07A5FB9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（以下无正文）</w:t>
      </w:r>
    </w:p>
    <w:p w14:paraId="5272CB7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牵头方：</w:t>
      </w:r>
      <w:r>
        <w:rPr>
          <w:rFonts w:hint="eastAsia" w:asciiTheme="minorEastAsia" w:hAnsiTheme="minorEastAsia" w:eastAsiaTheme="minorEastAsia" w:cstheme="minorEastAsia"/>
          <w:u w:val="single"/>
        </w:rPr>
        <w:t>（全称并加盖单位公章）</w:t>
      </w:r>
    </w:p>
    <w:p w14:paraId="7EEAE35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14:paraId="7E7E2A2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成员一：</w:t>
      </w:r>
      <w:r>
        <w:rPr>
          <w:rFonts w:hint="eastAsia" w:asciiTheme="minorEastAsia" w:hAnsiTheme="minorEastAsia" w:eastAsiaTheme="minorEastAsia" w:cstheme="minorEastAsia"/>
          <w:u w:val="single"/>
        </w:rPr>
        <w:t>（全称并加盖成员一的单位公章）</w:t>
      </w:r>
    </w:p>
    <w:p w14:paraId="5F61615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14:paraId="3513640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670A8BC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成员**：</w:t>
      </w:r>
      <w:r>
        <w:rPr>
          <w:rFonts w:hint="eastAsia" w:asciiTheme="minorEastAsia" w:hAnsiTheme="minorEastAsia" w:eastAsiaTheme="minorEastAsia" w:cstheme="minorEastAsia"/>
          <w:u w:val="single"/>
        </w:rPr>
        <w:t>（全称并加盖成员**的单位公章）</w:t>
      </w:r>
    </w:p>
    <w:p w14:paraId="7EF1B19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14:paraId="3EB8B01F">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签署日期：</w:t>
      </w:r>
      <w:r>
        <w:rPr>
          <w:rFonts w:hint="eastAsia" w:asciiTheme="minorEastAsia" w:hAnsiTheme="minorEastAsia" w:eastAsiaTheme="minorEastAsia" w:cstheme="minorEastAsia"/>
          <w:u w:val="single"/>
        </w:rPr>
        <w:t>　　年　　月　　日</w:t>
      </w:r>
    </w:p>
    <w:p w14:paraId="23ECFED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482BD2E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1、招标文件接受联合体投标且投标人为联合体的，投标人应提供本协议；否则无须提供。</w:t>
      </w:r>
    </w:p>
    <w:p w14:paraId="690A71C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2、本协议由委托代理人签字或盖章的，应按照本章载明的格式提供“单位授权书”。</w:t>
      </w:r>
    </w:p>
    <w:p w14:paraId="69F223B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3、在以联合体形式落实中小企业预留份额项目中，投标人除了要提供《中小企业声明函》，还需提供本协议。</w:t>
      </w:r>
    </w:p>
    <w:p w14:paraId="04A2D93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68C1662">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二-6分包意向协议（若有）</w:t>
      </w:r>
    </w:p>
    <w:p w14:paraId="34E11B4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甲方（总包方）：</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（即本项目的投标人）</w:t>
      </w:r>
    </w:p>
    <w:p w14:paraId="08D5B98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乙方（分包方）：</w:t>
      </w:r>
      <w:r>
        <w:rPr>
          <w:rFonts w:hint="eastAsia" w:asciiTheme="minorEastAsia" w:hAnsiTheme="minorEastAsia" w:eastAsiaTheme="minorEastAsia" w:cstheme="minorEastAsia"/>
          <w:u w:val="single"/>
        </w:rPr>
        <w:t>　　　　　　　</w:t>
      </w:r>
    </w:p>
    <w:p w14:paraId="0C954F5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兹有甲方参加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 xml:space="preserve"> 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）的政府采购活动。甲方期望将采购项目的部分采购标的分包给乙方完成，而乙方保证能够向甲方提供本协议项下的采购标的，甲、乙双方就合同分包的有关事宜达成下列协议：</w:t>
      </w:r>
    </w:p>
    <w:p w14:paraId="4F798F3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一、分包标的</w:t>
      </w:r>
    </w:p>
    <w:p w14:paraId="40F72A8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u w:val="single"/>
        </w:rPr>
        <w:t>（根据双方的意向填写，可以是表格或文字描述）。</w:t>
      </w:r>
    </w:p>
    <w:p w14:paraId="74C5AFE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二、分包合同金额占比</w:t>
      </w:r>
    </w:p>
    <w:p w14:paraId="51C191E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分包合同价占投标总价的比例：</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14:paraId="45F6384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三、其他条款</w:t>
      </w:r>
    </w:p>
    <w:p w14:paraId="00E1E1A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75834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E15D41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w:t>
            </w:r>
          </w:p>
        </w:tc>
        <w:tc>
          <w:tcPr>
            <w:tcW w:w="4153" w:type="dxa"/>
          </w:tcPr>
          <w:p w14:paraId="5D951D6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w:t>
            </w:r>
          </w:p>
        </w:tc>
      </w:tr>
      <w:tr w14:paraId="0698C6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0F03CE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住所：</w:t>
            </w:r>
          </w:p>
        </w:tc>
        <w:tc>
          <w:tcPr>
            <w:tcW w:w="4153" w:type="dxa"/>
          </w:tcPr>
          <w:p w14:paraId="3DB62D1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住所：</w:t>
            </w:r>
          </w:p>
        </w:tc>
      </w:tr>
      <w:tr w14:paraId="48FD69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A0DFB4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单位负责人或委托代理人：</w:t>
            </w:r>
          </w:p>
        </w:tc>
        <w:tc>
          <w:tcPr>
            <w:tcW w:w="4153" w:type="dxa"/>
          </w:tcPr>
          <w:p w14:paraId="4AAC0D9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单位负责人或委托代理人：</w:t>
            </w:r>
          </w:p>
        </w:tc>
      </w:tr>
      <w:tr w14:paraId="07695A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74315A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w:t>
            </w:r>
          </w:p>
        </w:tc>
        <w:tc>
          <w:tcPr>
            <w:tcW w:w="4153" w:type="dxa"/>
          </w:tcPr>
          <w:p w14:paraId="17CEFA0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w:t>
            </w:r>
          </w:p>
        </w:tc>
      </w:tr>
      <w:tr w14:paraId="37359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2DF63F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开户银行：</w:t>
            </w:r>
          </w:p>
        </w:tc>
        <w:tc>
          <w:tcPr>
            <w:tcW w:w="4153" w:type="dxa"/>
          </w:tcPr>
          <w:p w14:paraId="4DC9657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开户银行：</w:t>
            </w:r>
          </w:p>
        </w:tc>
      </w:tr>
      <w:tr w14:paraId="56A451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7A0332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账号：</w:t>
            </w:r>
          </w:p>
        </w:tc>
        <w:tc>
          <w:tcPr>
            <w:tcW w:w="4153" w:type="dxa"/>
          </w:tcPr>
          <w:p w14:paraId="76F5D94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账号：</w:t>
            </w:r>
          </w:p>
        </w:tc>
      </w:tr>
      <w:tr w14:paraId="6CAD0B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440584AA">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签订地点：</w:t>
            </w:r>
            <w:r>
              <w:rPr>
                <w:rFonts w:hint="eastAsia" w:asciiTheme="minorEastAsia" w:hAnsiTheme="minorEastAsia" w:eastAsiaTheme="minorEastAsia" w:cstheme="minorEastAsia"/>
                <w:u w:val="single"/>
              </w:rPr>
              <w:t>　　　　　　　　　　</w:t>
            </w:r>
          </w:p>
          <w:p w14:paraId="1EEA2904">
            <w:pPr>
              <w:pStyle w:val="7"/>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签约日期：</w:t>
            </w:r>
            <w:r>
              <w:rPr>
                <w:rFonts w:hint="eastAsia" w:asciiTheme="minorEastAsia" w:hAnsiTheme="minorEastAsia" w:eastAsiaTheme="minorEastAsia" w:cstheme="minorEastAsia"/>
                <w:u w:val="single"/>
              </w:rPr>
              <w:t>　　年　　月　　日</w:t>
            </w:r>
          </w:p>
        </w:tc>
      </w:tr>
    </w:tbl>
    <w:p w14:paraId="32D938B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0F1BA04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1.招标文件接受合同分包且投标人拟将合同分包的，应提供本协议；否则无须提供。</w:t>
      </w:r>
    </w:p>
    <w:p w14:paraId="1B0D6AE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2.本协议由委托代理人签字或盖章的，应按照本章载明的格式提供“单位授权书”。</w:t>
      </w:r>
    </w:p>
    <w:p w14:paraId="45A76AE0">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3.在以合同分包形式落实中小企业预留份额项目中，投标人除了要提供《中小企业声明函》，还需提供本协议。</w:t>
      </w:r>
    </w:p>
    <w:p w14:paraId="761DF19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3EF6D43">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二-7其他资格证明文件（若有）</w:t>
      </w:r>
    </w:p>
    <w:p w14:paraId="233C93CB">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二-7-①招标文件规定的其他资格证明文件（若有）</w:t>
      </w:r>
    </w:p>
    <w:p w14:paraId="5C54E7FF">
      <w:pPr>
        <w:pStyle w:val="7"/>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279BC43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除招标文件另有规定外，招标文件要求提交的除前述资格证明文件外的其他资格证明文件（若有）加盖投标人的单位公章后应在此项下提交。</w:t>
      </w:r>
    </w:p>
    <w:p w14:paraId="61486A0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AEC3028">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三、投标保证金</w:t>
      </w:r>
    </w:p>
    <w:p w14:paraId="29D8E154">
      <w:pPr>
        <w:pStyle w:val="7"/>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31AB336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1、在此项下提交的“投标保证金”材料可使用转账凭证复印件或从福建省政府采购网上公开信息系统中下载的有关原始页面的打印件。</w:t>
      </w:r>
    </w:p>
    <w:p w14:paraId="677F402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2、投标保证金是否已提交的认定按照招标文件第三章规定执行。</w:t>
      </w:r>
    </w:p>
    <w:p w14:paraId="073AE92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855D9D0">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封面格式(报价部分)</w:t>
      </w:r>
    </w:p>
    <w:p w14:paraId="55018B9F">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14:paraId="6E8E0679">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（报价部分）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27E818C7">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467F7C49">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14:paraId="290AE91A">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14:paraId="723573B0">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14:paraId="716CCFCC">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14:paraId="5B5214DB">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14:paraId="015F7FB5">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14:paraId="55DDFC3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935CE55">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索引</w:t>
      </w:r>
    </w:p>
    <w:p w14:paraId="00905BC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一、开标（报价）一览表</w:t>
      </w:r>
    </w:p>
    <w:p w14:paraId="31F653B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二、投标（响应）报价明细表</w:t>
      </w:r>
    </w:p>
    <w:p w14:paraId="1803F98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三、招标文件规定的价格扣除证明材料（若有）</w:t>
      </w:r>
    </w:p>
    <w:p w14:paraId="49A2DEF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7A17C29">
      <w:pPr>
        <w:pStyle w:val="7"/>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开标（报价）一览表</w:t>
      </w:r>
    </w:p>
    <w:p w14:paraId="6A532DA4">
      <w:pPr>
        <w:pStyle w:val="7"/>
        <w:ind w:right="1650"/>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项目编号：[350430]HJZB[GK]2026004</w:t>
      </w:r>
    </w:p>
    <w:p w14:paraId="4343B96B">
      <w:pPr>
        <w:pStyle w:val="7"/>
        <w:spacing w:line="375"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项目名称：福建闽江源国家级自然保护区智慧化建设（一期）项目</w:t>
      </w:r>
    </w:p>
    <w:p w14:paraId="05C5A92A">
      <w:pPr>
        <w:pStyle w:val="7"/>
        <w:spacing w:line="375"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采购包：1(福建闽江源国家级自然保护区智慧化建设（一期）项目)</w:t>
      </w:r>
    </w:p>
    <w:p w14:paraId="3DCFFFF2">
      <w:pPr>
        <w:pStyle w:val="7"/>
        <w:spacing w:line="375"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投标人（供应商）名称：</w:t>
      </w:r>
    </w:p>
    <w:p w14:paraId="6A2B582A">
      <w:pPr>
        <w:pStyle w:val="7"/>
        <w:rPr>
          <w:rFonts w:hint="eastAsia" w:asciiTheme="minorEastAsia" w:hAnsiTheme="minorEastAsia" w:eastAsiaTheme="minorEastAsia" w:cstheme="minorEastAsia"/>
        </w:rPr>
      </w:pP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D5218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00BA9D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1661" w:type="dxa"/>
          </w:tcPr>
          <w:p w14:paraId="51BFFBA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报价内容</w:t>
            </w:r>
          </w:p>
        </w:tc>
        <w:tc>
          <w:tcPr>
            <w:tcW w:w="1661" w:type="dxa"/>
          </w:tcPr>
          <w:p w14:paraId="1158AA8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最高限价</w:t>
            </w:r>
          </w:p>
        </w:tc>
        <w:tc>
          <w:tcPr>
            <w:tcW w:w="1661" w:type="dxa"/>
          </w:tcPr>
          <w:p w14:paraId="48C765B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响应报价</w:t>
            </w:r>
          </w:p>
        </w:tc>
        <w:tc>
          <w:tcPr>
            <w:tcW w:w="1661" w:type="dxa"/>
          </w:tcPr>
          <w:p w14:paraId="681FB89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价款形式</w:t>
            </w:r>
          </w:p>
        </w:tc>
      </w:tr>
      <w:tr w14:paraId="1E94A9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A8F4AD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w:t>
            </w:r>
          </w:p>
        </w:tc>
        <w:tc>
          <w:tcPr>
            <w:tcW w:w="1661" w:type="dxa"/>
          </w:tcPr>
          <w:p w14:paraId="1DA7560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福建闽江源国家级自然保护区智慧化建设（一期）项目</w:t>
            </w:r>
          </w:p>
        </w:tc>
        <w:tc>
          <w:tcPr>
            <w:tcW w:w="1661" w:type="dxa"/>
          </w:tcPr>
          <w:p w14:paraId="61DBD43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4000000  元</w:t>
            </w:r>
          </w:p>
        </w:tc>
        <w:tc>
          <w:tcPr>
            <w:tcW w:w="1661" w:type="dxa"/>
          </w:tcPr>
          <w:p w14:paraId="09BD54C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「汇总引用」  元</w:t>
            </w:r>
          </w:p>
        </w:tc>
        <w:tc>
          <w:tcPr>
            <w:tcW w:w="1661" w:type="dxa"/>
          </w:tcPr>
          <w:p w14:paraId="1FF5985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w:t>
            </w:r>
          </w:p>
        </w:tc>
      </w:tr>
    </w:tbl>
    <w:p w14:paraId="250B581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备注：无</w:t>
      </w:r>
    </w:p>
    <w:p w14:paraId="2F46EA4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时间：     年     月     日</w:t>
      </w:r>
    </w:p>
    <w:p w14:paraId="5D2A511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签章：</w:t>
      </w:r>
    </w:p>
    <w:p w14:paraId="2218A7F4">
      <w:pPr>
        <w:pStyle w:val="7"/>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投标（响应）报价明细表</w:t>
      </w:r>
    </w:p>
    <w:p w14:paraId="575B478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项目编号：[350430]HJZB[GK]2026004</w:t>
      </w:r>
    </w:p>
    <w:p w14:paraId="2C31A13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项目名称：福建闽江源国家级自然保护区智慧化建设（一期）项目</w:t>
      </w:r>
    </w:p>
    <w:p w14:paraId="7F824C0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采购包：福建闽江源国家级自然保护区智慧化建设（一期）项目</w:t>
      </w:r>
    </w:p>
    <w:p w14:paraId="1BF2A33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投标人名称：</w:t>
      </w:r>
    </w:p>
    <w:p w14:paraId="27D777C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福建闽江源国家级自然保护区智慧化建设（一期）项目</w:t>
      </w:r>
    </w:p>
    <w:p w14:paraId="0A65AD79">
      <w:pPr>
        <w:pStyle w:val="7"/>
        <w:rPr>
          <w:rFonts w:hint="eastAsia" w:asciiTheme="minorEastAsia" w:hAnsiTheme="minorEastAsia" w:eastAsiaTheme="minorEastAsia" w:cstheme="minorEastAsia"/>
        </w:rPr>
      </w:pP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1"/>
        <w:gridCol w:w="635"/>
        <w:gridCol w:w="619"/>
        <w:gridCol w:w="619"/>
        <w:gridCol w:w="619"/>
        <w:gridCol w:w="619"/>
        <w:gridCol w:w="916"/>
        <w:gridCol w:w="619"/>
        <w:gridCol w:w="816"/>
        <w:gridCol w:w="602"/>
        <w:gridCol w:w="619"/>
        <w:gridCol w:w="619"/>
        <w:gridCol w:w="619"/>
      </w:tblGrid>
      <w:tr w14:paraId="7F26AD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73FC61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639" w:type="dxa"/>
          </w:tcPr>
          <w:p w14:paraId="4BFE734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货物名称</w:t>
            </w:r>
          </w:p>
        </w:tc>
        <w:tc>
          <w:tcPr>
            <w:tcW w:w="639" w:type="dxa"/>
          </w:tcPr>
          <w:p w14:paraId="1B2CB94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规格型号</w:t>
            </w:r>
          </w:p>
        </w:tc>
        <w:tc>
          <w:tcPr>
            <w:tcW w:w="639" w:type="dxa"/>
          </w:tcPr>
          <w:p w14:paraId="6833B5F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品牌</w:t>
            </w:r>
          </w:p>
        </w:tc>
        <w:tc>
          <w:tcPr>
            <w:tcW w:w="639" w:type="dxa"/>
          </w:tcPr>
          <w:p w14:paraId="68EED3D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制造商名称</w:t>
            </w:r>
          </w:p>
        </w:tc>
        <w:tc>
          <w:tcPr>
            <w:tcW w:w="639" w:type="dxa"/>
          </w:tcPr>
          <w:p w14:paraId="3BF1C07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产地</w:t>
            </w:r>
          </w:p>
        </w:tc>
        <w:tc>
          <w:tcPr>
            <w:tcW w:w="639" w:type="dxa"/>
          </w:tcPr>
          <w:p w14:paraId="2102702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最高限价</w:t>
            </w:r>
          </w:p>
        </w:tc>
        <w:tc>
          <w:tcPr>
            <w:tcW w:w="639" w:type="dxa"/>
          </w:tcPr>
          <w:p w14:paraId="6B3CAE8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单价</w:t>
            </w:r>
          </w:p>
        </w:tc>
        <w:tc>
          <w:tcPr>
            <w:tcW w:w="639" w:type="dxa"/>
          </w:tcPr>
          <w:p w14:paraId="683C7FF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数量</w:t>
            </w:r>
          </w:p>
        </w:tc>
        <w:tc>
          <w:tcPr>
            <w:tcW w:w="639" w:type="dxa"/>
          </w:tcPr>
          <w:p w14:paraId="4D62CF5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计量单位</w:t>
            </w:r>
          </w:p>
        </w:tc>
        <w:tc>
          <w:tcPr>
            <w:tcW w:w="639" w:type="dxa"/>
          </w:tcPr>
          <w:p w14:paraId="5ED32C0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w:t>
            </w:r>
          </w:p>
        </w:tc>
        <w:tc>
          <w:tcPr>
            <w:tcW w:w="639" w:type="dxa"/>
          </w:tcPr>
          <w:p w14:paraId="4396362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是否环境标志产品</w:t>
            </w:r>
          </w:p>
        </w:tc>
        <w:tc>
          <w:tcPr>
            <w:tcW w:w="639" w:type="dxa"/>
          </w:tcPr>
          <w:p w14:paraId="1A6B7D7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是否节能产品</w:t>
            </w:r>
          </w:p>
        </w:tc>
      </w:tr>
      <w:tr w14:paraId="3378BF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75064B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w:t>
            </w:r>
          </w:p>
        </w:tc>
        <w:tc>
          <w:tcPr>
            <w:tcW w:w="639" w:type="dxa"/>
          </w:tcPr>
          <w:p w14:paraId="0FE9531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福建闽江源国家级自然保护区智慧化建设（一期）项目</w:t>
            </w:r>
          </w:p>
        </w:tc>
        <w:tc>
          <w:tcPr>
            <w:tcW w:w="639" w:type="dxa"/>
          </w:tcPr>
          <w:p w14:paraId="7941D75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6C80E43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7EED4E2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03E872C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02A404E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4000000  元</w:t>
            </w:r>
          </w:p>
        </w:tc>
        <w:tc>
          <w:tcPr>
            <w:tcW w:w="639" w:type="dxa"/>
          </w:tcPr>
          <w:p w14:paraId="6CA26E8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{=总价/数量}  元</w:t>
            </w:r>
          </w:p>
        </w:tc>
        <w:tc>
          <w:tcPr>
            <w:tcW w:w="639" w:type="dxa"/>
          </w:tcPr>
          <w:p w14:paraId="368C007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1.0000</w:t>
            </w:r>
          </w:p>
        </w:tc>
        <w:tc>
          <w:tcPr>
            <w:tcW w:w="639" w:type="dxa"/>
          </w:tcPr>
          <w:p w14:paraId="6C8425A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批</w:t>
            </w:r>
          </w:p>
        </w:tc>
        <w:tc>
          <w:tcPr>
            <w:tcW w:w="639" w:type="dxa"/>
          </w:tcPr>
          <w:p w14:paraId="7955CCE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  元</w:t>
            </w:r>
          </w:p>
        </w:tc>
        <w:tc>
          <w:tcPr>
            <w:tcW w:w="639" w:type="dxa"/>
          </w:tcPr>
          <w:p w14:paraId="4F34154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20E5761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r>
    </w:tbl>
    <w:p w14:paraId="26B8683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合计：</w:t>
      </w:r>
    </w:p>
    <w:p w14:paraId="3FB1F237">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备注：无</w:t>
      </w:r>
    </w:p>
    <w:p w14:paraId="65FDE59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时间：     年     月     日</w:t>
      </w:r>
    </w:p>
    <w:p w14:paraId="77C684A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签章：</w:t>
      </w:r>
    </w:p>
    <w:p w14:paraId="1D153F0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DCDED9F">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三、招标文件规定的价格扣除证明材料（若有）</w:t>
      </w:r>
    </w:p>
    <w:p w14:paraId="1B54C07C">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三-1优先类节能产品、环境标志产品价格扣除证明材料（若有）</w:t>
      </w:r>
    </w:p>
    <w:p w14:paraId="17074914">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三-1-①优先类节能产品、环境标志产品统计表（价格扣除适用，若有）</w:t>
      </w:r>
    </w:p>
    <w:p w14:paraId="34B99717">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080F97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66A9F46">
            <w:pPr>
              <w:rPr>
                <w:rFonts w:hint="eastAsia" w:asciiTheme="minorEastAsia" w:hAnsiTheme="minorEastAsia" w:eastAsiaTheme="minorEastAsia" w:cstheme="minorEastAsia"/>
              </w:rPr>
            </w:pPr>
          </w:p>
        </w:tc>
        <w:tc>
          <w:tcPr>
            <w:tcW w:w="7122" w:type="dxa"/>
            <w:gridSpan w:val="4"/>
          </w:tcPr>
          <w:p w14:paraId="13B99E56">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本采购包内属于节能、环境标志产品情况</w:t>
            </w:r>
          </w:p>
        </w:tc>
      </w:tr>
      <w:tr w14:paraId="7953C3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7E0DD2E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187" w:type="dxa"/>
          </w:tcPr>
          <w:p w14:paraId="466A61D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187" w:type="dxa"/>
          </w:tcPr>
          <w:p w14:paraId="7302DDB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产品名称</w:t>
            </w:r>
          </w:p>
        </w:tc>
        <w:tc>
          <w:tcPr>
            <w:tcW w:w="1187" w:type="dxa"/>
          </w:tcPr>
          <w:p w14:paraId="0626AF1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认证种类</w:t>
            </w:r>
          </w:p>
        </w:tc>
      </w:tr>
      <w:tr w14:paraId="6CA749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347D596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14:paraId="6B0FCD9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187" w:type="dxa"/>
          </w:tcPr>
          <w:p w14:paraId="61150863">
            <w:pPr>
              <w:rPr>
                <w:rFonts w:hint="eastAsia" w:asciiTheme="minorEastAsia" w:hAnsiTheme="minorEastAsia" w:eastAsiaTheme="minorEastAsia" w:cstheme="minorEastAsia"/>
              </w:rPr>
            </w:pPr>
          </w:p>
        </w:tc>
        <w:tc>
          <w:tcPr>
            <w:tcW w:w="1187" w:type="dxa"/>
          </w:tcPr>
          <w:p w14:paraId="6E086E6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供应商自行填写种类，并上传证明附件以便评审查看</w:t>
            </w:r>
          </w:p>
        </w:tc>
      </w:tr>
      <w:tr w14:paraId="6FE5F1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35482BDC">
            <w:pPr>
              <w:rPr>
                <w:rFonts w:hint="eastAsia" w:asciiTheme="minorEastAsia" w:hAnsiTheme="minorEastAsia" w:eastAsiaTheme="minorEastAsia" w:cstheme="minorEastAsia"/>
              </w:rPr>
            </w:pPr>
          </w:p>
        </w:tc>
        <w:tc>
          <w:tcPr>
            <w:tcW w:w="1187" w:type="dxa"/>
          </w:tcPr>
          <w:p w14:paraId="58515A0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4FC92D80">
            <w:pPr>
              <w:pStyle w:val="7"/>
              <w:rPr>
                <w:rFonts w:hint="eastAsia" w:asciiTheme="minorEastAsia" w:hAnsiTheme="minorEastAsia" w:eastAsiaTheme="minorEastAsia" w:cstheme="minorEastAsia"/>
              </w:rPr>
            </w:pPr>
          </w:p>
        </w:tc>
        <w:tc>
          <w:tcPr>
            <w:tcW w:w="1187" w:type="dxa"/>
          </w:tcPr>
          <w:p w14:paraId="659A9963">
            <w:pPr>
              <w:rPr>
                <w:rFonts w:hint="eastAsia" w:asciiTheme="minorEastAsia" w:hAnsiTheme="minorEastAsia" w:eastAsiaTheme="minorEastAsia" w:cstheme="minorEastAsia"/>
              </w:rPr>
            </w:pPr>
          </w:p>
        </w:tc>
        <w:tc>
          <w:tcPr>
            <w:tcW w:w="1187" w:type="dxa"/>
          </w:tcPr>
          <w:p w14:paraId="1AC4AAAE">
            <w:pPr>
              <w:rPr>
                <w:rFonts w:hint="eastAsia" w:asciiTheme="minorEastAsia" w:hAnsiTheme="minorEastAsia" w:eastAsiaTheme="minorEastAsia" w:cstheme="minorEastAsia"/>
              </w:rPr>
            </w:pPr>
          </w:p>
        </w:tc>
      </w:tr>
      <w:tr w14:paraId="190011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594813C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tc>
        <w:tc>
          <w:tcPr>
            <w:tcW w:w="3561" w:type="dxa"/>
            <w:gridSpan w:val="3"/>
          </w:tcPr>
          <w:p w14:paraId="3D97AE75">
            <w:pPr>
              <w:pStyle w:val="7"/>
              <w:rPr>
                <w:rFonts w:hint="eastAsia" w:asciiTheme="minorEastAsia" w:hAnsiTheme="minorEastAsia" w:eastAsiaTheme="minorEastAsia" w:cstheme="minorEastAsia"/>
              </w:rPr>
            </w:pPr>
          </w:p>
        </w:tc>
      </w:tr>
    </w:tbl>
    <w:p w14:paraId="6B0A726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7CD0960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1、对节能、环境标志产品计算价格扣除时，只依据电子投标文件“投标（响应）报价明细表”以及“优先类节能产品、环境标志产品证明材料（价格扣除适用，若有）”。</w:t>
      </w:r>
    </w:p>
    <w:p w14:paraId="15A2BA9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2、本表以采购包为单位，不同采购包请分别填写；同一采购包请按照其品目号顺序分别填写。</w:t>
      </w:r>
    </w:p>
    <w:p w14:paraId="2AAE600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3、具体统计、计算：</w:t>
      </w:r>
    </w:p>
    <w:p w14:paraId="5FE7ED7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3.1同一品目中各认证证书不重复计算价格扣除。</w:t>
      </w:r>
    </w:p>
    <w:p w14:paraId="49A1D0F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3.2计算结果若除不尽，可四舍五入保留到小数点后两位。</w:t>
      </w:r>
    </w:p>
    <w:p w14:paraId="703C8F5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3.3投标人(供应商)按照采购文件要求认真统计、计算。</w:t>
      </w:r>
    </w:p>
    <w:p w14:paraId="0D8939D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3.4若无节能、环境标志产品，不填写本表。</w:t>
      </w:r>
    </w:p>
    <w:p w14:paraId="37054AA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3.5强制类节能产品不享受价格扣除。</w:t>
      </w:r>
    </w:p>
    <w:p w14:paraId="3EFAD032">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6D8556C">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1AD72DA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72FF530">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三-1-②优先类节能产品、环境标志产品证明材料（价格扣除适用，若有）</w:t>
      </w:r>
    </w:p>
    <w:p w14:paraId="0CCCF9D8">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三-2小型、微型企业产品等价格扣除证明材料（若有）</w:t>
      </w:r>
    </w:p>
    <w:p w14:paraId="46ED9FA8">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三-2-①中小企业声明函（价格扣除适用，若有）</w:t>
      </w:r>
    </w:p>
    <w:p w14:paraId="56864D40">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中小企业声明函（货物）</w:t>
      </w:r>
    </w:p>
    <w:p w14:paraId="5A13EE0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采购活动，提供的货物全部由符合政策要求的中小企业制造。相关企业（含联合体中的中小企业、签订分包意向协议的中小企业）的具体情况如下：</w:t>
      </w:r>
    </w:p>
    <w:p w14:paraId="62F0449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sz w:val="21"/>
          <w:vertAlign w:val="superscript"/>
        </w:rPr>
        <w:t>1</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409FADA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13C26AB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2E4FEDB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6F152F7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5F3EE7A7">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57BEDD7A">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45685AE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1D1016C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6AC1FA1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75F922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2B9105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D69F076">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中小企业声明函（工程、服务）</w:t>
      </w:r>
    </w:p>
    <w:p w14:paraId="253CEE5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采购活动，工程的施工单位全部为符合政策要求的中小企业（或者：服务全部由符合政策要求的中小企业承接）。相关企业（含联合体中的中小企业、签订分包意向协议的中小企业）的具体情况如下：</w:t>
      </w:r>
    </w:p>
    <w:p w14:paraId="1FA5F74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sz w:val="21"/>
          <w:vertAlign w:val="superscript"/>
        </w:rPr>
        <w:t>1</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16EE366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7EBDA51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0663C1B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78DCEB8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1DF50520">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675A1FB9">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37413A2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1AAE743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4D2ECB0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868C45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60E159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92A2602">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三-2-②小型、微型企业等证明材料（价格扣除适用，若有）</w:t>
      </w:r>
    </w:p>
    <w:p w14:paraId="574194A7">
      <w:pPr>
        <w:pStyle w:val="7"/>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708A62A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1、投标人为监狱企业的，根据其提供的由省级以上监狱管理局、戒毒管理局（含新疆生产建设兵团）出具的属于监狱企业的证明文件进行认定，监狱企业视同小型、微型企业。</w:t>
      </w:r>
    </w:p>
    <w:p w14:paraId="2B8FA4D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2、投标人为残疾人福利性单位的，根据其提供的《残疾人福利性单位声明函》（格式附后）进行认定，残疾人福利性单位视同小型、微型企业。残疾人福利性单位属于小型、微型企业的，不重复享受政策。</w:t>
      </w:r>
    </w:p>
    <w:p w14:paraId="079BB6A6">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14:paraId="5030D3A9">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残疾人福利性单位声明函（价格扣除适用，若有）</w:t>
      </w:r>
    </w:p>
    <w:p w14:paraId="00332C4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5DCE9EF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2AC0E2D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）由本投标人承建的（填写“所投采购包、品目号”）工程</w:t>
      </w:r>
    </w:p>
    <w:p w14:paraId="65E1F82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）由本投标人承接的（填写“所投采购包、品目号”）服务；</w:t>
      </w:r>
    </w:p>
    <w:p w14:paraId="5F89B580">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本投标人对上述声明的真实性负责。如有虚假，将依法承担相应责任。</w:t>
      </w:r>
    </w:p>
    <w:p w14:paraId="7DC4770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p w14:paraId="7A5499D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1、请投标人按照实际情况编制填写本声明函，并在相应的（）中打“√”。</w:t>
      </w:r>
    </w:p>
    <w:p w14:paraId="25D6E97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2、若《残疾人福利性单位声明函》内容不真实，视为提供虚假材料。</w:t>
      </w:r>
    </w:p>
    <w:p w14:paraId="5AC02C5B">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14F80A85">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4B42236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5D93AE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14:paraId="273027F6">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监狱企业证明材料</w:t>
      </w:r>
    </w:p>
    <w:p w14:paraId="27B6E467">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投标人为监狱企业，提供本单位制造的货物（承接的服务），并在电子投标文件中提供省级以上监狱管理局、戒毒管理局（含新疆生产建设兵团）出具的属于监狱企业的证明文件。</w:t>
      </w:r>
    </w:p>
    <w:p w14:paraId="5D46541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18DF4CE">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三-3本国产品证明材料（若有）</w:t>
      </w:r>
    </w:p>
    <w:p w14:paraId="772B10FF">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三-3-①关于符合本国产品标准的声明函（价格扣除适用，若有）</w:t>
      </w:r>
    </w:p>
    <w:p w14:paraId="6CAC14B7">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本公司（单位）郑重声明，根据《国务院办公厅关于在政府采购中实施本国产品标准及相关政策的通知》（国办发〔2025〕34号）的规定，本公司（单位）提供的以下产品属于本国产品。具体情况如下：</w:t>
      </w:r>
    </w:p>
    <w:p w14:paraId="0B423D2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产品名称1），生产厂为（厂名），厂址为（生产厂址）。（产品名称1）的中国境内生产的组件成本占比≥（规定比例）。（产品名称）的（关键组件）在中国境内生产。（产品名称）的（关键工序）在中国境内完成。</w:t>
      </w:r>
    </w:p>
    <w:p w14:paraId="32C2A0A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产品名称2），生产厂为（厂名），厂址为（生产厂址）。（产品名称2）的中国境内生产的组件成本占比≥（规定比例）。（产品名称2）的（关键组件）在中国境内生产。（产品名称2）的（关键工序）在中国境内完成。</w:t>
      </w:r>
    </w:p>
    <w:p w14:paraId="04AE53A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3EAE79B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本公司（单位）对上述声明内容的真实性负责。如有虚假，愿承担相应法律责任。</w:t>
      </w:r>
    </w:p>
    <w:p w14:paraId="5ED73976">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公司（单位）名称（盖章）：</w:t>
      </w:r>
    </w:p>
    <w:p w14:paraId="532525A6">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25B37E6C">
      <w:pPr>
        <w:pStyle w:val="7"/>
        <w:pBdr>
          <w:bottom w:val="single" w:color="auto" w:sz="6" w:space="1"/>
          <w:between w:val="single" w:color="auto" w:sz="6" w:space="1"/>
        </w:pBdr>
        <w:rPr>
          <w:rFonts w:hint="eastAsia" w:asciiTheme="minorEastAsia" w:hAnsiTheme="minorEastAsia" w:eastAsiaTheme="minorEastAsia" w:cstheme="minorEastAsia"/>
        </w:rPr>
      </w:pPr>
      <w:r>
        <w:rPr>
          <w:rFonts w:hint="eastAsia" w:asciiTheme="minorEastAsia" w:hAnsiTheme="minorEastAsia" w:eastAsiaTheme="minorEastAsia" w:cstheme="minorEastAsia"/>
        </w:rPr>
        <w:t>1.产品如有型号，请在"产品名称"栏一并填写。</w:t>
      </w:r>
    </w:p>
    <w:p w14:paraId="63DD071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2.生产厂名与厂址应与生产厂营业执照载明的相关信息保持一致。</w:t>
      </w:r>
    </w:p>
    <w:p w14:paraId="01D7F2F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3.该产品的中国境内生产的组件成本占比相关要求实施前，"规定比例"栏可不填，下同。</w:t>
      </w:r>
    </w:p>
    <w:p w14:paraId="69F3AFE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4.该产品的关键组件要求实施前，"关键组件"栏可不填，下同。</w:t>
      </w:r>
    </w:p>
    <w:p w14:paraId="319625C0">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5.该产品的关键工序要求实施前，"关键工序"栏可不填，下同。</w:t>
      </w:r>
    </w:p>
    <w:p w14:paraId="62F89F9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BD2A4CC">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三-3-②《本国产品成本占比说明》（价格扣除适用，若有）</w:t>
      </w:r>
    </w:p>
    <w:p w14:paraId="14439F80">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24BFFE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8BB7169">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2076" w:type="dxa"/>
          </w:tcPr>
          <w:p w14:paraId="779FF3A2">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采购文件要求的产品名称</w:t>
            </w:r>
          </w:p>
        </w:tc>
        <w:tc>
          <w:tcPr>
            <w:tcW w:w="2076" w:type="dxa"/>
          </w:tcPr>
          <w:p w14:paraId="1DA6410A">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响应文件中响应的主要产品/技术名称(规格型号)</w:t>
            </w:r>
          </w:p>
        </w:tc>
        <w:tc>
          <w:tcPr>
            <w:tcW w:w="2076" w:type="dxa"/>
          </w:tcPr>
          <w:p w14:paraId="730B083B">
            <w:pPr>
              <w:pStyle w:val="7"/>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响应的产品是否为本国产品</w:t>
            </w:r>
          </w:p>
        </w:tc>
      </w:tr>
      <w:tr w14:paraId="576894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E13AD2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2076" w:type="dxa"/>
          </w:tcPr>
          <w:p w14:paraId="165281AE">
            <w:pPr>
              <w:rPr>
                <w:rFonts w:hint="eastAsia" w:asciiTheme="minorEastAsia" w:hAnsiTheme="minorEastAsia" w:eastAsiaTheme="minorEastAsia" w:cstheme="minorEastAsia"/>
              </w:rPr>
            </w:pPr>
          </w:p>
        </w:tc>
        <w:tc>
          <w:tcPr>
            <w:tcW w:w="2076" w:type="dxa"/>
          </w:tcPr>
          <w:p w14:paraId="02F38EEB">
            <w:pPr>
              <w:rPr>
                <w:rFonts w:hint="eastAsia" w:asciiTheme="minorEastAsia" w:hAnsiTheme="minorEastAsia" w:eastAsiaTheme="minorEastAsia" w:cstheme="minorEastAsia"/>
              </w:rPr>
            </w:pPr>
          </w:p>
        </w:tc>
        <w:tc>
          <w:tcPr>
            <w:tcW w:w="2076" w:type="dxa"/>
          </w:tcPr>
          <w:p w14:paraId="01E9931B">
            <w:pPr>
              <w:rPr>
                <w:rFonts w:hint="eastAsia" w:asciiTheme="minorEastAsia" w:hAnsiTheme="minorEastAsia" w:eastAsiaTheme="minorEastAsia" w:cstheme="minorEastAsia"/>
              </w:rPr>
            </w:pPr>
          </w:p>
        </w:tc>
      </w:tr>
      <w:tr w14:paraId="05460B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54B4DD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2076" w:type="dxa"/>
          </w:tcPr>
          <w:p w14:paraId="0DC3C0A8">
            <w:pPr>
              <w:rPr>
                <w:rFonts w:hint="eastAsia" w:asciiTheme="minorEastAsia" w:hAnsiTheme="minorEastAsia" w:eastAsiaTheme="minorEastAsia" w:cstheme="minorEastAsia"/>
              </w:rPr>
            </w:pPr>
          </w:p>
        </w:tc>
        <w:tc>
          <w:tcPr>
            <w:tcW w:w="2076" w:type="dxa"/>
          </w:tcPr>
          <w:p w14:paraId="014DF613">
            <w:pPr>
              <w:rPr>
                <w:rFonts w:hint="eastAsia" w:asciiTheme="minorEastAsia" w:hAnsiTheme="minorEastAsia" w:eastAsiaTheme="minorEastAsia" w:cstheme="minorEastAsia"/>
              </w:rPr>
            </w:pPr>
          </w:p>
        </w:tc>
        <w:tc>
          <w:tcPr>
            <w:tcW w:w="2076" w:type="dxa"/>
          </w:tcPr>
          <w:p w14:paraId="290D7564">
            <w:pPr>
              <w:rPr>
                <w:rFonts w:hint="eastAsia" w:asciiTheme="minorEastAsia" w:hAnsiTheme="minorEastAsia" w:eastAsiaTheme="minorEastAsia" w:cstheme="minorEastAsia"/>
              </w:rPr>
            </w:pPr>
          </w:p>
        </w:tc>
      </w:tr>
      <w:tr w14:paraId="2F25BD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7CC0E7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2076" w:type="dxa"/>
          </w:tcPr>
          <w:p w14:paraId="7641E8CD">
            <w:pPr>
              <w:rPr>
                <w:rFonts w:hint="eastAsia" w:asciiTheme="minorEastAsia" w:hAnsiTheme="minorEastAsia" w:eastAsiaTheme="minorEastAsia" w:cstheme="minorEastAsia"/>
              </w:rPr>
            </w:pPr>
          </w:p>
        </w:tc>
        <w:tc>
          <w:tcPr>
            <w:tcW w:w="2076" w:type="dxa"/>
          </w:tcPr>
          <w:p w14:paraId="0ADDB1C4">
            <w:pPr>
              <w:rPr>
                <w:rFonts w:hint="eastAsia" w:asciiTheme="minorEastAsia" w:hAnsiTheme="minorEastAsia" w:eastAsiaTheme="minorEastAsia" w:cstheme="minorEastAsia"/>
              </w:rPr>
            </w:pPr>
          </w:p>
        </w:tc>
        <w:tc>
          <w:tcPr>
            <w:tcW w:w="2076" w:type="dxa"/>
          </w:tcPr>
          <w:p w14:paraId="081859FF">
            <w:pPr>
              <w:rPr>
                <w:rFonts w:hint="eastAsia" w:asciiTheme="minorEastAsia" w:hAnsiTheme="minorEastAsia" w:eastAsiaTheme="minorEastAsia" w:cstheme="minorEastAsia"/>
              </w:rPr>
            </w:pPr>
          </w:p>
        </w:tc>
      </w:tr>
      <w:tr w14:paraId="7CF370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28" w:type="dxa"/>
            <w:gridSpan w:val="3"/>
          </w:tcPr>
          <w:p w14:paraId="6AEC274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供应商为该采购项目或者采购包提供的符合本国产品标准的产品成本之和占该供应商提供的全部产品成本之和的比例是否达到80%</w:t>
            </w:r>
          </w:p>
        </w:tc>
        <w:tc>
          <w:tcPr>
            <w:tcW w:w="2076" w:type="dxa"/>
          </w:tcPr>
          <w:p w14:paraId="38C30385">
            <w:pPr>
              <w:rPr>
                <w:rFonts w:hint="eastAsia" w:asciiTheme="minorEastAsia" w:hAnsiTheme="minorEastAsia" w:eastAsiaTheme="minorEastAsia" w:cstheme="minorEastAsia"/>
              </w:rPr>
            </w:pPr>
          </w:p>
        </w:tc>
      </w:tr>
    </w:tbl>
    <w:p w14:paraId="0C29BC6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本公司（单位）对上述承诺承担全部法律责任，若存在虚假承诺或与实际不符情形，自愿接受政府采购相关法律法规及监管规定处理，并承担由此产生的一切法律后果与经济责任。</w:t>
      </w:r>
    </w:p>
    <w:p w14:paraId="34BCE111">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供应商名称（盖章）：</w:t>
      </w:r>
    </w:p>
    <w:p w14:paraId="50F0CFBB">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6E7B594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b/>
        </w:rPr>
        <w:t>注：</w:t>
      </w:r>
    </w:p>
    <w:p w14:paraId="29CBA69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554249E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2. 供应商须同时出具《关于符合本国产品标准的声明函》（样式见下附件2）或财政部会同有关部门规定的有关证明文件。出具符合要求的《声明函》或有关证明文件的，该产品视为本国产品。</w:t>
      </w:r>
    </w:p>
    <w:p w14:paraId="5EEE691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3. 本项目(采购包)若需要供应商响应本国产品，需在本国产品说明文件中响应(承诺)供应商为该采购项目或者采购包提供的符合本国产品标准的产品成本之和占该供应商提供的全部产品成本之和的比例达到80%以上。</w:t>
      </w:r>
    </w:p>
    <w:p w14:paraId="327F2CB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4. 若本国产品说明和关于符合本国产品标准的声明函出现不一致，以《关于符合本国产品标准的声明函》为准。</w:t>
      </w:r>
    </w:p>
    <w:p w14:paraId="69457E8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CF756CC">
      <w:pPr>
        <w:pStyle w:val="7"/>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三-4招标文件规定的其他价格扣除证明材料（若有）</w:t>
      </w:r>
    </w:p>
    <w:p w14:paraId="3F115CF1">
      <w:pPr>
        <w:pStyle w:val="7"/>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48F74109">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若投标人可享受招标文件规定的除“节能（非强制类）、环境标志产品价格扣除”及“小型、微型企业产品等价格扣除”外的其他价格扣除优惠，则投标人应按照招标文件要求提供相应证明材料。</w:t>
      </w:r>
    </w:p>
    <w:p w14:paraId="4499ACD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5C0C0A7">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封面格式(技术商务部分)</w:t>
      </w:r>
    </w:p>
    <w:p w14:paraId="18128BD6">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14:paraId="7B95FC24">
      <w:pPr>
        <w:pStyle w:val="7"/>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（技术商务部分）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0F3E5E5B">
      <w:pPr>
        <w:pStyle w:val="7"/>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455198EB">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14:paraId="2A8C969B">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14:paraId="43FA12F7">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14:paraId="1E1A0D55">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14:paraId="568E6555">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14:paraId="46B747A4">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14:paraId="4BFFDE9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178AB31">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索引</w:t>
      </w:r>
    </w:p>
    <w:p w14:paraId="0D37FB1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一、标的说明一览表</w:t>
      </w:r>
    </w:p>
    <w:p w14:paraId="3FCF480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二、技术和服务要求响应表</w:t>
      </w:r>
    </w:p>
    <w:p w14:paraId="7BC20E6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三、商务条件响应表</w:t>
      </w:r>
    </w:p>
    <w:p w14:paraId="65611655">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四、投标人提交的其他资料（若有）</w:t>
      </w:r>
    </w:p>
    <w:p w14:paraId="2DF8F1D0">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13C2816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技术商务部分中不得出现报价部分的全部或部分的投标报价信息（或组成资料），否则符合性审查不合格。</w:t>
      </w:r>
    </w:p>
    <w:p w14:paraId="0E05760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39A4874">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一、标的说明一览表</w:t>
      </w:r>
    </w:p>
    <w:p w14:paraId="2DA43EB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5D6A44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DFE0649">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187" w:type="dxa"/>
          </w:tcPr>
          <w:p w14:paraId="1E79469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187" w:type="dxa"/>
          </w:tcPr>
          <w:p w14:paraId="48A94B4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投标标的</w:t>
            </w:r>
          </w:p>
        </w:tc>
        <w:tc>
          <w:tcPr>
            <w:tcW w:w="1187" w:type="dxa"/>
          </w:tcPr>
          <w:p w14:paraId="589E41C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数量</w:t>
            </w:r>
          </w:p>
        </w:tc>
        <w:tc>
          <w:tcPr>
            <w:tcW w:w="1187" w:type="dxa"/>
          </w:tcPr>
          <w:p w14:paraId="3614F63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规格</w:t>
            </w:r>
          </w:p>
        </w:tc>
        <w:tc>
          <w:tcPr>
            <w:tcW w:w="1187" w:type="dxa"/>
          </w:tcPr>
          <w:p w14:paraId="7583927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来源地</w:t>
            </w:r>
          </w:p>
        </w:tc>
        <w:tc>
          <w:tcPr>
            <w:tcW w:w="1187" w:type="dxa"/>
          </w:tcPr>
          <w:p w14:paraId="126AF39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tc>
      </w:tr>
      <w:tr w14:paraId="21B65E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6119AB0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14:paraId="74D3C3C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187" w:type="dxa"/>
          </w:tcPr>
          <w:p w14:paraId="3C6922E9">
            <w:pPr>
              <w:rPr>
                <w:rFonts w:hint="eastAsia" w:asciiTheme="minorEastAsia" w:hAnsiTheme="minorEastAsia" w:eastAsiaTheme="minorEastAsia" w:cstheme="minorEastAsia"/>
              </w:rPr>
            </w:pPr>
          </w:p>
        </w:tc>
        <w:tc>
          <w:tcPr>
            <w:tcW w:w="1187" w:type="dxa"/>
          </w:tcPr>
          <w:p w14:paraId="227EE695">
            <w:pPr>
              <w:rPr>
                <w:rFonts w:hint="eastAsia" w:asciiTheme="minorEastAsia" w:hAnsiTheme="minorEastAsia" w:eastAsiaTheme="minorEastAsia" w:cstheme="minorEastAsia"/>
              </w:rPr>
            </w:pPr>
          </w:p>
        </w:tc>
        <w:tc>
          <w:tcPr>
            <w:tcW w:w="1187" w:type="dxa"/>
          </w:tcPr>
          <w:p w14:paraId="6E4C83B7">
            <w:pPr>
              <w:rPr>
                <w:rFonts w:hint="eastAsia" w:asciiTheme="minorEastAsia" w:hAnsiTheme="minorEastAsia" w:eastAsiaTheme="minorEastAsia" w:cstheme="minorEastAsia"/>
              </w:rPr>
            </w:pPr>
          </w:p>
        </w:tc>
        <w:tc>
          <w:tcPr>
            <w:tcW w:w="1187" w:type="dxa"/>
          </w:tcPr>
          <w:p w14:paraId="72066510">
            <w:pPr>
              <w:rPr>
                <w:rFonts w:hint="eastAsia" w:asciiTheme="minorEastAsia" w:hAnsiTheme="minorEastAsia" w:eastAsiaTheme="minorEastAsia" w:cstheme="minorEastAsia"/>
              </w:rPr>
            </w:pPr>
          </w:p>
        </w:tc>
      </w:tr>
      <w:tr w14:paraId="768523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208F35D5">
            <w:pPr>
              <w:rPr>
                <w:rFonts w:hint="eastAsia" w:asciiTheme="minorEastAsia" w:hAnsiTheme="minorEastAsia" w:eastAsiaTheme="minorEastAsia" w:cstheme="minorEastAsia"/>
              </w:rPr>
            </w:pPr>
          </w:p>
        </w:tc>
        <w:tc>
          <w:tcPr>
            <w:tcW w:w="1187" w:type="dxa"/>
          </w:tcPr>
          <w:p w14:paraId="3F224AA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14:paraId="5041D893">
            <w:pPr>
              <w:rPr>
                <w:rFonts w:hint="eastAsia" w:asciiTheme="minorEastAsia" w:hAnsiTheme="minorEastAsia" w:eastAsiaTheme="minorEastAsia" w:cstheme="minorEastAsia"/>
              </w:rPr>
            </w:pPr>
          </w:p>
        </w:tc>
        <w:tc>
          <w:tcPr>
            <w:tcW w:w="1187" w:type="dxa"/>
          </w:tcPr>
          <w:p w14:paraId="7921E4C3">
            <w:pPr>
              <w:rPr>
                <w:rFonts w:hint="eastAsia" w:asciiTheme="minorEastAsia" w:hAnsiTheme="minorEastAsia" w:eastAsiaTheme="minorEastAsia" w:cstheme="minorEastAsia"/>
              </w:rPr>
            </w:pPr>
          </w:p>
        </w:tc>
        <w:tc>
          <w:tcPr>
            <w:tcW w:w="1187" w:type="dxa"/>
          </w:tcPr>
          <w:p w14:paraId="6CAE50AD">
            <w:pPr>
              <w:rPr>
                <w:rFonts w:hint="eastAsia" w:asciiTheme="minorEastAsia" w:hAnsiTheme="minorEastAsia" w:eastAsiaTheme="minorEastAsia" w:cstheme="minorEastAsia"/>
              </w:rPr>
            </w:pPr>
          </w:p>
        </w:tc>
        <w:tc>
          <w:tcPr>
            <w:tcW w:w="1187" w:type="dxa"/>
          </w:tcPr>
          <w:p w14:paraId="092A8721">
            <w:pPr>
              <w:rPr>
                <w:rFonts w:hint="eastAsia" w:asciiTheme="minorEastAsia" w:hAnsiTheme="minorEastAsia" w:eastAsiaTheme="minorEastAsia" w:cstheme="minorEastAsia"/>
              </w:rPr>
            </w:pPr>
          </w:p>
        </w:tc>
      </w:tr>
      <w:tr w14:paraId="127AB5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6D94FAE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14:paraId="56EE69D1">
            <w:pPr>
              <w:rPr>
                <w:rFonts w:hint="eastAsia" w:asciiTheme="minorEastAsia" w:hAnsiTheme="minorEastAsia" w:eastAsiaTheme="minorEastAsia" w:cstheme="minorEastAsia"/>
              </w:rPr>
            </w:pPr>
          </w:p>
        </w:tc>
        <w:tc>
          <w:tcPr>
            <w:tcW w:w="1187" w:type="dxa"/>
          </w:tcPr>
          <w:p w14:paraId="5C0D605F">
            <w:pPr>
              <w:rPr>
                <w:rFonts w:hint="eastAsia" w:asciiTheme="minorEastAsia" w:hAnsiTheme="minorEastAsia" w:eastAsiaTheme="minorEastAsia" w:cstheme="minorEastAsia"/>
              </w:rPr>
            </w:pPr>
          </w:p>
        </w:tc>
        <w:tc>
          <w:tcPr>
            <w:tcW w:w="1187" w:type="dxa"/>
          </w:tcPr>
          <w:p w14:paraId="48FC6D2E">
            <w:pPr>
              <w:rPr>
                <w:rFonts w:hint="eastAsia" w:asciiTheme="minorEastAsia" w:hAnsiTheme="minorEastAsia" w:eastAsiaTheme="minorEastAsia" w:cstheme="minorEastAsia"/>
              </w:rPr>
            </w:pPr>
          </w:p>
        </w:tc>
        <w:tc>
          <w:tcPr>
            <w:tcW w:w="1187" w:type="dxa"/>
          </w:tcPr>
          <w:p w14:paraId="0AAC30A1">
            <w:pPr>
              <w:rPr>
                <w:rFonts w:hint="eastAsia" w:asciiTheme="minorEastAsia" w:hAnsiTheme="minorEastAsia" w:eastAsiaTheme="minorEastAsia" w:cstheme="minorEastAsia"/>
              </w:rPr>
            </w:pPr>
          </w:p>
        </w:tc>
        <w:tc>
          <w:tcPr>
            <w:tcW w:w="1187" w:type="dxa"/>
          </w:tcPr>
          <w:p w14:paraId="5655BC5D">
            <w:pPr>
              <w:rPr>
                <w:rFonts w:hint="eastAsia" w:asciiTheme="minorEastAsia" w:hAnsiTheme="minorEastAsia" w:eastAsiaTheme="minorEastAsia" w:cstheme="minorEastAsia"/>
              </w:rPr>
            </w:pPr>
          </w:p>
        </w:tc>
      </w:tr>
    </w:tbl>
    <w:p w14:paraId="658F670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601717DB">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14:paraId="00B9B49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1.1“采购包”、“品目号”、“投标标的”及“数量”应与招标文件《采购标的一览表》中的有关内容（“采购包”、“品目号”、“采购标的”及“数量”）保持一致。</w:t>
      </w:r>
    </w:p>
    <w:p w14:paraId="45437F72">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2413BBC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1.3“投标标的”为服务的：“规格”项下应填写服务提供者提供的服务标准及品牌（若有）。“来源地”应填写服务提供者的所在地。“备注”项下应填写关于服务标准所涵盖的具体项目或内容的说明等。</w:t>
      </w:r>
    </w:p>
    <w:p w14:paraId="2A9460E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14:paraId="5C0A34E7">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3、电子投标文件中涉及“投标标的”、“数量”、“规格”、“来源地”的内容若不一致，以投标客户端的投标（响应）报价明细表为准。</w:t>
      </w:r>
    </w:p>
    <w:p w14:paraId="77BCCC26">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2DD5344D">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6A591D9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0A808CE">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二、技术和服务要求响应表</w:t>
      </w:r>
    </w:p>
    <w:p w14:paraId="2632FDCC">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7A0FF5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CDAB74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661" w:type="dxa"/>
          </w:tcPr>
          <w:p w14:paraId="22E1C2F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661" w:type="dxa"/>
          </w:tcPr>
          <w:p w14:paraId="5B17C5BC">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技术和服务要求</w:t>
            </w:r>
          </w:p>
        </w:tc>
        <w:tc>
          <w:tcPr>
            <w:tcW w:w="1661" w:type="dxa"/>
          </w:tcPr>
          <w:p w14:paraId="29557348">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投标响应</w:t>
            </w:r>
          </w:p>
        </w:tc>
        <w:tc>
          <w:tcPr>
            <w:tcW w:w="1661" w:type="dxa"/>
          </w:tcPr>
          <w:p w14:paraId="64FA406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是否偏离及说明</w:t>
            </w:r>
          </w:p>
        </w:tc>
      </w:tr>
      <w:tr w14:paraId="0F3D5D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3FC6D914">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46D86B9A">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661" w:type="dxa"/>
          </w:tcPr>
          <w:p w14:paraId="7416A7CE">
            <w:pPr>
              <w:rPr>
                <w:rFonts w:hint="eastAsia" w:asciiTheme="minorEastAsia" w:hAnsiTheme="minorEastAsia" w:eastAsiaTheme="minorEastAsia" w:cstheme="minorEastAsia"/>
              </w:rPr>
            </w:pPr>
          </w:p>
        </w:tc>
        <w:tc>
          <w:tcPr>
            <w:tcW w:w="1661" w:type="dxa"/>
          </w:tcPr>
          <w:p w14:paraId="21E19C31">
            <w:pPr>
              <w:rPr>
                <w:rFonts w:hint="eastAsia" w:asciiTheme="minorEastAsia" w:hAnsiTheme="minorEastAsia" w:eastAsiaTheme="minorEastAsia" w:cstheme="minorEastAsia"/>
              </w:rPr>
            </w:pPr>
          </w:p>
        </w:tc>
        <w:tc>
          <w:tcPr>
            <w:tcW w:w="1661" w:type="dxa"/>
          </w:tcPr>
          <w:p w14:paraId="0EFB7E64">
            <w:pPr>
              <w:rPr>
                <w:rFonts w:hint="eastAsia" w:asciiTheme="minorEastAsia" w:hAnsiTheme="minorEastAsia" w:eastAsiaTheme="minorEastAsia" w:cstheme="minorEastAsia"/>
              </w:rPr>
            </w:pPr>
          </w:p>
        </w:tc>
      </w:tr>
      <w:tr w14:paraId="7A6353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7AB3F65A">
            <w:pPr>
              <w:rPr>
                <w:rFonts w:hint="eastAsia" w:asciiTheme="minorEastAsia" w:hAnsiTheme="minorEastAsia" w:eastAsiaTheme="minorEastAsia" w:cstheme="minorEastAsia"/>
              </w:rPr>
            </w:pPr>
          </w:p>
        </w:tc>
        <w:tc>
          <w:tcPr>
            <w:tcW w:w="1661" w:type="dxa"/>
          </w:tcPr>
          <w:p w14:paraId="359C469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3B12562E">
            <w:pPr>
              <w:rPr>
                <w:rFonts w:hint="eastAsia" w:asciiTheme="minorEastAsia" w:hAnsiTheme="minorEastAsia" w:eastAsiaTheme="minorEastAsia" w:cstheme="minorEastAsia"/>
              </w:rPr>
            </w:pPr>
          </w:p>
        </w:tc>
        <w:tc>
          <w:tcPr>
            <w:tcW w:w="1661" w:type="dxa"/>
          </w:tcPr>
          <w:p w14:paraId="1D6D7218">
            <w:pPr>
              <w:rPr>
                <w:rFonts w:hint="eastAsia" w:asciiTheme="minorEastAsia" w:hAnsiTheme="minorEastAsia" w:eastAsiaTheme="minorEastAsia" w:cstheme="minorEastAsia"/>
              </w:rPr>
            </w:pPr>
          </w:p>
        </w:tc>
        <w:tc>
          <w:tcPr>
            <w:tcW w:w="1661" w:type="dxa"/>
          </w:tcPr>
          <w:p w14:paraId="13695662">
            <w:pPr>
              <w:rPr>
                <w:rFonts w:hint="eastAsia" w:asciiTheme="minorEastAsia" w:hAnsiTheme="minorEastAsia" w:eastAsiaTheme="minorEastAsia" w:cstheme="minorEastAsia"/>
              </w:rPr>
            </w:pPr>
          </w:p>
        </w:tc>
      </w:tr>
      <w:tr w14:paraId="4E4FE4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926FF3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47DF6D48">
            <w:pPr>
              <w:rPr>
                <w:rFonts w:hint="eastAsia" w:asciiTheme="minorEastAsia" w:hAnsiTheme="minorEastAsia" w:eastAsiaTheme="minorEastAsia" w:cstheme="minorEastAsia"/>
              </w:rPr>
            </w:pPr>
          </w:p>
        </w:tc>
        <w:tc>
          <w:tcPr>
            <w:tcW w:w="1661" w:type="dxa"/>
          </w:tcPr>
          <w:p w14:paraId="33D8C5D1">
            <w:pPr>
              <w:rPr>
                <w:rFonts w:hint="eastAsia" w:asciiTheme="minorEastAsia" w:hAnsiTheme="minorEastAsia" w:eastAsiaTheme="minorEastAsia" w:cstheme="minorEastAsia"/>
              </w:rPr>
            </w:pPr>
          </w:p>
        </w:tc>
        <w:tc>
          <w:tcPr>
            <w:tcW w:w="1661" w:type="dxa"/>
          </w:tcPr>
          <w:p w14:paraId="2222DF06">
            <w:pPr>
              <w:rPr>
                <w:rFonts w:hint="eastAsia" w:asciiTheme="minorEastAsia" w:hAnsiTheme="minorEastAsia" w:eastAsiaTheme="minorEastAsia" w:cstheme="minorEastAsia"/>
              </w:rPr>
            </w:pPr>
          </w:p>
        </w:tc>
        <w:tc>
          <w:tcPr>
            <w:tcW w:w="1661" w:type="dxa"/>
          </w:tcPr>
          <w:p w14:paraId="4A7F5D9C">
            <w:pPr>
              <w:rPr>
                <w:rFonts w:hint="eastAsia" w:asciiTheme="minorEastAsia" w:hAnsiTheme="minorEastAsia" w:eastAsiaTheme="minorEastAsia" w:cstheme="minorEastAsia"/>
              </w:rPr>
            </w:pPr>
          </w:p>
        </w:tc>
      </w:tr>
    </w:tbl>
    <w:p w14:paraId="196A5E1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4BCC888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14:paraId="2B0D687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1.1“技术和服务要求”项下填写的内容应与招标文件第五章“技术和服务要求”的内容保持一致。</w:t>
      </w:r>
    </w:p>
    <w:p w14:paraId="7E6C51B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1FC5B34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1.3“是否偏离及说明”项下应按下列规定填写：优于的，填写“正偏离”；符合的，填写“无偏离”；低于的，填写“负偏离”。</w:t>
      </w:r>
    </w:p>
    <w:p w14:paraId="3939641A">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14:paraId="3D195F5D">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61F5F46">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06529C13">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87F5AA2">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三、商务条件响应表</w:t>
      </w:r>
    </w:p>
    <w:p w14:paraId="48019733">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74297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14:paraId="0D21670F">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661" w:type="dxa"/>
          </w:tcPr>
          <w:p w14:paraId="0C04D43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661" w:type="dxa"/>
          </w:tcPr>
          <w:p w14:paraId="032545A1">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商务条件</w:t>
            </w:r>
          </w:p>
        </w:tc>
        <w:tc>
          <w:tcPr>
            <w:tcW w:w="1661" w:type="dxa"/>
          </w:tcPr>
          <w:p w14:paraId="789AFC46">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投标响应</w:t>
            </w:r>
          </w:p>
        </w:tc>
        <w:tc>
          <w:tcPr>
            <w:tcW w:w="1661" w:type="dxa"/>
          </w:tcPr>
          <w:p w14:paraId="27880E40">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是否偏离及说明</w:t>
            </w:r>
          </w:p>
        </w:tc>
      </w:tr>
      <w:tr w14:paraId="4F1640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3233654E">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14C071C2">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661" w:type="dxa"/>
          </w:tcPr>
          <w:p w14:paraId="6CD086E9">
            <w:pPr>
              <w:rPr>
                <w:rFonts w:hint="eastAsia" w:asciiTheme="minorEastAsia" w:hAnsiTheme="minorEastAsia" w:eastAsiaTheme="minorEastAsia" w:cstheme="minorEastAsia"/>
              </w:rPr>
            </w:pPr>
          </w:p>
        </w:tc>
        <w:tc>
          <w:tcPr>
            <w:tcW w:w="1661" w:type="dxa"/>
          </w:tcPr>
          <w:p w14:paraId="6396A196">
            <w:pPr>
              <w:rPr>
                <w:rFonts w:hint="eastAsia" w:asciiTheme="minorEastAsia" w:hAnsiTheme="minorEastAsia" w:eastAsiaTheme="minorEastAsia" w:cstheme="minorEastAsia"/>
              </w:rPr>
            </w:pPr>
          </w:p>
        </w:tc>
        <w:tc>
          <w:tcPr>
            <w:tcW w:w="1661" w:type="dxa"/>
          </w:tcPr>
          <w:p w14:paraId="4F7FDDB2">
            <w:pPr>
              <w:rPr>
                <w:rFonts w:hint="eastAsia" w:asciiTheme="minorEastAsia" w:hAnsiTheme="minorEastAsia" w:eastAsiaTheme="minorEastAsia" w:cstheme="minorEastAsia"/>
              </w:rPr>
            </w:pPr>
          </w:p>
        </w:tc>
      </w:tr>
      <w:tr w14:paraId="0B84B3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2C7E3746">
            <w:pPr>
              <w:rPr>
                <w:rFonts w:hint="eastAsia" w:asciiTheme="minorEastAsia" w:hAnsiTheme="minorEastAsia" w:eastAsiaTheme="minorEastAsia" w:cstheme="minorEastAsia"/>
              </w:rPr>
            </w:pPr>
          </w:p>
        </w:tc>
        <w:tc>
          <w:tcPr>
            <w:tcW w:w="1661" w:type="dxa"/>
          </w:tcPr>
          <w:p w14:paraId="69C7F015">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79572C2B">
            <w:pPr>
              <w:rPr>
                <w:rFonts w:hint="eastAsia" w:asciiTheme="minorEastAsia" w:hAnsiTheme="minorEastAsia" w:eastAsiaTheme="minorEastAsia" w:cstheme="minorEastAsia"/>
              </w:rPr>
            </w:pPr>
          </w:p>
        </w:tc>
        <w:tc>
          <w:tcPr>
            <w:tcW w:w="1661" w:type="dxa"/>
          </w:tcPr>
          <w:p w14:paraId="5563DD1C">
            <w:pPr>
              <w:rPr>
                <w:rFonts w:hint="eastAsia" w:asciiTheme="minorEastAsia" w:hAnsiTheme="minorEastAsia" w:eastAsiaTheme="minorEastAsia" w:cstheme="minorEastAsia"/>
              </w:rPr>
            </w:pPr>
          </w:p>
        </w:tc>
        <w:tc>
          <w:tcPr>
            <w:tcW w:w="1661" w:type="dxa"/>
          </w:tcPr>
          <w:p w14:paraId="54E44CD1">
            <w:pPr>
              <w:rPr>
                <w:rFonts w:hint="eastAsia" w:asciiTheme="minorEastAsia" w:hAnsiTheme="minorEastAsia" w:eastAsiaTheme="minorEastAsia" w:cstheme="minorEastAsia"/>
              </w:rPr>
            </w:pPr>
          </w:p>
        </w:tc>
      </w:tr>
      <w:tr w14:paraId="7CEA5F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89C394D">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0334725E">
            <w:pPr>
              <w:rPr>
                <w:rFonts w:hint="eastAsia" w:asciiTheme="minorEastAsia" w:hAnsiTheme="minorEastAsia" w:eastAsiaTheme="minorEastAsia" w:cstheme="minorEastAsia"/>
              </w:rPr>
            </w:pPr>
          </w:p>
        </w:tc>
        <w:tc>
          <w:tcPr>
            <w:tcW w:w="1661" w:type="dxa"/>
          </w:tcPr>
          <w:p w14:paraId="06462450">
            <w:pPr>
              <w:rPr>
                <w:rFonts w:hint="eastAsia" w:asciiTheme="minorEastAsia" w:hAnsiTheme="minorEastAsia" w:eastAsiaTheme="minorEastAsia" w:cstheme="minorEastAsia"/>
              </w:rPr>
            </w:pPr>
          </w:p>
        </w:tc>
        <w:tc>
          <w:tcPr>
            <w:tcW w:w="1661" w:type="dxa"/>
          </w:tcPr>
          <w:p w14:paraId="61F2DA81">
            <w:pPr>
              <w:rPr>
                <w:rFonts w:hint="eastAsia" w:asciiTheme="minorEastAsia" w:hAnsiTheme="minorEastAsia" w:eastAsiaTheme="minorEastAsia" w:cstheme="minorEastAsia"/>
              </w:rPr>
            </w:pPr>
          </w:p>
        </w:tc>
        <w:tc>
          <w:tcPr>
            <w:tcW w:w="1661" w:type="dxa"/>
          </w:tcPr>
          <w:p w14:paraId="0D3C0630">
            <w:pPr>
              <w:rPr>
                <w:rFonts w:hint="eastAsia" w:asciiTheme="minorEastAsia" w:hAnsiTheme="minorEastAsia" w:eastAsiaTheme="minorEastAsia" w:cstheme="minorEastAsia"/>
              </w:rPr>
            </w:pPr>
          </w:p>
        </w:tc>
      </w:tr>
    </w:tbl>
    <w:p w14:paraId="43B8385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1EA96854">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14:paraId="7DED8B47">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1.1“商务条件”项下填写的内容应与招标文件第五章“商务条件”的内容保持一致。</w:t>
      </w:r>
    </w:p>
    <w:p w14:paraId="6524D898">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1.2“投标响应”项下应填写具体的响应内容并与“商务条件”项下填写的内容逐项对应；对“商务条件”项下涉及“≥或＞”、“≤或＜”及某个区间值范围内的内容，应填写具体的数值。</w:t>
      </w:r>
    </w:p>
    <w:p w14:paraId="3487EFE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1.3“是否偏离及说明”项下应按下列规定填写：优于的，填写“正偏离”；符合的，填写“无偏离”；低于的，填写“负偏离”。</w:t>
      </w:r>
    </w:p>
    <w:p w14:paraId="0A92D3BF">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14:paraId="1755B8C5">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C14EF56">
      <w:pPr>
        <w:pStyle w:val="7"/>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6958FF9B">
      <w:pPr>
        <w:pStyle w:val="7"/>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09C7FEA">
      <w:pPr>
        <w:pStyle w:val="7"/>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四、投标人提交的其他资料（若有）</w:t>
      </w:r>
    </w:p>
    <w:p w14:paraId="4E429E71">
      <w:pPr>
        <w:pStyle w:val="7"/>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6CA5547D">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1、招标文件要求提交的除“资格及资信证明部分”、“报价部分”外的其他证明材料或资料加盖投标人的单位公章后应在此项下提交。</w:t>
      </w:r>
    </w:p>
    <w:p w14:paraId="0C07A75E">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2、招标文件要求投标人提供方案（包括但不限于：组织、实施、技术、服务方案等）的，投标人应在此项下提交。</w:t>
      </w:r>
    </w:p>
    <w:p w14:paraId="2793EDA1">
      <w:pPr>
        <w:pStyle w:val="7"/>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3、除招标文件另有规定外，投标人认为需要提交的其他证明材料或资料加盖投标人的单位公章后应在此项下提交。</w:t>
      </w:r>
    </w:p>
    <w:p w14:paraId="6B00DCA7">
      <w:pPr>
        <w:pStyle w:val="7"/>
        <w:rPr>
          <w:rFonts w:hint="eastAsia" w:asciiTheme="minorEastAsia" w:hAnsiTheme="minorEastAsia" w:eastAsiaTheme="minorEastAsia" w:cstheme="min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682124"/>
    <w:multiLevelType w:val="multilevel"/>
    <w:tmpl w:val="73682124"/>
    <w:lvl w:ilvl="0" w:tentative="0">
      <w:start w:val="1"/>
      <w:numFmt w:val="decimal"/>
      <w:lvlText w:val="%1."/>
      <w:lvlJc w:val="left"/>
      <w:pPr>
        <w:ind w:left="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A0MTQwMTcxOWEwMDI2YWVhYWYyN2E0YjJiYzk5MjgifQ=="/>
  </w:docVars>
  <w:rsids>
    <w:rsidRoot w:val="53B52B8D"/>
    <w:rsid w:val="006727D2"/>
    <w:rsid w:val="00AB7363"/>
    <w:rsid w:val="00FE2F9B"/>
    <w:rsid w:val="05E82BC0"/>
    <w:rsid w:val="1284041E"/>
    <w:rsid w:val="177F50ED"/>
    <w:rsid w:val="1EAC07D7"/>
    <w:rsid w:val="26F70A5D"/>
    <w:rsid w:val="2E871464"/>
    <w:rsid w:val="3192580F"/>
    <w:rsid w:val="34D0301A"/>
    <w:rsid w:val="36F6663C"/>
    <w:rsid w:val="37551C8E"/>
    <w:rsid w:val="384F0C8B"/>
    <w:rsid w:val="399A59A4"/>
    <w:rsid w:val="39C33568"/>
    <w:rsid w:val="3BF07AFD"/>
    <w:rsid w:val="3F6C0CB7"/>
    <w:rsid w:val="44C304A5"/>
    <w:rsid w:val="53B52B8D"/>
    <w:rsid w:val="54D1126E"/>
    <w:rsid w:val="591E0210"/>
    <w:rsid w:val="5BA504AD"/>
    <w:rsid w:val="5BFB7DDE"/>
    <w:rsid w:val="5EC661D6"/>
    <w:rsid w:val="64C574CA"/>
    <w:rsid w:val="64D911C7"/>
    <w:rsid w:val="69766FE4"/>
    <w:rsid w:val="6CE230E5"/>
    <w:rsid w:val="71793B16"/>
    <w:rsid w:val="71DD07D5"/>
    <w:rsid w:val="7249173A"/>
    <w:rsid w:val="75703482"/>
    <w:rsid w:val="758A4F72"/>
    <w:rsid w:val="77C4126B"/>
    <w:rsid w:val="77F79321"/>
    <w:rsid w:val="7DF509C8"/>
    <w:rsid w:val="BBBF77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9"/>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customStyle="1" w:styleId="7">
    <w:name w:val="null3"/>
    <w:hidden/>
    <w:uiPriority w:val="0"/>
    <w:rPr>
      <w:rFonts w:hint="eastAsia" w:asciiTheme="minorHAnsi" w:hAnsiTheme="minorHAnsi" w:eastAsiaTheme="minorEastAsia" w:cstheme="minorBidi"/>
      <w:lang w:val="en-US" w:eastAsia="zh-CN" w:bidi="ar-SA"/>
    </w:rPr>
  </w:style>
  <w:style w:type="character" w:customStyle="1" w:styleId="8">
    <w:name w:val="页眉 Char"/>
    <w:basedOn w:val="6"/>
    <w:link w:val="4"/>
    <w:uiPriority w:val="0"/>
    <w:rPr>
      <w:kern w:val="2"/>
      <w:sz w:val="18"/>
      <w:szCs w:val="18"/>
    </w:rPr>
  </w:style>
  <w:style w:type="character" w:customStyle="1" w:styleId="9">
    <w:name w:val="页脚 Char"/>
    <w:basedOn w:val="6"/>
    <w:link w:val="3"/>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124</Pages>
  <Words>2022</Words>
  <Characters>2236</Characters>
  <Lines>657</Lines>
  <Paragraphs>185</Paragraphs>
  <TotalTime>7</TotalTime>
  <ScaleCrop>false</ScaleCrop>
  <LinksUpToDate>false</LinksUpToDate>
  <CharactersWithSpaces>2266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2026-09-22T01:55:00Z</dcterms:created>
  <dc:creator>administrator</dc:creator>
  <cp:lastModifiedBy>平</cp:lastModifiedBy>
  <dcterms:modified xsi:type="dcterms:W3CDTF">2026-09-22T08:25:04Z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1DF11BE3B0614F7593793AC4C15C213C_12</vt:lpwstr>
  </property>
  <property fmtid="{D5CDD505-2E9C-101B-9397-08002B2CF9AE}" pid="4" name="KSOTemplateDocerSaveRecord">
    <vt:lpwstr>eyJoZGlkIjoiMjdlODY4MjMwZWVmNzgyY2NiM2UyNDgyNTM0M2NjY2UiLCJ1c2VySWQiOiI5Nzk4MzQ3NjgifQ==</vt:lpwstr>
  </property>
</Properties>
</file>