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8BA4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建宁县公平竞争审查投诉举报受理回应机制</w:t>
      </w:r>
    </w:p>
    <w:p w14:paraId="76F760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p>
    <w:p w14:paraId="620308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为深入贯彻落实公平竞争审查制度，切实发挥社会监督作用，明确不同主体在处理投诉举报中的职责，营造公平竞争的市场环境，根据《公平竞争审查条例》《公平竞争审查条例实施办法》《公平竞争审查举报处理工作规则》等有关规定，结合本县实际，建立本机制。</w:t>
      </w:r>
    </w:p>
    <w:p w14:paraId="4206CD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一、受理范围</w:t>
      </w:r>
    </w:p>
    <w:p w14:paraId="1AA522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自然人、法人或者其他组织认为本县行政区域内的政策制定机关制定的涉及市场准入、产业发展、招商引资、招标投标、政府采购、经营行为规范、资质标准等市场主体经济活动的政策措施，涉嫌违反《公平竞争审查条例》规定的，均属受理范围。</w:t>
      </w:r>
    </w:p>
    <w:p w14:paraId="30980B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二、政策制定机关的受理与核查</w:t>
      </w:r>
    </w:p>
    <w:p w14:paraId="1D78CB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政策制定机关收到投诉举报后，应当场或在7个工作日内进行甄别：</w:t>
      </w:r>
    </w:p>
    <w:p w14:paraId="0C416A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（一）属于本单位牵头起草或制定的政策措施，应当受理。受理后应立即核对公平竞争审查程序执行情况。发现确实存在未履行公平竞争审查程序或违反《</w:t>
      </w:r>
      <w:r>
        <w:rPr>
          <w:rFonts w:hint="eastAsia" w:ascii="仿宋_GB2312" w:hAnsi="仿宋_GB2312" w:eastAsia="仿宋_GB2312" w:cs="仿宋_GB2312"/>
          <w:color w:val="000000"/>
          <w:sz w:val="32"/>
          <w:szCs w:val="32"/>
          <w:lang w:val="en-US" w:eastAsia="zh-CN"/>
        </w:rPr>
        <w:t>公平竞争审查</w:t>
      </w:r>
      <w:r>
        <w:rPr>
          <w:rFonts w:hint="eastAsia" w:ascii="仿宋_GB2312" w:hAnsi="仿宋_GB2312" w:eastAsia="仿宋_GB2312" w:cs="仿宋_GB2312"/>
          <w:color w:val="000000"/>
          <w:sz w:val="32"/>
          <w:szCs w:val="32"/>
          <w:lang w:eastAsia="zh-CN"/>
        </w:rPr>
        <w:t>条例》第八条至第十一条规定且不符合第十二条规定的审查标准嫌疑的，应当按以下程序自行处理：</w:t>
      </w:r>
    </w:p>
    <w:p w14:paraId="053DDD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1.</w:t>
      </w:r>
      <w:r>
        <w:rPr>
          <w:rFonts w:hint="eastAsia" w:ascii="仿宋_GB2312" w:hAnsi="仿宋_GB2312" w:eastAsia="仿宋_GB2312" w:cs="仿宋_GB2312"/>
          <w:color w:val="000000"/>
          <w:sz w:val="32"/>
          <w:szCs w:val="32"/>
          <w:lang w:val="en-US" w:eastAsia="zh-CN"/>
        </w:rPr>
        <w:t>积极整改</w:t>
      </w:r>
      <w:r>
        <w:rPr>
          <w:rFonts w:hint="eastAsia" w:ascii="仿宋_GB2312" w:hAnsi="仿宋_GB2312" w:eastAsia="仿宋_GB2312" w:cs="仿宋_GB2312"/>
          <w:color w:val="000000"/>
          <w:sz w:val="32"/>
          <w:szCs w:val="32"/>
          <w:lang w:eastAsia="zh-CN"/>
        </w:rPr>
        <w:t>：经初步判断确实存在严重排除、限制竞争问题的，应立即主动停止执行或启动修订程序。</w:t>
      </w:r>
    </w:p>
    <w:p w14:paraId="623171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2.整改完成：通过修订或废止等方式完成整改后，应当在5个工作日内将处理情况（含整改结果、修订或废止的文件文本）抄告建宁县市场监督管理局。</w:t>
      </w:r>
    </w:p>
    <w:p w14:paraId="1E5865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3.结果回应：按照“谁制定、谁回应”原则，整改完成后应将处理结果反馈举报人，反馈时限自整改完成之日起一般不超过5个工作日；</w:t>
      </w:r>
      <w:r>
        <w:rPr>
          <w:rFonts w:hint="eastAsia" w:ascii="仿宋_GB2312" w:hAnsi="仿宋_GB2312" w:eastAsia="仿宋_GB2312" w:cs="仿宋_GB2312"/>
          <w:color w:val="000000"/>
          <w:sz w:val="32"/>
          <w:szCs w:val="32"/>
          <w:lang w:val="en-US" w:eastAsia="zh-CN"/>
        </w:rPr>
        <w:t>修订或废止文件应</w:t>
      </w:r>
      <w:r>
        <w:rPr>
          <w:rFonts w:hint="eastAsia" w:ascii="仿宋_GB2312" w:hAnsi="仿宋_GB2312" w:eastAsia="仿宋_GB2312" w:cs="仿宋_GB2312"/>
          <w:color w:val="000000"/>
          <w:sz w:val="32"/>
          <w:szCs w:val="32"/>
          <w:lang w:eastAsia="zh-CN"/>
        </w:rPr>
        <w:t>依据《中华人民共和国政府信息公开条例》向社会公开。</w:t>
      </w:r>
    </w:p>
    <w:p w14:paraId="0C2094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二</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经甄别不属于本单位受理职责范围的，应当及时将举报材料移送有处理权限的其他机关或建宁县市场监督管理局，并告知举报人。</w:t>
      </w:r>
    </w:p>
    <w:p w14:paraId="298A78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三、市场监管部门的受理与核查</w:t>
      </w:r>
    </w:p>
    <w:p w14:paraId="4CFDA7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建宁县市场监督管理局收到完备材料后，应当在</w:t>
      </w:r>
      <w:r>
        <w:rPr>
          <w:rFonts w:hint="eastAsia" w:ascii="仿宋_GB2312" w:hAnsi="仿宋_GB2312" w:eastAsia="仿宋_GB2312" w:cs="仿宋_GB2312"/>
          <w:color w:val="000000"/>
          <w:sz w:val="32"/>
          <w:szCs w:val="32"/>
          <w:lang w:val="en-US" w:eastAsia="zh-CN"/>
        </w:rPr>
        <w:t>60</w:t>
      </w:r>
      <w:r>
        <w:rPr>
          <w:rFonts w:hint="eastAsia" w:ascii="仿宋_GB2312" w:hAnsi="仿宋_GB2312" w:eastAsia="仿宋_GB2312" w:cs="仿宋_GB2312"/>
          <w:color w:val="000000"/>
          <w:sz w:val="32"/>
          <w:szCs w:val="32"/>
          <w:lang w:eastAsia="zh-CN"/>
        </w:rPr>
        <w:t>日内调查核实并办结；案情复杂的，经本局负责人批准可</w:t>
      </w:r>
      <w:r>
        <w:rPr>
          <w:rFonts w:hint="eastAsia" w:ascii="仿宋_GB2312" w:hAnsi="仿宋_GB2312" w:eastAsia="仿宋_GB2312" w:cs="仿宋_GB2312"/>
          <w:color w:val="000000"/>
          <w:sz w:val="32"/>
          <w:szCs w:val="32"/>
          <w:lang w:val="en-US" w:eastAsia="zh-CN"/>
        </w:rPr>
        <w:t>适当</w:t>
      </w:r>
      <w:r>
        <w:rPr>
          <w:rFonts w:hint="eastAsia" w:ascii="仿宋_GB2312" w:hAnsi="仿宋_GB2312" w:eastAsia="仿宋_GB2312" w:cs="仿宋_GB2312"/>
          <w:color w:val="000000"/>
          <w:sz w:val="32"/>
          <w:szCs w:val="32"/>
          <w:lang w:eastAsia="zh-CN"/>
        </w:rPr>
        <w:t>延长，并告知举报人。根据核查情况作如下处理：</w:t>
      </w:r>
    </w:p>
    <w:p w14:paraId="119380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（一）反映不属实的，将核查结果告知举报人，结束核查。</w:t>
      </w:r>
    </w:p>
    <w:p w14:paraId="509C09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（二）核查期间，有关政策措施不违反《公平竞争审查条例》</w:t>
      </w:r>
      <w:r>
        <w:rPr>
          <w:rFonts w:hint="eastAsia" w:ascii="仿宋_GB2312" w:hAnsi="仿宋_GB2312" w:eastAsia="仿宋_GB2312" w:cs="仿宋_GB2312"/>
          <w:color w:val="000000"/>
          <w:spacing w:val="-6"/>
          <w:sz w:val="32"/>
          <w:szCs w:val="32"/>
          <w:lang w:eastAsia="zh-CN"/>
        </w:rPr>
        <w:t>规定的，结束核查；有关政策措施已经失效或者废止的，结束核查。</w:t>
      </w:r>
    </w:p>
    <w:p w14:paraId="49AAA0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（三）核查期间，有关单位主动修订、废止有关政策措施，且经本局评估确认不再违反《公平竞争审查条例》规定的，结束核查。</w:t>
      </w:r>
    </w:p>
    <w:p w14:paraId="314F13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四</w:t>
      </w:r>
      <w:r>
        <w:rPr>
          <w:rFonts w:hint="eastAsia" w:ascii="仿宋_GB2312" w:hAnsi="仿宋_GB2312" w:eastAsia="仿宋_GB2312" w:cs="仿宋_GB2312"/>
          <w:color w:val="000000"/>
          <w:sz w:val="32"/>
          <w:szCs w:val="32"/>
          <w:lang w:eastAsia="zh-CN"/>
        </w:rPr>
        <w:t>）经核查发现有关单位违反《公平竞争审查条例》规定的，本局可以制发《提醒敦促函》，督促有关单位限期整改。《提</w:t>
      </w:r>
      <w:r>
        <w:rPr>
          <w:rFonts w:hint="eastAsia" w:ascii="仿宋_GB2312" w:hAnsi="仿宋_GB2312" w:eastAsia="仿宋_GB2312" w:cs="仿宋_GB2312"/>
          <w:color w:val="000000"/>
          <w:spacing w:val="-6"/>
          <w:sz w:val="32"/>
          <w:szCs w:val="32"/>
          <w:lang w:eastAsia="zh-CN"/>
        </w:rPr>
        <w:t>醒敦促函》应载明违规事实、整改要求和整改期限。整改要求包括：</w:t>
      </w:r>
    </w:p>
    <w:p w14:paraId="3C005A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1.未履行公平竞争审查程序或程序不规范的，要求开展公平竞争审查或补正程序；</w:t>
      </w:r>
    </w:p>
    <w:p w14:paraId="454D76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2.政策措施存在违反公平竞争审查标准内容的，要求按照相关程序予以修订或者废止；</w:t>
      </w:r>
    </w:p>
    <w:p w14:paraId="0CC3BB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3.核查发现存在公平竞争审查制度和机制不完善等情形的，要求健全完善有关制度机制。</w:t>
      </w:r>
    </w:p>
    <w:p w14:paraId="67D1F3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四、政策制定机关的配合与整改</w:t>
      </w:r>
    </w:p>
    <w:p w14:paraId="23432A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（一）政策制定机关应当配合市场监管部门的核查工作，按要求提供书面审查结论、征求意见情况、政策措施文本等相关材料，并对所提供材料的真实性、完整性负责。</w:t>
      </w:r>
    </w:p>
    <w:p w14:paraId="7E8A59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二）政策制定机关收到《提醒敦促函》后，应当按照整改要求和时限及时整改，并在规定期限内将整改情况书面反馈至市场监管部门。核查期间主动修订、废止有关政策措施的，应当及时告知市场监管部门，并提交修订或废止的文件文本。</w:t>
      </w:r>
    </w:p>
    <w:p w14:paraId="4438AB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三</w:t>
      </w:r>
      <w:r>
        <w:rPr>
          <w:rFonts w:hint="eastAsia" w:ascii="仿宋_GB2312" w:hAnsi="仿宋_GB2312" w:eastAsia="仿宋_GB2312" w:cs="仿宋_GB2312"/>
          <w:color w:val="000000"/>
          <w:sz w:val="32"/>
          <w:szCs w:val="32"/>
          <w:lang w:eastAsia="zh-CN"/>
        </w:rPr>
        <w:t>）政策制定机关完成整改后，</w:t>
      </w:r>
      <w:r>
        <w:rPr>
          <w:rFonts w:hint="eastAsia" w:ascii="仿宋_GB2312" w:hAnsi="仿宋_GB2312" w:eastAsia="仿宋_GB2312" w:cs="仿宋_GB2312"/>
          <w:color w:val="000000"/>
          <w:sz w:val="32"/>
          <w:szCs w:val="32"/>
          <w:lang w:val="en-US" w:eastAsia="zh-CN"/>
        </w:rPr>
        <w:t>修订或废止文件</w:t>
      </w:r>
      <w:r>
        <w:rPr>
          <w:rFonts w:hint="eastAsia" w:ascii="仿宋_GB2312" w:hAnsi="仿宋_GB2312" w:eastAsia="仿宋_GB2312" w:cs="仿宋_GB2312"/>
          <w:color w:val="000000"/>
          <w:sz w:val="32"/>
          <w:szCs w:val="32"/>
          <w:lang w:eastAsia="zh-CN"/>
        </w:rPr>
        <w:t>应当依据《中华人民共和国政府信息公开条例》向社会公开相关处理决定。</w:t>
      </w:r>
    </w:p>
    <w:p w14:paraId="7765FE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四</w:t>
      </w:r>
      <w:r>
        <w:rPr>
          <w:rFonts w:hint="eastAsia" w:ascii="仿宋_GB2312" w:hAnsi="仿宋_GB2312" w:eastAsia="仿宋_GB2312" w:cs="仿宋_GB2312"/>
          <w:color w:val="000000"/>
          <w:sz w:val="32"/>
          <w:szCs w:val="32"/>
          <w:lang w:eastAsia="zh-CN"/>
        </w:rPr>
        <w:t>）政策制定机关无正当</w:t>
      </w:r>
      <w:r>
        <w:rPr>
          <w:rFonts w:hint="eastAsia" w:ascii="仿宋_GB2312" w:hAnsi="仿宋_GB2312" w:eastAsia="仿宋_GB2312" w:cs="仿宋_GB2312"/>
          <w:color w:val="000000"/>
          <w:sz w:val="32"/>
          <w:szCs w:val="32"/>
          <w:lang w:val="en-US" w:eastAsia="zh-CN"/>
        </w:rPr>
        <w:t>理由拒绝或拖延整改的，本局将抄送上一级市场监管部门，必要时，提请上一级市场监管部门对政策制定机关负责人开展约谈；情节严重、造成不良后果的，本局可以向有关上级机关提出对有关单位直接负责的主管人员和其他直接责任人员依法给予处分</w:t>
      </w:r>
      <w:r>
        <w:rPr>
          <w:rFonts w:hint="eastAsia" w:ascii="仿宋_GB2312" w:hAnsi="仿宋_GB2312" w:eastAsia="仿宋_GB2312" w:cs="仿宋_GB2312"/>
          <w:color w:val="000000"/>
          <w:sz w:val="32"/>
          <w:szCs w:val="32"/>
          <w:lang w:eastAsia="zh-CN"/>
        </w:rPr>
        <w:t>的建议；对抽查发现相关政策制定机关存在涉嫌滥用行政权力排除、限制竞争行为的，按照《中华人民共和国反垄断法》和《制止滥用行政权力排除、限制竞争行为规定》有关规定处理。</w:t>
      </w:r>
    </w:p>
    <w:p w14:paraId="5C4563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五、上级交办件的处理</w:t>
      </w:r>
    </w:p>
    <w:p w14:paraId="51E417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（一）本局收到上级市场监督管理部门或其他上级机关交办的举报，应当立即登记台账，并根据交办要求直接启动核查程序。</w:t>
      </w:r>
    </w:p>
    <w:p w14:paraId="231F22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二）上级交办件有明确时限要求的，按时限要求办结；无明确时限的，适用本流程第三条规定的核查时限。核查终结后，应当在5个工作日内，将核查报告及处理结果书面报送上级交办机关。核查报告应包含反映问题、核查过程、认定事实和依据、下发的《提醒敦促函》及整改情况等内容。</w:t>
      </w:r>
    </w:p>
    <w:p w14:paraId="49DF84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六、保密与责任</w:t>
      </w:r>
    </w:p>
    <w:p w14:paraId="5C8D33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举报处理机关及其工作人员应当对举报人信息严格保密，不得将举报材料、举报人信息透露给被举报部门或无关人员。</w:t>
      </w:r>
    </w:p>
    <w:p w14:paraId="209765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七、附则</w:t>
      </w:r>
    </w:p>
    <w:p w14:paraId="7097D5CE">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本机制自发布之日起施行，施行期限两年，由建宁县市场监督管理局负责解释。</w:t>
      </w:r>
    </w:p>
    <w:p w14:paraId="608DACE9">
      <w:pPr>
        <w:pStyle w:val="4"/>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color w:val="000000"/>
          <w:sz w:val="32"/>
          <w:szCs w:val="32"/>
          <w:lang w:val="en-US" w:eastAsia="zh-CN"/>
        </w:rPr>
        <w:sectPr>
          <w:footerReference r:id="rId3" w:type="default"/>
          <w:pgSz w:w="11906" w:h="16838"/>
          <w:pgMar w:top="1417" w:right="1417" w:bottom="1417" w:left="1417" w:header="851" w:footer="992" w:gutter="0"/>
          <w:pgNumType w:fmt="numberInDash"/>
          <w:cols w:space="720" w:num="1"/>
          <w:docGrid w:type="lines" w:linePitch="312" w:charSpace="0"/>
        </w:sectPr>
      </w:pPr>
    </w:p>
    <w:p w14:paraId="67EB2757">
      <w:pPr>
        <w:jc w:val="both"/>
        <w:rPr>
          <w:rFonts w:hint="eastAsia" w:ascii="方正小标宋简体" w:hAnsi="方正小标宋简体" w:eastAsia="方正小标宋简体" w:cs="方正小标宋简体"/>
          <w:sz w:val="36"/>
          <w:szCs w:val="36"/>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87B2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0BE3754">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70BE3754">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E7A751"/>
    <w:rsid w:val="2F39102C"/>
    <w:rsid w:val="47E7A751"/>
    <w:rsid w:val="750F68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Body Text Indent"/>
    <w:basedOn w:val="1"/>
    <w:unhideWhenUsed/>
    <w:qFormat/>
    <w:uiPriority w:val="99"/>
    <w:pPr>
      <w:spacing w:after="120"/>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Body Text First Indent 2"/>
    <w:basedOn w:val="2"/>
    <w:unhideWhenUsed/>
    <w:qFormat/>
    <w:uiPriority w:val="99"/>
    <w:pPr>
      <w:spacing w:after="0"/>
      <w:ind w:left="0" w:leftChars="0" w:firstLine="420" w:firstLineChars="200"/>
    </w:pPr>
    <w:rPr>
      <w:kern w:val="0"/>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1848</Words>
  <Characters>1855</Characters>
  <Lines>0</Lines>
  <Paragraphs>0</Paragraphs>
  <TotalTime>0</TotalTime>
  <ScaleCrop>false</ScaleCrop>
  <LinksUpToDate>false</LinksUpToDate>
  <CharactersWithSpaces>1855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2026-08-10T10:30:00Z</dcterms:created>
  <dc:creator>greatwall</dc:creator>
  <cp:lastModifiedBy>鐘情</cp:lastModifiedBy>
  <dcterms:modified xsi:type="dcterms:W3CDTF">2026-08-10T03:09:15Z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DF36145B1BE44FA1AF5B0318F533CBC9_13</vt:lpwstr>
  </property>
  <property fmtid="{D5CDD505-2E9C-101B-9397-08002B2CF9AE}" pid="4" name="KSOTemplateDocerSaveRecord">
    <vt:lpwstr>eyJoZGlkIjoiMDZmNWYxZDNiNGE3OGEzNTYyYjFiZmI2MWRiMGMwZTEiLCJ1c2VySWQiOiIyMDgxNzM2MTkifQ==</vt:lpwstr>
  </property>
</Properties>
</file>