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DD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附件1：</w:t>
      </w:r>
    </w:p>
    <w:p w14:paraId="09200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项目服务内容</w:t>
      </w:r>
    </w:p>
    <w:p w14:paraId="7A3E1E2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、服务</w:t>
      </w:r>
      <w:r>
        <w:rPr>
          <w:rFonts w:hint="eastAsia" w:ascii="黑体" w:hAnsi="黑体" w:eastAsia="黑体" w:cs="黑体"/>
          <w:sz w:val="30"/>
          <w:szCs w:val="30"/>
        </w:rPr>
        <w:t>内容</w:t>
      </w:r>
    </w:p>
    <w:p w14:paraId="2809AEA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对建宁县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万亩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酸化耕地治理项目实施区进行跟踪和效果评价，</w:t>
      </w:r>
      <w:r>
        <w:rPr>
          <w:rFonts w:hint="eastAsia" w:ascii="仿宋_GB2312" w:hAnsi="仿宋_GB2312" w:eastAsia="仿宋_GB2312" w:cs="仿宋_GB2312"/>
          <w:sz w:val="28"/>
          <w:szCs w:val="28"/>
        </w:rPr>
        <w:t>在项目实施前和2026年项目实施后开展土壤样品采集和检测，项目区共布设81个采样点；检测项目包括：土壤容重、pH、有机质、全氮、碱解氮、有效磷、速效钾、缓效钾、交换性阳离子及5项重金属有效态（镉、铬、铅、砷、汞）等14项指标；开展酸化改良产品用量与品种、技术模式验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治理效果验证</w:t>
      </w:r>
      <w:r>
        <w:rPr>
          <w:rFonts w:hint="eastAsia" w:ascii="仿宋_GB2312" w:hAnsi="仿宋_GB2312" w:eastAsia="仿宋_GB2312" w:cs="仿宋_GB2312"/>
          <w:sz w:val="28"/>
          <w:szCs w:val="28"/>
        </w:rPr>
        <w:t>等田间试验10个；对项目实施过程进行跟踪服务；对2026年项目实施效果开展评价（包含治理成效对比、耕地质量等级评价、粮食产能评价等）；在项目区开展入户调查不少于120户；在农业农村部指定平台上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sz w:val="28"/>
          <w:szCs w:val="28"/>
        </w:rPr>
        <w:t>上图入库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46CED74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、</w:t>
      </w:r>
      <w:r>
        <w:rPr>
          <w:rFonts w:hint="eastAsia" w:ascii="黑体" w:hAnsi="黑体" w:eastAsia="黑体" w:cs="黑体"/>
          <w:sz w:val="30"/>
          <w:szCs w:val="30"/>
        </w:rPr>
        <w:t>工作要求</w:t>
      </w:r>
    </w:p>
    <w:p w14:paraId="032DF32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b/>
          <w:bCs/>
          <w:sz w:val="28"/>
          <w:szCs w:val="28"/>
        </w:rPr>
      </w:pPr>
      <w:r>
        <w:rPr>
          <w:rFonts w:ascii="仿宋_GB2312" w:hAnsi="仿宋_GB2312" w:eastAsia="仿宋_GB2312" w:cs="仿宋_GB2312"/>
          <w:b/>
          <w:bCs/>
          <w:sz w:val="28"/>
          <w:szCs w:val="28"/>
        </w:rPr>
        <w:t>1、开展土壤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调查和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采样</w:t>
      </w:r>
    </w:p>
    <w:p w14:paraId="002DBB3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项目实施区域布设耕地质量调查样点，根据实际田块大小、土壤类型、利用方式等因素合理划分效果评估监测单元，每个效果评估监测单元内至少布设1个调查采样样点。主要调查指标包括立地条件（地形部位、有效土层厚度、耕层质地、耕层厚度），理化性状（土壤容重、耕层质地、酸碱度），养分状况（有机质含量、有效磷含量、速效钾含量），农田管理（水资源条件、排水能力）等指标。开展项目建设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后实地调查、土壤样品采集和检测工作。</w:t>
      </w:r>
    </w:p>
    <w:p w14:paraId="3EA5043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2026年，项目区按每1000亩至少采集1个土壤样品的要求，项目实施前81个，项目实施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待</w:t>
      </w:r>
      <w:r>
        <w:rPr>
          <w:rFonts w:hint="eastAsia" w:ascii="仿宋_GB2312" w:hAnsi="仿宋_GB2312" w:eastAsia="仿宋_GB2312" w:cs="仿宋_GB2312"/>
          <w:sz w:val="28"/>
          <w:szCs w:val="28"/>
        </w:rPr>
        <w:t>作物收获后采集土壤样品81个，共计采集土壤样品162个。</w:t>
      </w:r>
    </w:p>
    <w:p w14:paraId="0FF3B7C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2、土壤样品检测</w:t>
      </w:r>
    </w:p>
    <w:p w14:paraId="390D12E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土壤样品的采集参照</w:t>
      </w:r>
      <w:r>
        <w:rPr>
          <w:rFonts w:hint="eastAsia" w:ascii="仿宋_GB2312" w:hAnsi="仿宋_GB2312" w:eastAsia="仿宋_GB2312" w:cs="仿宋_GB2312"/>
          <w:sz w:val="28"/>
          <w:szCs w:val="28"/>
        </w:rPr>
        <w:t>《测土配方施肥技术规程》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NY/T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2911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</w:rPr>
        <w:t>2025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28"/>
          <w:szCs w:val="28"/>
        </w:rPr>
        <w:t>规定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执行，</w:t>
      </w:r>
      <w:r>
        <w:rPr>
          <w:rFonts w:hint="eastAsia" w:ascii="仿宋_GB2312" w:hAnsi="仿宋_GB2312" w:eastAsia="仿宋_GB2312" w:cs="仿宋_GB2312"/>
          <w:sz w:val="28"/>
          <w:szCs w:val="28"/>
        </w:rPr>
        <w:t>采集的土壤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样品</w:t>
      </w:r>
      <w:r>
        <w:rPr>
          <w:rFonts w:hint="eastAsia" w:ascii="仿宋_GB2312" w:hAnsi="仿宋_GB2312" w:eastAsia="仿宋_GB2312" w:cs="仿宋_GB2312"/>
          <w:sz w:val="28"/>
          <w:szCs w:val="28"/>
        </w:rPr>
        <w:t>送至有资质的检测单位进</w:t>
      </w:r>
      <w:r>
        <w:rPr>
          <w:rFonts w:hint="eastAsia"/>
          <w:sz w:val="28"/>
          <w:szCs w:val="28"/>
        </w:rPr>
        <w:t>行</w:t>
      </w:r>
      <w:r>
        <w:rPr>
          <w:rFonts w:ascii="仿宋_GB2312" w:hAnsi="仿宋_GB2312" w:eastAsia="仿宋_GB2312" w:cs="仿宋_GB2312"/>
          <w:sz w:val="28"/>
          <w:szCs w:val="28"/>
        </w:rPr>
        <w:t>检测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检测</w:t>
      </w:r>
      <w:r>
        <w:rPr>
          <w:rFonts w:ascii="仿宋_GB2312" w:hAnsi="仿宋_GB2312" w:eastAsia="仿宋_GB2312" w:cs="仿宋_GB2312"/>
          <w:sz w:val="28"/>
          <w:szCs w:val="28"/>
        </w:rPr>
        <w:t>指标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土壤容重、pH、有机质、全氮、碱解氮、有效磷、速效钾、缓效钾、交换性阳离子</w:t>
      </w:r>
      <w:r>
        <w:rPr>
          <w:rFonts w:ascii="仿宋_GB2312" w:hAnsi="仿宋_GB2312" w:eastAsia="仿宋_GB2312" w:cs="仿宋_GB2312"/>
          <w:sz w:val="28"/>
          <w:szCs w:val="28"/>
        </w:rPr>
        <w:t>、有效态镉、有效态铬、有效态铅、有效态砷、有效态汞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</w:t>
      </w:r>
      <w:r>
        <w:rPr>
          <w:rFonts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ascii="仿宋_GB2312" w:hAnsi="仿宋_GB2312" w:eastAsia="仿宋_GB2312" w:cs="仿宋_GB2312"/>
          <w:sz w:val="28"/>
          <w:szCs w:val="28"/>
        </w:rPr>
        <w:t>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58B661B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、开展田间试验</w:t>
      </w:r>
    </w:p>
    <w:p w14:paraId="51DD14A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2026年开展酸化改良产品用量与品种试验、技术模式与酸化治理肥效验证试验（主推技术模式）等田间试验10个（其中酸化改良产品用量4个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酸化改良产品品种试验4个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治理效果验证试验2个），明确酸化改良产品用量和种类，试验结果应用于指导、调整下一年度治理技术模式和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年度效果</w:t>
      </w:r>
      <w:r>
        <w:rPr>
          <w:rFonts w:hint="eastAsia" w:ascii="仿宋_GB2312" w:hAnsi="仿宋_GB2312" w:eastAsia="仿宋_GB2312" w:cs="仿宋_GB2312"/>
          <w:sz w:val="28"/>
          <w:szCs w:val="28"/>
        </w:rPr>
        <w:t>评价。</w:t>
      </w:r>
    </w:p>
    <w:p w14:paraId="22CC8C3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、开展跟踪服务</w:t>
      </w:r>
    </w:p>
    <w:p w14:paraId="43C3DF8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ascii="仿宋_GB2312" w:hAnsi="仿宋_GB2312" w:eastAsia="仿宋_GB2312" w:cs="仿宋_GB2312"/>
          <w:sz w:val="28"/>
          <w:szCs w:val="28"/>
        </w:rPr>
        <w:t>.1在项目实施期间，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对酸化治理投入品到货时进行抽样，一式两份，一份送有资质单位检测（检测费用由跟踪服务单位承担），一份留存备查，留存时间不少于6个月。</w:t>
      </w:r>
      <w:r>
        <w:rPr>
          <w:rFonts w:ascii="仿宋_GB2312" w:hAnsi="仿宋_GB2312" w:eastAsia="仿宋_GB2312" w:cs="仿宋_GB2312"/>
          <w:sz w:val="28"/>
          <w:szCs w:val="28"/>
        </w:rPr>
        <w:t>对撒施面积和施用量进行核查，其中撒施面积和施用量要经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供货）</w:t>
      </w:r>
      <w:r>
        <w:rPr>
          <w:rFonts w:ascii="仿宋_GB2312" w:hAnsi="仿宋_GB2312" w:eastAsia="仿宋_GB2312" w:cs="仿宋_GB2312"/>
          <w:sz w:val="28"/>
          <w:szCs w:val="28"/>
        </w:rPr>
        <w:t>单位、跟踪服务单位、实施村和乡镇确认盖章。</w:t>
      </w:r>
    </w:p>
    <w:p w14:paraId="27388CB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ascii="仿宋_GB2312" w:hAnsi="仿宋_GB2312" w:eastAsia="仿宋_GB2312" w:cs="仿宋_GB2312"/>
          <w:sz w:val="28"/>
          <w:szCs w:val="28"/>
        </w:rPr>
        <w:t>.2开展跟踪服务时，需详细查看产品出货单、合格证、检测报告、领货记录、其他各方面技术措施实施情况记录等。</w:t>
      </w:r>
    </w:p>
    <w:p w14:paraId="7B9C054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5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、开展效果评价</w:t>
      </w:r>
    </w:p>
    <w:p w14:paraId="1FF9420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ascii="仿宋_GB2312" w:hAnsi="仿宋_GB2312" w:eastAsia="仿宋_GB2312" w:cs="仿宋_GB2312"/>
          <w:sz w:val="28"/>
          <w:szCs w:val="28"/>
        </w:rPr>
        <w:t>.1</w:t>
      </w:r>
      <w:r>
        <w:rPr>
          <w:rFonts w:hint="eastAsia" w:ascii="仿宋_GB2312" w:hAnsi="仿宋_GB2312" w:eastAsia="仿宋_GB2312" w:cs="仿宋_GB2312"/>
          <w:sz w:val="28"/>
          <w:szCs w:val="28"/>
        </w:rPr>
        <w:t>酸化治理效果评估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以实地监测数据和项目实施资料为核心依据，以2026年项目实施前采集的土壤样品检测指标作为基准，项目实施后开展定位跟踪采样，获取2026年度土壤pH值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有机质含量</w:t>
      </w:r>
      <w:r>
        <w:rPr>
          <w:rFonts w:hint="eastAsia" w:ascii="仿宋_GB2312" w:hAnsi="仿宋_GB2312" w:eastAsia="仿宋_GB2312" w:cs="仿宋_GB2312"/>
          <w:sz w:val="28"/>
          <w:szCs w:val="28"/>
        </w:rPr>
        <w:t>检测数据，与治理前基准值对比，分析土壤酸化程度动态变化，量化评估土壤降酸、阻酸改良成效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形成土壤酸度变化分析报告。</w:t>
      </w:r>
    </w:p>
    <w:p w14:paraId="6DF3B4F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5.2</w:t>
      </w:r>
      <w:r>
        <w:rPr>
          <w:rFonts w:ascii="仿宋_GB2312" w:hAnsi="仿宋_GB2312" w:eastAsia="仿宋_GB2312" w:cs="仿宋_GB2312"/>
          <w:sz w:val="28"/>
          <w:szCs w:val="28"/>
        </w:rPr>
        <w:t>耕地质量等级更新评价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依据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《耕地质量等级》（GB/T 33469）规范，根据不同区域的特征，分别选取调查和采样分析指标，确定指标权重，建立隶属函数、计算隶属度，计算耕地质量综合指数、划分耕地质量等级。</w:t>
      </w:r>
      <w:r>
        <w:rPr>
          <w:rFonts w:hint="eastAsia" w:ascii="仿宋_GB2312" w:hAnsi="仿宋_GB2312" w:eastAsia="仿宋_GB2312" w:cs="仿宋_GB2312"/>
          <w:sz w:val="28"/>
          <w:szCs w:val="28"/>
        </w:rPr>
        <w:t>2026年项目实施前，针对项目区内酸化耕地开展背景调查，完成项目区首期耕地质量等级评价，以该评价成果作为治理成效对比基准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项目实施后，开展耕地质量跟踪评价，将2026年度评价结果与项目实施前期基准等级开展对比，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出具建宁县2026年耕地质量等级更新评价报告、项目治理区耕地质量等级变化分析报告。</w:t>
      </w:r>
    </w:p>
    <w:p w14:paraId="3468E6F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5.3</w:t>
      </w:r>
      <w:r>
        <w:rPr>
          <w:rFonts w:hint="eastAsia" w:ascii="仿宋_GB2312" w:hAnsi="仿宋_GB2312" w:eastAsia="仿宋_GB2312" w:cs="仿宋_GB2312"/>
          <w:sz w:val="28"/>
          <w:szCs w:val="28"/>
        </w:rPr>
        <w:t>粮食产能评价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水稻收割阶段开展实收实测，在样板田测产的基础上，适当对不同耕地质量等级农田的粮食作物进行实收实测，并参考《2026年福建省建宁县酸化耕地治理实施方案》等技术规范，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形成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项目治理区粮食产能变化分析报告。</w:t>
      </w:r>
    </w:p>
    <w:p w14:paraId="71438D9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ascii="仿宋_GB2312" w:hAnsi="仿宋_GB2312" w:eastAsia="仿宋_GB2312" w:cs="仿宋_GB2312"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ascii="仿宋_GB2312" w:hAnsi="仿宋_GB2312" w:eastAsia="仿宋_GB2312" w:cs="仿宋_GB2312"/>
          <w:sz w:val="28"/>
          <w:szCs w:val="28"/>
        </w:rPr>
        <w:t>对项目区农户开展满意度调查，调查数量不少于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12</w:t>
      </w:r>
      <w:r>
        <w:rPr>
          <w:rFonts w:ascii="仿宋_GB2312" w:hAnsi="仿宋_GB2312" w:eastAsia="仿宋_GB2312" w:cs="仿宋_GB2312"/>
          <w:sz w:val="28"/>
          <w:szCs w:val="28"/>
        </w:rPr>
        <w:t>0户，群众满意度≥90%。</w:t>
      </w:r>
    </w:p>
    <w:p w14:paraId="20347AF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5.5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上图入库。结合最新土地利用现状数据、高分辨遥感影像、项目实施区域等信息，在土地类型为耕地的范围内标绘酸化耕地治理项目实施区域界线，形成矢量数据，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上传到全国农田建设综合监测监管平台。</w:t>
      </w:r>
    </w:p>
    <w:p w14:paraId="069C72D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sectPr>
          <w:pgSz w:w="11906" w:h="16838"/>
          <w:pgMar w:top="2154" w:right="1474" w:bottom="2041" w:left="158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基于田间调查、土壤检测、项目实施、样板田建设、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田间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试验等内容，形成年度效果评价报告，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包含项目治理区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耕地质量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变化评价、采取的治理技术模式效果评价、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下一年度治理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模式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建议等内容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bookmarkStart w:id="0" w:name="_GoBack"/>
      <w:bookmarkEnd w:id="0"/>
    </w:p>
    <w:p w14:paraId="49CBB5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B2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spacing w:after="120" w:afterLines="0"/>
      <w:ind w:left="420" w:leftChars="200" w:firstLine="420" w:firstLineChars="200"/>
    </w:pPr>
    <w:rPr>
      <w:rFonts w:ascii="Times New Roman" w:hAnsi="Times New Roman" w:eastAsia="宋体" w:cs="Times New Roman"/>
      <w:sz w:val="21"/>
    </w:rPr>
  </w:style>
  <w:style w:type="paragraph" w:styleId="3">
    <w:name w:val="Body Text Indent"/>
    <w:basedOn w:val="1"/>
    <w:uiPriority w:val="0"/>
    <w:pPr>
      <w:ind w:firstLine="585"/>
    </w:pPr>
    <w:rPr>
      <w:rFonts w:ascii="仿宋_GB2312" w:hAnsi="Times New Roman" w:eastAsia="宋体" w:cs="Times New Roman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paragraph" w:customStyle="1" w:styleId="7">
    <w:name w:val="null3"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2026-08-25T02:39:54Z</dcterms:created>
  <dc:creator>Administrator</dc:creator>
  <cp:lastModifiedBy>氧光</cp:lastModifiedBy>
  <dcterms:modified xsi:type="dcterms:W3CDTF">2026-08-25T02:40:19Z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eyJoZGlkIjoiMjA0MzY4YzRlNjU5ZjI3Y2U0Nzk1MmFkMzhiOTRlOWUiLCJ1c2VySWQiOiI0MDg4NTYxMTEifQ==</vt:lpwstr>
  </property>
  <property fmtid="{D5CDD505-2E9C-101B-9397-08002B2CF9AE}" pid="4" name="ICV">
    <vt:lpwstr>2D29E8A472DA4D9A8C873808BB5083ED_12</vt:lpwstr>
  </property>
</Properties>
</file>