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080" w:type="dxa"/>
        <w:tblInd w:w="-21" w:type="dxa"/>
        <w:tblLayout w:type="fixed"/>
        <w:tblCellMar>
          <w:top w:w="0" w:type="dxa"/>
          <w:left w:w="0" w:type="dxa"/>
          <w:bottom w:w="0" w:type="dxa"/>
          <w:right w:w="0" w:type="dxa"/>
        </w:tblCellMar>
      </w:tblPr>
      <w:tblGrid>
        <w:gridCol w:w="9080"/>
      </w:tblGrid>
      <w:tr w14:paraId="0962881A">
        <w:tblPrEx>
          <w:tblCellMar>
            <w:top w:w="0" w:type="dxa"/>
            <w:left w:w="0" w:type="dxa"/>
            <w:bottom w:w="0" w:type="dxa"/>
            <w:right w:w="0" w:type="dxa"/>
          </w:tblCellMar>
        </w:tblPrEx>
        <w:trPr>
          <w:cantSplit/>
          <w:trHeight w:val="2120" w:hRule="exact"/>
        </w:trPr>
        <w:tc>
          <w:tcPr>
            <w:tcW w:w="9080" w:type="dxa"/>
            <w:noWrap w:val="0"/>
            <w:vAlign w:val="top"/>
          </w:tcPr>
          <w:p w14:paraId="5B52D4D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仿宋_GB2312" w:hAnsi="仿宋_GB2312" w:eastAsia="仿宋_GB2312" w:cs="仿宋_GB2312"/>
                <w:szCs w:val="32"/>
              </w:rPr>
            </w:pPr>
          </w:p>
          <w:p w14:paraId="6C704CE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黑体" w:hAnsi="黑体" w:eastAsia="黑体" w:cs="黑体"/>
              </w:rPr>
            </w:pPr>
            <mc:AlternateContent>
              <mc:Choice Requires="wpsCustomData">
                <wpsCustomData:docfieldStart id="0" docfieldname="紧急程度" hidden="0" print="1" readonly="0" index="1"/>
              </mc:Choice>
            </mc:AlternateContent>
            <mc:AlternateContent>
              <mc:Choice Requires="wpsCustomData">
                <wpsCustomData:docfieldEnd id="0"/>
              </mc:Choice>
            </mc:AlternateContent>
          </w:p>
          <w:p w14:paraId="23470AE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黑体" w:hAnsi="黑体" w:eastAsia="黑体" w:cs="黑体"/>
                <w:szCs w:val="32"/>
              </w:rPr>
            </w:pPr>
          </w:p>
        </w:tc>
      </w:tr>
      <w:tr w14:paraId="056A3BF7">
        <w:tblPrEx>
          <w:tblCellMar>
            <w:top w:w="0" w:type="dxa"/>
            <w:left w:w="0" w:type="dxa"/>
            <w:bottom w:w="0" w:type="dxa"/>
            <w:right w:w="0" w:type="dxa"/>
          </w:tblCellMar>
        </w:tblPrEx>
        <w:trPr>
          <w:cantSplit/>
          <w:trHeight w:val="0" w:hRule="atLeast"/>
        </w:trPr>
        <w:tc>
          <w:tcPr>
            <w:tcW w:w="9080" w:type="dxa"/>
            <w:noWrap w:val="0"/>
            <w:vAlign w:val="top"/>
          </w:tcPr>
          <w:p w14:paraId="681DFAFF">
            <w:pPr>
              <w:keepNext w:val="0"/>
              <w:keepLines w:val="0"/>
              <w:pageBreakBefore w:val="0"/>
              <w:widowControl w:val="0"/>
              <w:kinsoku/>
              <w:wordWrap/>
              <w:overflowPunct/>
              <w:topLinePunct w:val="0"/>
              <w:autoSpaceDE/>
              <w:autoSpaceDN/>
              <w:bidi w:val="0"/>
              <w:adjustRightInd w:val="0"/>
              <w:snapToGrid w:val="0"/>
              <w:spacing w:line="118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bCs/>
                <w:color w:val="FF0000"/>
                <w:sz w:val="108"/>
                <w:szCs w:val="108"/>
                <w:lang w:eastAsia="zh-CN"/>
              </w:rPr>
            </w:pPr>
            <mc:AlternateContent>
              <mc:Choice Requires="wpsCustomData">
                <wpsCustomData:docfieldStart id="1" docfieldname="标志" hidden="0" print="1" readonly="0" index="2"/>
              </mc:Choice>
            </mc:AlternateContent>
            <w:r>
              <w:rPr>
                <w:rFonts w:hint="eastAsia" w:ascii="方正小标宋简体" w:hAnsi="方正小标宋简体" w:eastAsia="方正小标宋简体" w:cs="方正小标宋简体"/>
                <w:b/>
                <w:bCs/>
                <w:color w:val="FA4006"/>
                <w:w w:val="68"/>
                <w:sz w:val="108"/>
                <w:szCs w:val="108"/>
                <w:lang w:eastAsia="zh-CN"/>
              </w:rPr>
              <w:t>建宁县</w:t>
            </w:r>
            <w:r>
              <w:rPr>
                <w:rFonts w:hint="eastAsia" w:ascii="方正小标宋简体" w:hAnsi="方正小标宋简体" w:eastAsia="方正小标宋简体" w:cs="方正小标宋简体"/>
                <w:b/>
                <w:bCs/>
                <w:color w:val="FA4006"/>
                <w:w w:val="68"/>
                <w:sz w:val="108"/>
                <w:szCs w:val="108"/>
              </w:rPr>
              <w:t>市场监督管理局文件</w:t>
            </w:r>
            <mc:AlternateContent>
              <mc:Choice Requires="wpsCustomData">
                <wpsCustomData:docfieldEnd id="1"/>
              </mc:Choice>
            </mc:AlternateContent>
          </w:p>
        </w:tc>
      </w:tr>
      <w:tr w14:paraId="47FA31CF">
        <w:tblPrEx>
          <w:tblCellMar>
            <w:top w:w="0" w:type="dxa"/>
            <w:left w:w="0" w:type="dxa"/>
            <w:bottom w:w="0" w:type="dxa"/>
            <w:right w:w="0" w:type="dxa"/>
          </w:tblCellMar>
        </w:tblPrEx>
        <w:trPr>
          <w:cantSplit/>
          <w:trHeight w:val="698" w:hRule="exact"/>
        </w:trPr>
        <w:tc>
          <w:tcPr>
            <w:tcW w:w="9080" w:type="dxa"/>
            <w:noWrap w:val="0"/>
            <w:vAlign w:val="center"/>
          </w:tcPr>
          <w:p w14:paraId="6DD5247C">
            <w:pPr>
              <w:keepNext w:val="0"/>
              <w:keepLines w:val="0"/>
              <w:pageBreakBefore w:val="0"/>
              <w:widowControl w:val="0"/>
              <w:kinsoku/>
              <w:overflowPunct/>
              <w:topLinePunct w:val="0"/>
              <w:autoSpaceDE/>
              <w:bidi w:val="0"/>
              <w:spacing w:line="240" w:lineRule="auto"/>
              <w:jc w:val="both"/>
              <w:textAlignment w:val="auto"/>
              <w:outlineLvl w:val="9"/>
              <w:rPr>
                <w:rFonts w:hint="eastAsia" w:ascii="仿宋_GB2312" w:hAnsi="仿宋_GB2312"/>
              </w:rPr>
            </w:pPr>
          </w:p>
        </w:tc>
      </w:tr>
      <w:tr w14:paraId="0CC4D1F1">
        <w:tblPrEx>
          <w:tblCellMar>
            <w:top w:w="0" w:type="dxa"/>
            <w:left w:w="0" w:type="dxa"/>
            <w:bottom w:w="0" w:type="dxa"/>
            <w:right w:w="0" w:type="dxa"/>
          </w:tblCellMar>
        </w:tblPrEx>
        <w:trPr>
          <w:cantSplit/>
          <w:trHeight w:val="485" w:hRule="atLeast"/>
        </w:trPr>
        <w:tc>
          <w:tcPr>
            <w:tcW w:w="9080" w:type="dxa"/>
            <w:tcBorders>
              <w:bottom w:val="nil"/>
            </w:tcBorders>
            <w:noWrap w:val="0"/>
            <w:vAlign w:val="bottom"/>
          </w:tcPr>
          <w:p w14:paraId="7350F20A">
            <w:pPr>
              <w:keepNext w:val="0"/>
              <w:keepLines w:val="0"/>
              <w:pageBreakBefore w:val="0"/>
              <w:widowControl w:val="0"/>
              <w:kinsoku/>
              <w:wordWrap w:val="0"/>
              <w:overflowPunct/>
              <w:topLinePunct w:val="0"/>
              <w:autoSpaceDE/>
              <w:autoSpaceDN/>
              <w:bidi w:val="0"/>
              <w:adjustRightInd/>
              <w:snapToGrid/>
              <w:spacing w:before="0" w:beforeLines="0" w:after="0" w:afterLines="0" w:line="240" w:lineRule="auto"/>
              <w:ind w:left="0" w:leftChars="0" w:right="210" w:rightChars="100" w:firstLine="0" w:firstLineChars="0"/>
              <w:jc w:val="center"/>
              <w:textAlignment w:val="auto"/>
              <w:outlineLvl w:val="9"/>
              <w:rPr>
                <w:rFonts w:hint="eastAsia" w:ascii="楷体" w:hAnsi="楷体" w:eastAsia="楷体" w:cs="楷体"/>
                <w:szCs w:val="32"/>
              </w:rPr>
            </w:pPr>
            <mc:AlternateContent>
              <mc:Choice Requires="wpsCustomData">
                <wpsCustomData:docfieldStart id="2" docfieldname="发文机关代字" hidden="0" print="1" readonly="0" index="3"/>
              </mc:Choice>
            </mc:AlternateContent>
            <w:r>
              <w:rPr>
                <w:rFonts w:hint="eastAsia" w:ascii="仿宋_GB2312" w:hAnsi="仿宋_GB2312" w:eastAsia="仿宋_GB2312" w:cs="仿宋_GB2312"/>
                <w:sz w:val="32"/>
                <w:szCs w:val="32"/>
                <w:lang w:eastAsia="zh-CN"/>
              </w:rPr>
              <w:t>建市监规</w:t>
            </w:r>
            <mc:AlternateContent>
              <mc:Choice Requires="wpsCustomData">
                <wpsCustomData:docfieldEnd id="2"/>
              </mc:Choice>
            </mc:AlternateContent>
            <w:r>
              <w:rPr>
                <w:rFonts w:hint="eastAsia" w:ascii="仿宋_GB2312" w:hAnsi="仿宋_GB2312" w:eastAsia="仿宋_GB2312" w:cs="仿宋_GB2312"/>
                <w:sz w:val="32"/>
                <w:szCs w:val="32"/>
              </w:rPr>
              <w:t>〔</w:t>
            </w:r>
            <mc:AlternateContent>
              <mc:Choice Requires="wpsCustomData">
                <wpsCustomData:docfieldStart id="3" docfieldname="年份" hidden="0" print="1" readonly="0" index="4"/>
              </mc:Choice>
            </mc:AlternateContent>
            <w:r>
              <w:rPr>
                <w:rFonts w:hint="eastAsia" w:ascii="仿宋_GB2312" w:hAnsi="仿宋_GB2312" w:eastAsia="仿宋_GB2312" w:cs="仿宋_GB2312"/>
                <w:sz w:val="32"/>
                <w:szCs w:val="32"/>
                <w:lang w:eastAsia="zh-CN"/>
              </w:rPr>
              <w:t>2026</w:t>
            </w:r>
            <mc:AlternateContent>
              <mc:Choice Requires="wpsCustomData">
                <wpsCustomData:docfieldEnd id="3"/>
              </mc:Choice>
            </mc:AlternateContent>
            <w:r>
              <w:rPr>
                <w:rFonts w:hint="eastAsia" w:ascii="仿宋_GB2312" w:hAnsi="仿宋_GB2312" w:eastAsia="仿宋_GB2312" w:cs="仿宋_GB2312"/>
                <w:sz w:val="32"/>
                <w:szCs w:val="32"/>
              </w:rPr>
              <w:t>〕</w:t>
            </w:r>
            <mc:AlternateContent>
              <mc:Choice Requires="wpsCustomData">
                <wpsCustomData:docfieldStart id="4" docfieldname="发文顺序号" hidden="0" print="1" readonly="0" index="5"/>
              </mc:Choice>
            </mc:AlternateContent>
            <w:r>
              <w:rPr>
                <w:rFonts w:hint="eastAsia" w:ascii="仿宋_GB2312" w:hAnsi="仿宋_GB2312" w:eastAsia="仿宋_GB2312" w:cs="仿宋_GB2312"/>
                <w:sz w:val="32"/>
                <w:szCs w:val="32"/>
                <w:lang w:val="en-US" w:eastAsia="zh-CN"/>
              </w:rPr>
              <w:t>2</w:t>
            </w:r>
            <mc:AlternateContent>
              <mc:Choice Requires="wpsCustomData">
                <wpsCustomData:docfieldEnd id="4"/>
              </mc:Choice>
            </mc:AlternateContent>
            <w:r>
              <w:rPr>
                <w:rFonts w:hint="eastAsia" w:ascii="仿宋_GB2312" w:hAnsi="仿宋_GB2312" w:eastAsia="仿宋_GB2312" w:cs="仿宋_GB2312"/>
                <w:sz w:val="32"/>
                <w:szCs w:val="32"/>
              </w:rPr>
              <w:t>号</w:t>
            </w:r>
          </w:p>
        </w:tc>
      </w:tr>
      <w:tr w14:paraId="0605F03C">
        <w:tblPrEx>
          <w:tblCellMar>
            <w:top w:w="0" w:type="dxa"/>
            <w:left w:w="0" w:type="dxa"/>
            <w:bottom w:w="0" w:type="dxa"/>
            <w:right w:w="0" w:type="dxa"/>
          </w:tblCellMar>
        </w:tblPrEx>
        <w:trPr>
          <w:cantSplit/>
          <w:trHeight w:val="90" w:hRule="exact"/>
        </w:trPr>
        <w:tc>
          <w:tcPr>
            <w:tcW w:w="9080" w:type="dxa"/>
            <w:tcBorders>
              <w:top w:val="nil"/>
              <w:left w:val="nil"/>
              <w:bottom w:val="single" w:color="FF0000" w:sz="18" w:space="0"/>
              <w:right w:val="nil"/>
            </w:tcBorders>
            <w:noWrap w:val="0"/>
            <w:vAlign w:val="center"/>
          </w:tcPr>
          <w:p w14:paraId="28ACE443">
            <w:pPr>
              <w:keepNext w:val="0"/>
              <w:keepLines w:val="0"/>
              <w:pageBreakBefore w:val="0"/>
              <w:widowControl w:val="0"/>
              <w:kinsoku/>
              <w:overflowPunct/>
              <w:topLinePunct w:val="0"/>
              <w:autoSpaceDE/>
              <w:bidi w:val="0"/>
              <w:spacing w:line="240" w:lineRule="auto"/>
              <w:jc w:val="center"/>
              <w:textAlignment w:val="auto"/>
              <w:outlineLvl w:val="9"/>
              <w:rPr>
                <w:rFonts w:hint="eastAsia" w:ascii="方正仿宋_GBK" w:hAnsi="方正仿宋_GBK"/>
                <w:b/>
                <w:sz w:val="21"/>
              </w:rPr>
            </w:pPr>
          </w:p>
        </w:tc>
      </w:tr>
      <w:tr w14:paraId="0392E46F">
        <w:tblPrEx>
          <w:tblCellMar>
            <w:top w:w="0" w:type="dxa"/>
            <w:left w:w="0" w:type="dxa"/>
            <w:bottom w:w="0" w:type="dxa"/>
            <w:right w:w="0" w:type="dxa"/>
          </w:tblCellMar>
        </w:tblPrEx>
        <w:trPr>
          <w:cantSplit/>
          <w:trHeight w:val="567" w:hRule="exact"/>
        </w:trPr>
        <w:tc>
          <w:tcPr>
            <w:tcW w:w="9080" w:type="dxa"/>
            <w:tcBorders>
              <w:top w:val="single" w:color="FF0000" w:sz="18" w:space="0"/>
            </w:tcBorders>
            <w:noWrap w:val="0"/>
            <w:vAlign w:val="center"/>
          </w:tcPr>
          <w:p w14:paraId="58FF3B3C">
            <w:pPr>
              <w:keepNext w:val="0"/>
              <w:keepLines w:val="0"/>
              <w:pageBreakBefore w:val="0"/>
              <w:widowControl w:val="0"/>
              <w:tabs>
                <w:tab w:val="left" w:pos="3808"/>
              </w:tabs>
              <w:kinsoku/>
              <w:overflowPunct/>
              <w:topLinePunct w:val="0"/>
              <w:autoSpaceDE/>
              <w:bidi w:val="0"/>
              <w:spacing w:line="240" w:lineRule="auto"/>
              <w:jc w:val="both"/>
              <w:textAlignment w:val="auto"/>
              <w:outlineLvl w:val="9"/>
              <w:rPr>
                <w:rFonts w:hint="eastAsia" w:ascii="仿宋_GB2312" w:hAnsi="仿宋_GB2312"/>
                <w:bCs/>
              </w:rPr>
            </w:pPr>
          </w:p>
        </w:tc>
      </w:tr>
      <w:tr w14:paraId="5CA64ABF">
        <w:tblPrEx>
          <w:tblCellMar>
            <w:top w:w="0" w:type="dxa"/>
            <w:left w:w="0" w:type="dxa"/>
            <w:bottom w:w="0" w:type="dxa"/>
            <w:right w:w="0" w:type="dxa"/>
          </w:tblCellMar>
        </w:tblPrEx>
        <w:trPr>
          <w:cantSplit/>
          <w:trHeight w:val="815" w:hRule="atLeast"/>
        </w:trPr>
        <w:tc>
          <w:tcPr>
            <w:tcW w:w="9080" w:type="dxa"/>
            <w:noWrap w:val="0"/>
            <w:vAlign w:val="center"/>
          </w:tcPr>
          <w:p w14:paraId="6AC284ED">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eastAsia="zh-CN"/>
              </w:rPr>
            </w:pPr>
            <mc:AlternateContent>
              <mc:Choice Requires="wpsCustomData">
                <wpsCustomData:docfieldStart id="5" docfieldname="标题" hidden="0" print="1" readonly="0" index="6"/>
              </mc:Choice>
            </mc:AlternateContent>
            <w:r>
              <w:rPr>
                <w:rFonts w:hint="eastAsia" w:ascii="方正小标宋简体" w:hAnsi="方正小标宋简体" w:eastAsia="方正小标宋简体" w:cs="方正小标宋简体"/>
                <w:sz w:val="44"/>
                <w:szCs w:val="44"/>
                <w:lang w:eastAsia="zh-CN"/>
              </w:rPr>
              <w:t>建宁县市场监督管理局关于印发《建宁县公平竞争审查投诉举报受理回应机制》的通知</w:t>
            </w:r>
            <mc:AlternateContent>
              <mc:Choice Requires="wpsCustomData">
                <wpsCustomData:docfieldEnd id="5"/>
              </mc:Choice>
            </mc:AlternateContent>
          </w:p>
        </w:tc>
      </w:tr>
    </w:tbl>
    <w:p w14:paraId="304F29B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宋体" w:hAnsi="宋体" w:eastAsia="方正小标宋简体" w:cs="方正小标宋简体"/>
          <w:color w:val="000000" w:themeColor="text1"/>
          <w:sz w:val="44"/>
          <w:szCs w:val="44"/>
          <w:lang w:val="en-US" w:eastAsia="zh-CN"/>
          <w14:textFill>
            <w14:solidFill>
              <w14:schemeClr w14:val="tx1"/>
            </w14:solidFill>
          </w14:textFill>
        </w:rPr>
      </w:pPr>
    </w:p>
    <w:p w14:paraId="2AA1524C">
      <w:pPr>
        <w:keepNext w:val="0"/>
        <w:keepLines w:val="0"/>
        <w:pageBreakBefore w:val="0"/>
        <w:widowControl w:val="0"/>
        <w:kinsoku/>
        <w:wordWrap/>
        <w:overflowPunct/>
        <w:topLinePunct w:val="0"/>
        <w:autoSpaceDE/>
        <w:autoSpaceDN/>
        <w:bidi w:val="0"/>
        <w:adjustRightInd/>
        <w:snapToGrid/>
        <w:spacing w:line="560" w:lineRule="exact"/>
        <w:textAlignment w:val="auto"/>
        <w:rPr>
          <w:rStyle w:val="10"/>
          <w:rFonts w:hint="eastAsia" w:ascii="宋体" w:hAnsi="宋体"/>
          <w:kern w:val="0"/>
          <w:sz w:val="32"/>
          <w:szCs w:val="32"/>
          <w:highlight w:val="none"/>
          <w:lang w:val="en-US" w:eastAsia="zh-CN" w:bidi="ar"/>
        </w:rPr>
      </w:pPr>
      <w:r>
        <w:rPr>
          <w:rStyle w:val="10"/>
          <w:rFonts w:hint="eastAsia" w:ascii="宋体" w:hAnsi="宋体"/>
          <w:kern w:val="0"/>
          <w:sz w:val="32"/>
          <w:szCs w:val="32"/>
          <w:highlight w:val="none"/>
          <w:lang w:val="en-US" w:eastAsia="zh-CN" w:bidi="ar"/>
        </w:rPr>
        <w:t>县公平竞争联席会议成员单位：</w:t>
      </w:r>
    </w:p>
    <w:p w14:paraId="0AE4240D">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现将《建宁县公平竞争审查投诉举报受理回应机制》印发给你们，请结合实际，抓好贯彻落实。</w:t>
      </w:r>
    </w:p>
    <w:p w14:paraId="69AF6C9A">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p>
    <w:p w14:paraId="1BE77817">
      <w:pPr>
        <w:keepNext w:val="0"/>
        <w:keepLines w:val="0"/>
        <w:pageBreakBefore w:val="0"/>
        <w:widowControl w:val="0"/>
        <w:kinsoku/>
        <w:wordWrap/>
        <w:overflowPunct/>
        <w:topLinePunct w:val="0"/>
        <w:autoSpaceDE/>
        <w:autoSpaceDN/>
        <w:bidi w:val="0"/>
        <w:adjustRightInd/>
        <w:snapToGrid/>
        <w:spacing w:line="520" w:lineRule="exact"/>
        <w:ind w:left="0" w:leftChars="0" w:firstLine="3520" w:firstLineChars="1100"/>
        <w:textAlignment w:val="auto"/>
        <w:outlineLvl w:val="9"/>
        <w:rPr>
          <w:rFonts w:hint="eastAsia" w:ascii="仿宋_GB2312" w:hAnsi="仿宋_GB2312" w:eastAsia="仿宋_GB2312" w:cs="仿宋_GB2312"/>
          <w:sz w:val="32"/>
          <w:szCs w:val="32"/>
          <w:lang w:val="en-US" w:eastAsia="zh-CN"/>
        </w:rPr>
      </w:pPr>
    </w:p>
    <w:p w14:paraId="15D3E56F">
      <w:pPr>
        <w:keepNext w:val="0"/>
        <w:keepLines w:val="0"/>
        <w:pageBreakBefore w:val="0"/>
        <w:widowControl w:val="0"/>
        <w:kinsoku/>
        <w:wordWrap w:val="0"/>
        <w:overflowPunct/>
        <w:topLinePunct w:val="0"/>
        <w:autoSpaceDE/>
        <w:autoSpaceDN/>
        <w:bidi w:val="0"/>
        <w:adjustRightInd/>
        <w:snapToGrid/>
        <w:spacing w:line="520" w:lineRule="exact"/>
        <w:ind w:left="0" w:leftChars="0" w:firstLine="640" w:firstLineChars="200"/>
        <w:jc w:val="righ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建宁县市场监督管理局</w:t>
      </w:r>
      <w:r>
        <w:rPr>
          <w:rFonts w:hint="eastAsia" w:ascii="仿宋_GB2312" w:hAnsi="仿宋_GB2312" w:cs="仿宋_GB2312"/>
          <w:sz w:val="32"/>
          <w:szCs w:val="32"/>
          <w:lang w:val="en-US" w:eastAsia="zh-CN"/>
        </w:rPr>
        <w:t xml:space="preserve">   </w:t>
      </w:r>
    </w:p>
    <w:p w14:paraId="282A6F8E">
      <w:pPr>
        <w:keepNext w:val="0"/>
        <w:keepLines w:val="0"/>
        <w:pageBreakBefore w:val="0"/>
        <w:widowControl w:val="0"/>
        <w:kinsoku/>
        <w:wordWrap w:val="0"/>
        <w:overflowPunct/>
        <w:topLinePunct w:val="0"/>
        <w:autoSpaceDE/>
        <w:autoSpaceDN/>
        <w:bidi w:val="0"/>
        <w:adjustRightInd/>
        <w:snapToGrid/>
        <w:spacing w:line="520" w:lineRule="exact"/>
        <w:ind w:left="0" w:leftChars="0" w:firstLine="640" w:firstLineChars="200"/>
        <w:jc w:val="righ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2026年9月15日</w:t>
      </w:r>
      <w:r>
        <w:rPr>
          <w:rFonts w:hint="eastAsia" w:ascii="仿宋_GB2312" w:hAnsi="仿宋_GB2312" w:cs="仿宋_GB2312"/>
          <w:sz w:val="32"/>
          <w:szCs w:val="32"/>
          <w:lang w:val="en-US" w:eastAsia="zh-CN"/>
        </w:rPr>
        <w:t xml:space="preserve">    </w:t>
      </w:r>
    </w:p>
    <w:p w14:paraId="604B415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p>
    <w:p w14:paraId="22721B5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(此件主动公开)</w:t>
      </w:r>
    </w:p>
    <w:p w14:paraId="30E02F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p w14:paraId="08F7CF1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p w14:paraId="4C69300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p>
    <w:p w14:paraId="174D4B2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建宁县公平竞争审查投诉举报受理回应机制</w:t>
      </w:r>
    </w:p>
    <w:p w14:paraId="0069D9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6BAEF6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为深入贯彻落实公平竞争审查制度，切实发挥社会监督作用，明确不同主体在处理投诉举报中的</w:t>
      </w:r>
      <w:bookmarkStart w:id="0" w:name="_GoBack"/>
      <w:bookmarkEnd w:id="0"/>
      <w:r>
        <w:rPr>
          <w:rFonts w:hint="eastAsia" w:ascii="仿宋_GB2312" w:hAnsi="仿宋_GB2312" w:eastAsia="仿宋_GB2312" w:cs="仿宋_GB2312"/>
          <w:color w:val="000000" w:themeColor="text1"/>
          <w:sz w:val="32"/>
          <w:szCs w:val="32"/>
          <w:lang w:eastAsia="zh-CN"/>
          <w14:textFill>
            <w14:solidFill>
              <w14:schemeClr w14:val="tx1"/>
            </w14:solidFill>
          </w14:textFill>
        </w:rPr>
        <w:t>职责，营造公平竞争的市场环境，根据《公平竞争审查条例》《公平竞争审查条例实施办法》《公平竞争审查举报处理工作规则》等有关规定，结合本县实际，建立本机制。</w:t>
      </w:r>
    </w:p>
    <w:p w14:paraId="380E5B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一、受理范围</w:t>
      </w:r>
    </w:p>
    <w:p w14:paraId="7FFA0B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自然人、法人或者其他组织认为本县行政区域内的政策制定机关制定的涉及市场准入、产业发展、招商引资、招标投标、政府采购、经营行为规范、资质标准等市场主体经济活动的政策措施，涉嫌违反《公平竞争审查条例》规定的，均属受理范围。</w:t>
      </w:r>
    </w:p>
    <w:p w14:paraId="55BAEC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二、政策制定机关的受理与核查</w:t>
      </w:r>
    </w:p>
    <w:p w14:paraId="2894F2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政策制定机关收到投诉举报后，应当场或在7个工作日内进行甄别：</w:t>
      </w:r>
    </w:p>
    <w:p w14:paraId="5060E5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（一）属于本单位牵头起草或制定的政策措施，应当受理。受理后应立即核对公平竞争审查程序执行情况。发现确实存在未履行公平竞争审查程序或违反《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公平竞争审查</w:t>
      </w:r>
      <w:r>
        <w:rPr>
          <w:rFonts w:hint="eastAsia" w:ascii="仿宋_GB2312" w:hAnsi="仿宋_GB2312" w:eastAsia="仿宋_GB2312" w:cs="仿宋_GB2312"/>
          <w:color w:val="000000" w:themeColor="text1"/>
          <w:sz w:val="32"/>
          <w:szCs w:val="32"/>
          <w:lang w:eastAsia="zh-CN"/>
          <w14:textFill>
            <w14:solidFill>
              <w14:schemeClr w14:val="tx1"/>
            </w14:solidFill>
          </w14:textFill>
        </w:rPr>
        <w:t>条例》第八条至第十一条规定且不符合第十二条规定的审查标准嫌疑的，应当按以下程序自行处理：</w:t>
      </w:r>
    </w:p>
    <w:p w14:paraId="4881FE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积极整改</w:t>
      </w:r>
      <w:r>
        <w:rPr>
          <w:rFonts w:hint="eastAsia" w:ascii="仿宋_GB2312" w:hAnsi="仿宋_GB2312" w:eastAsia="仿宋_GB2312" w:cs="仿宋_GB2312"/>
          <w:color w:val="000000" w:themeColor="text1"/>
          <w:sz w:val="32"/>
          <w:szCs w:val="32"/>
          <w:lang w:eastAsia="zh-CN"/>
          <w14:textFill>
            <w14:solidFill>
              <w14:schemeClr w14:val="tx1"/>
            </w14:solidFill>
          </w14:textFill>
        </w:rPr>
        <w:t>：经初步判断确实存在严重排除、限制竞争问题的，应立即主动停止执行或启动修订程序。</w:t>
      </w:r>
    </w:p>
    <w:p w14:paraId="0E57D0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2.整改完成：通过修订或废止等方式完成整改后，应当在5个工作日内将处理情况（含整改结果、修订或废止的文件文本）抄告建宁县市场监督管理局。</w:t>
      </w:r>
    </w:p>
    <w:p w14:paraId="04F983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3.结果回应：按照“谁制定、谁回应”原则，整改完成后应将处理结果反馈举报人，反馈时限自整改完成之日起一般不超过5个工作日；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修订或废止文件应</w:t>
      </w:r>
      <w:r>
        <w:rPr>
          <w:rFonts w:hint="eastAsia" w:ascii="仿宋_GB2312" w:hAnsi="仿宋_GB2312" w:eastAsia="仿宋_GB2312" w:cs="仿宋_GB2312"/>
          <w:color w:val="000000" w:themeColor="text1"/>
          <w:sz w:val="32"/>
          <w:szCs w:val="32"/>
          <w:lang w:eastAsia="zh-CN"/>
          <w14:textFill>
            <w14:solidFill>
              <w14:schemeClr w14:val="tx1"/>
            </w14:solidFill>
          </w14:textFill>
        </w:rPr>
        <w:t>依据《中华人民共和国政府信息公开条例》向社会公开。</w:t>
      </w:r>
    </w:p>
    <w:p w14:paraId="7B3D6C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经甄别不属于本单位受理职责范围的，应当及时将举报材料移送有处理权限的其他机关或建宁县市场监督管理局，并告知举报人。</w:t>
      </w:r>
    </w:p>
    <w:p w14:paraId="1CAD0D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三、市场监管部门的受理与核查</w:t>
      </w:r>
    </w:p>
    <w:p w14:paraId="4A1618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建宁县市场监督管理局收到完备材料后，应当在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60</w:t>
      </w:r>
      <w:r>
        <w:rPr>
          <w:rFonts w:hint="eastAsia" w:ascii="仿宋_GB2312" w:hAnsi="仿宋_GB2312" w:eastAsia="仿宋_GB2312" w:cs="仿宋_GB2312"/>
          <w:color w:val="000000" w:themeColor="text1"/>
          <w:sz w:val="32"/>
          <w:szCs w:val="32"/>
          <w:lang w:eastAsia="zh-CN"/>
          <w14:textFill>
            <w14:solidFill>
              <w14:schemeClr w14:val="tx1"/>
            </w14:solidFill>
          </w14:textFill>
        </w:rPr>
        <w:t>日内调查核实并办结；案情复杂的，经本局负责人批准可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适当</w:t>
      </w:r>
      <w:r>
        <w:rPr>
          <w:rFonts w:hint="eastAsia" w:ascii="仿宋_GB2312" w:hAnsi="仿宋_GB2312" w:eastAsia="仿宋_GB2312" w:cs="仿宋_GB2312"/>
          <w:color w:val="000000" w:themeColor="text1"/>
          <w:sz w:val="32"/>
          <w:szCs w:val="32"/>
          <w:lang w:eastAsia="zh-CN"/>
          <w14:textFill>
            <w14:solidFill>
              <w14:schemeClr w14:val="tx1"/>
            </w14:solidFill>
          </w14:textFill>
        </w:rPr>
        <w:t>延长，并告知举报人。根据核查情况作如下处理：</w:t>
      </w:r>
    </w:p>
    <w:p w14:paraId="499D03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（一）反映不属实的，将核查结果告知举报人，结束核查。</w:t>
      </w:r>
    </w:p>
    <w:p w14:paraId="5491DB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（二）核查期间，有关政策措施不违反《公平竞争审查条例》</w:t>
      </w:r>
      <w:r>
        <w:rPr>
          <w:rFonts w:hint="eastAsia" w:ascii="仿宋_GB2312" w:hAnsi="仿宋_GB2312" w:eastAsia="仿宋_GB2312" w:cs="仿宋_GB2312"/>
          <w:color w:val="000000" w:themeColor="text1"/>
          <w:spacing w:val="-6"/>
          <w:sz w:val="32"/>
          <w:szCs w:val="32"/>
          <w:lang w:eastAsia="zh-CN"/>
          <w14:textFill>
            <w14:solidFill>
              <w14:schemeClr w14:val="tx1"/>
            </w14:solidFill>
          </w14:textFill>
        </w:rPr>
        <w:t>规定的，结束核查；有关政策措施已经失效或者废止的，结束核查。</w:t>
      </w:r>
    </w:p>
    <w:p w14:paraId="13F82C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（三）核查期间，有关单位主动修订、废止有关政策措施，且经本局评估确认不再违反《公平竞争审查条例》规定的，结束核查。</w:t>
      </w:r>
    </w:p>
    <w:p w14:paraId="6DBF5B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w:t>
      </w:r>
      <w:r>
        <w:rPr>
          <w:rFonts w:hint="eastAsia" w:ascii="仿宋_GB2312" w:hAnsi="仿宋_GB2312" w:eastAsia="仿宋_GB2312" w:cs="仿宋_GB2312"/>
          <w:color w:val="000000" w:themeColor="text1"/>
          <w:sz w:val="32"/>
          <w:szCs w:val="32"/>
          <w:lang w:eastAsia="zh-CN"/>
          <w14:textFill>
            <w14:solidFill>
              <w14:schemeClr w14:val="tx1"/>
            </w14:solidFill>
          </w14:textFill>
        </w:rPr>
        <w:t>）经核查发现有关单位违反《公平竞争审查条例》规定的，本局可以制发《提醒敦促函》，督促有关单位限期整改。《提</w:t>
      </w:r>
      <w:r>
        <w:rPr>
          <w:rFonts w:hint="eastAsia" w:ascii="仿宋_GB2312" w:hAnsi="仿宋_GB2312" w:eastAsia="仿宋_GB2312" w:cs="仿宋_GB2312"/>
          <w:color w:val="000000" w:themeColor="text1"/>
          <w:spacing w:val="-6"/>
          <w:sz w:val="32"/>
          <w:szCs w:val="32"/>
          <w:lang w:eastAsia="zh-CN"/>
          <w14:textFill>
            <w14:solidFill>
              <w14:schemeClr w14:val="tx1"/>
            </w14:solidFill>
          </w14:textFill>
        </w:rPr>
        <w:t>醒敦促函》应载明违规事实、整改要求和整改期限。整改要求包括：</w:t>
      </w:r>
    </w:p>
    <w:p w14:paraId="7EEF82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1.未履行公平竞争审查程序或程序不规范的，要求开展公平竞争审查或补正程序；</w:t>
      </w:r>
    </w:p>
    <w:p w14:paraId="4C3439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2.政策措施存在违反公平竞争审查标准内容的，要求按照相关程序予以修订或者废止；</w:t>
      </w:r>
    </w:p>
    <w:p w14:paraId="5D3E7B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3.核查发现存在公平竞争审查制度和机制不完善等情形的，要求健全完善有关制度机制。</w:t>
      </w:r>
    </w:p>
    <w:p w14:paraId="5AA89B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四、政策制定机关的配合与整改</w:t>
      </w:r>
    </w:p>
    <w:p w14:paraId="146E45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（一）政策制定机关应当配合市场监管部门的核查工作，按要求提供书面审查结论、征求意见情况、政策措施文本等相关材料，并对所提供材料的真实性、完整性负责。</w:t>
      </w:r>
    </w:p>
    <w:p w14:paraId="692B04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政策制定机关收到《提醒敦促函》后，应当按照整改要求和时限及时整改，并在规定期限内将整改情况书面反馈至市场监管部门。核查期间主动修订、废止有关政策措施的，应当及时告知市场监管部门，并提交修订或废止的文件文本。</w:t>
      </w:r>
    </w:p>
    <w:p w14:paraId="5A6CEF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w:t>
      </w:r>
      <w:r>
        <w:rPr>
          <w:rFonts w:hint="eastAsia" w:ascii="仿宋_GB2312" w:hAnsi="仿宋_GB2312" w:eastAsia="仿宋_GB2312" w:cs="仿宋_GB2312"/>
          <w:color w:val="000000" w:themeColor="text1"/>
          <w:sz w:val="32"/>
          <w:szCs w:val="32"/>
          <w:lang w:eastAsia="zh-CN"/>
          <w14:textFill>
            <w14:solidFill>
              <w14:schemeClr w14:val="tx1"/>
            </w14:solidFill>
          </w14:textFill>
        </w:rPr>
        <w:t>）政策制定机关完成整改后，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修订或废止文件</w:t>
      </w:r>
      <w:r>
        <w:rPr>
          <w:rFonts w:hint="eastAsia" w:ascii="仿宋_GB2312" w:hAnsi="仿宋_GB2312" w:eastAsia="仿宋_GB2312" w:cs="仿宋_GB2312"/>
          <w:color w:val="000000" w:themeColor="text1"/>
          <w:sz w:val="32"/>
          <w:szCs w:val="32"/>
          <w:lang w:eastAsia="zh-CN"/>
          <w14:textFill>
            <w14:solidFill>
              <w14:schemeClr w14:val="tx1"/>
            </w14:solidFill>
          </w14:textFill>
        </w:rPr>
        <w:t>应当依据《中华人民共和国政府信息公开条例》向社会公开相关处理决定。</w:t>
      </w:r>
    </w:p>
    <w:p w14:paraId="69B70F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w:t>
      </w:r>
      <w:r>
        <w:rPr>
          <w:rFonts w:hint="eastAsia" w:ascii="仿宋_GB2312" w:hAnsi="仿宋_GB2312" w:eastAsia="仿宋_GB2312" w:cs="仿宋_GB2312"/>
          <w:color w:val="000000" w:themeColor="text1"/>
          <w:sz w:val="32"/>
          <w:szCs w:val="32"/>
          <w:lang w:eastAsia="zh-CN"/>
          <w14:textFill>
            <w14:solidFill>
              <w14:schemeClr w14:val="tx1"/>
            </w14:solidFill>
          </w14:textFill>
        </w:rPr>
        <w:t>）政策制定机关无正当</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理由拒绝或拖延整改的，本局将抄送上一级市场监管部门，必要时，提请上一级市场监管部门对政策制定机关负责人开展约谈；情节严重、造成不良后果的，本局可以向有关上级机关提出对有关单位直接负责的主管人员和其他直接责任人员依法给予处分</w:t>
      </w:r>
      <w:r>
        <w:rPr>
          <w:rFonts w:hint="eastAsia" w:ascii="仿宋_GB2312" w:hAnsi="仿宋_GB2312" w:eastAsia="仿宋_GB2312" w:cs="仿宋_GB2312"/>
          <w:color w:val="000000" w:themeColor="text1"/>
          <w:sz w:val="32"/>
          <w:szCs w:val="32"/>
          <w:lang w:eastAsia="zh-CN"/>
          <w14:textFill>
            <w14:solidFill>
              <w14:schemeClr w14:val="tx1"/>
            </w14:solidFill>
          </w14:textFill>
        </w:rPr>
        <w:t>的建议；对抽查发现相关政策制定机关存在涉嫌滥用行政权力排除、限制竞争行为的，按照《中华人民共和国反垄断法》和《制止滥用行政权力排除、限制竞争行为规定》有关规定处理。</w:t>
      </w:r>
    </w:p>
    <w:p w14:paraId="0AB181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五、上级交办件的处理</w:t>
      </w:r>
    </w:p>
    <w:p w14:paraId="42F926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（一）本局收到上级市场监督管理部门或其他上级机关交办的举报，应当立即登记台账，并根据交办要求直接启动核查程序。</w:t>
      </w:r>
    </w:p>
    <w:p w14:paraId="1E0693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上级交办件有明确时限要求的，按时限要求办结；无明确时限的，适用本流程第三条规定的核查时限。核查终结后，应当在5个工作日内，将核查报告及处理结果书面报送上级交办机关。核查报告应包含反映问题、核查过程、认定事实和依据、下发的《提醒敦促函》及整改情况等内容。</w:t>
      </w:r>
    </w:p>
    <w:p w14:paraId="78F8A2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六、保密与责任</w:t>
      </w:r>
    </w:p>
    <w:p w14:paraId="573C49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举报处理机关及其工作人员应当对举报人信息严格保密，不得将举报材料、举报人信息透露给被举报部门或无关人员。</w:t>
      </w:r>
    </w:p>
    <w:p w14:paraId="6BF4C0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七、附则</w:t>
      </w:r>
    </w:p>
    <w:p w14:paraId="543E5D55">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6"/>
          <w:sz w:val="32"/>
          <w:szCs w:val="32"/>
          <w:lang w:val="en-US" w:eastAsia="zh-CN"/>
          <w14:textFill>
            <w14:solidFill>
              <w14:schemeClr w14:val="tx1"/>
            </w14:solidFill>
          </w14:textFill>
        </w:rPr>
        <w:t>本机制自发布之日起施行，施行期限两年，由建宁县市场监督管理局负责解释。</w:t>
      </w:r>
    </w:p>
    <w:p w14:paraId="292118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36D85F93">
      <w:pPr>
        <w:pStyle w:val="6"/>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sectPr>
          <w:footerReference r:id="rId3" w:type="default"/>
          <w:pgSz w:w="11906" w:h="16838"/>
          <w:pgMar w:top="1417" w:right="1417" w:bottom="1417" w:left="1417" w:header="851" w:footer="992" w:gutter="0"/>
          <w:pgNumType w:fmt="numberInDash"/>
          <w:cols w:space="425" w:num="1"/>
          <w:docGrid w:type="lines" w:linePitch="312" w:charSpace="0"/>
        </w:sectPr>
      </w:pPr>
    </w:p>
    <w:tbl>
      <w:tblPr>
        <w:tblStyle w:val="7"/>
        <w:tblpPr w:leftFromText="181" w:rightFromText="181" w:vertAnchor="page" w:horzAnchor="page" w:tblpX="1502" w:tblpY="14013"/>
        <w:tblOverlap w:val="never"/>
        <w:tblW w:w="8863" w:type="dxa"/>
        <w:tblInd w:w="0" w:type="dxa"/>
        <w:tblBorders>
          <w:top w:val="single" w:color="auto" w:sz="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14"/>
        <w:gridCol w:w="4106"/>
        <w:gridCol w:w="3543"/>
      </w:tblGrid>
      <w:tr w14:paraId="14CB2616">
        <w:tblPrEx>
          <w:tblBorders>
            <w:top w:val="single" w:color="auto" w:sz="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214" w:type="dxa"/>
            <w:tcBorders>
              <w:top w:val="nil"/>
              <w:bottom w:val="single" w:color="auto" w:sz="6" w:space="0"/>
            </w:tcBorders>
            <w:noWrap w:val="0"/>
            <w:tcMar>
              <w:top w:w="0" w:type="dxa"/>
              <w:left w:w="0" w:type="dxa"/>
              <w:bottom w:w="0" w:type="dxa"/>
              <w:right w:w="0" w:type="dxa"/>
            </w:tcMar>
            <w:vAlign w:val="top"/>
          </w:tcPr>
          <w:p w14:paraId="24E30FF7">
            <w:pPr>
              <w:keepNext w:val="0"/>
              <w:keepLines w:val="0"/>
              <w:pageBreakBefore w:val="0"/>
              <w:widowControl w:val="0"/>
              <w:kinsoku/>
              <w:overflowPunct/>
              <w:topLinePunct w:val="0"/>
              <w:autoSpaceDE/>
              <w:autoSpaceDN w:val="0"/>
              <w:bidi w:val="0"/>
              <w:spacing w:line="240" w:lineRule="auto"/>
              <w:ind w:firstLine="280" w:firstLineChars="100"/>
              <w:jc w:val="right"/>
              <w:textAlignment w:val="auto"/>
              <w:outlineLvl w:val="9"/>
              <w:rPr>
                <w:rFonts w:hint="eastAsia" w:ascii="仿宋_GB2312" w:hAnsi="仿宋_GB2312" w:eastAsia="仿宋_GB2312" w:cs="仿宋_GB2312"/>
                <w:sz w:val="28"/>
                <w:szCs w:val="28"/>
                <w:lang w:val="en-US" w:eastAsia="zh-CN"/>
              </w:rPr>
            </w:pPr>
          </w:p>
        </w:tc>
        <w:tc>
          <w:tcPr>
            <w:tcW w:w="7649" w:type="dxa"/>
            <w:gridSpan w:val="2"/>
            <w:tcBorders>
              <w:top w:val="nil"/>
              <w:bottom w:val="single" w:color="auto" w:sz="6" w:space="0"/>
            </w:tcBorders>
            <w:noWrap w:val="0"/>
            <w:tcMar>
              <w:top w:w="0" w:type="dxa"/>
              <w:left w:w="0" w:type="dxa"/>
              <w:bottom w:w="0" w:type="dxa"/>
              <w:right w:w="113" w:type="dxa"/>
            </w:tcMar>
            <w:vAlign w:val="top"/>
          </w:tcPr>
          <w:p w14:paraId="1A49A4D0">
            <w:pPr>
              <w:keepNext w:val="0"/>
              <w:keepLines w:val="0"/>
              <w:pageBreakBefore w:val="0"/>
              <w:widowControl w:val="0"/>
              <w:kinsoku/>
              <w:overflowPunct/>
              <w:topLinePunct w:val="0"/>
              <w:autoSpaceDE/>
              <w:autoSpaceDN w:val="0"/>
              <w:bidi w:val="0"/>
              <w:spacing w:line="240" w:lineRule="auto"/>
              <w:ind w:right="210" w:rightChars="100"/>
              <w:jc w:val="both"/>
              <w:textAlignment w:val="auto"/>
              <w:outlineLvl w:val="9"/>
              <w:rPr>
                <w:rFonts w:hint="eastAsia" w:ascii="仿宋_GB2312" w:hAnsi="仿宋_GB2312" w:eastAsia="仿宋_GB2312" w:cs="仿宋_GB2312"/>
                <w:sz w:val="28"/>
                <w:szCs w:val="28"/>
                <w:lang w:eastAsia="zh-CN"/>
              </w:rPr>
            </w:pPr>
            <mc:AlternateContent>
              <mc:Choice Requires="wpsCustomData">
                <wpsCustomData:docfieldStart id="6" docfieldname="抄送机关" hidden="0" print="1" readonly="0" index="21"/>
              </mc:Choice>
            </mc:AlternateContent>
            <mc:AlternateContent>
              <mc:Choice Requires="wpsCustomData">
                <wpsCustomData:docfieldEnd id="6"/>
              </mc:Choice>
            </mc:AlternateContent>
          </w:p>
        </w:tc>
      </w:tr>
      <w:tr w14:paraId="50D8B523">
        <w:tblPrEx>
          <w:tblBorders>
            <w:top w:val="single" w:color="auto" w:sz="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5320" w:type="dxa"/>
            <w:gridSpan w:val="2"/>
            <w:tcBorders>
              <w:top w:val="single" w:color="auto" w:sz="6" w:space="0"/>
              <w:bottom w:val="single" w:color="auto" w:sz="8" w:space="0"/>
            </w:tcBorders>
            <w:noWrap w:val="0"/>
            <w:tcMar>
              <w:right w:w="113" w:type="dxa"/>
            </w:tcMar>
            <w:vAlign w:val="center"/>
          </w:tcPr>
          <w:p w14:paraId="4B40C913">
            <w:pPr>
              <w:keepNext w:val="0"/>
              <w:keepLines w:val="0"/>
              <w:pageBreakBefore w:val="0"/>
              <w:widowControl w:val="0"/>
              <w:kinsoku/>
              <w:overflowPunct/>
              <w:topLinePunct w:val="0"/>
              <w:autoSpaceDE/>
              <w:autoSpaceDN w:val="0"/>
              <w:bidi w:val="0"/>
              <w:spacing w:line="240" w:lineRule="auto"/>
              <w:ind w:left="210" w:leftChars="100"/>
              <w:jc w:val="left"/>
              <w:textAlignment w:val="auto"/>
              <w:outlineLvl w:val="9"/>
              <w:rPr>
                <w:rFonts w:hint="eastAsia" w:ascii="仿宋_GB2312" w:hAnsi="仿宋_GB2312" w:eastAsia="仿宋_GB2312" w:cs="仿宋_GB2312"/>
                <w:sz w:val="28"/>
                <w:szCs w:val="28"/>
              </w:rPr>
            </w:pPr>
            <mc:AlternateContent>
              <mc:Choice Requires="wpsCustomData">
                <wpsCustomData:docfieldStart id="7" docfieldname="印发机关" hidden="0" print="1" readonly="0" index="18"/>
              </mc:Choice>
            </mc:AlternateContent>
            <w:r>
              <w:rPr>
                <w:rFonts w:hint="eastAsia" w:eastAsia="仿宋_GB2312"/>
                <w:sz w:val="28"/>
                <w:szCs w:val="28"/>
                <w:lang w:eastAsia="zh-CN"/>
              </w:rPr>
              <w:t>建宁县</w:t>
            </w:r>
            <w:r>
              <w:rPr>
                <w:rFonts w:hint="eastAsia" w:eastAsia="仿宋_GB2312"/>
                <w:sz w:val="28"/>
                <w:szCs w:val="28"/>
              </w:rPr>
              <w:t>市场监督管理局办公室</w:t>
            </w:r>
            <mc:AlternateContent>
              <mc:Choice Requires="wpsCustomData">
                <wpsCustomData:docfieldEnd id="7"/>
              </mc:Choice>
            </mc:AlternateContent>
          </w:p>
        </w:tc>
        <w:tc>
          <w:tcPr>
            <w:tcW w:w="3543" w:type="dxa"/>
            <w:tcBorders>
              <w:top w:val="single" w:color="auto" w:sz="6" w:space="0"/>
              <w:bottom w:val="single" w:color="auto" w:sz="8" w:space="0"/>
            </w:tcBorders>
            <w:noWrap w:val="0"/>
            <w:tcMar>
              <w:right w:w="113" w:type="dxa"/>
            </w:tcMar>
            <w:vAlign w:val="center"/>
          </w:tcPr>
          <w:p w14:paraId="6AA3C9C8">
            <w:pPr>
              <w:keepNext w:val="0"/>
              <w:keepLines w:val="0"/>
              <w:pageBreakBefore w:val="0"/>
              <w:widowControl w:val="0"/>
              <w:kinsoku/>
              <w:overflowPunct/>
              <w:topLinePunct w:val="0"/>
              <w:autoSpaceDE/>
              <w:autoSpaceDN w:val="0"/>
              <w:bidi w:val="0"/>
              <w:spacing w:line="240" w:lineRule="auto"/>
              <w:ind w:right="210" w:rightChars="100"/>
              <w:jc w:val="right"/>
              <w:textAlignment w:val="auto"/>
              <w:outlineLvl w:val="9"/>
              <w:rPr>
                <w:rFonts w:hint="eastAsia" w:ascii="仿宋_GB2312" w:hAnsi="仿宋_GB2312" w:eastAsia="仿宋_GB2312" w:cs="仿宋_GB2312"/>
                <w:sz w:val="28"/>
                <w:szCs w:val="28"/>
              </w:rPr>
            </w:pPr>
            <mc:AlternateContent>
              <mc:Choice Requires="wpsCustomData">
                <wpsCustomData:docfieldStart id="8" docfieldname="印发日期" hidden="0" print="1" readonly="0" index="19"/>
              </mc:Choice>
            </mc:AlternateContent>
            <w:r>
              <w:rPr>
                <w:rFonts w:hint="eastAsia" w:ascii="仿宋_GB2312" w:hAnsi="仿宋_GB2312" w:cs="仿宋_GB2312"/>
                <w:sz w:val="28"/>
                <w:szCs w:val="28"/>
                <w:lang w:eastAsia="zh-CN"/>
              </w:rPr>
              <w:t>202</w:t>
            </w:r>
            <w:r>
              <w:rPr>
                <w:rFonts w:hint="eastAsia" w:ascii="仿宋_GB2312" w:hAnsi="仿宋_GB2312" w:cs="仿宋_GB2312"/>
                <w:sz w:val="28"/>
                <w:szCs w:val="28"/>
                <w:lang w:val="en-US" w:eastAsia="zh-CN"/>
              </w:rPr>
              <w:t>6</w:t>
            </w:r>
            <w:r>
              <w:rPr>
                <w:rFonts w:hint="eastAsia" w:ascii="仿宋_GB2312" w:hAnsi="仿宋_GB2312" w:cs="仿宋_GB2312"/>
                <w:sz w:val="28"/>
                <w:szCs w:val="28"/>
                <w:lang w:eastAsia="zh-CN"/>
              </w:rPr>
              <w:t>年</w:t>
            </w:r>
            <w:r>
              <w:rPr>
                <w:rFonts w:hint="eastAsia" w:ascii="仿宋_GB2312" w:hAnsi="仿宋_GB2312" w:cs="仿宋_GB2312"/>
                <w:sz w:val="28"/>
                <w:szCs w:val="28"/>
                <w:lang w:val="en-US" w:eastAsia="zh-CN"/>
              </w:rPr>
              <w:t>9</w:t>
            </w:r>
            <w:r>
              <w:rPr>
                <w:rFonts w:hint="eastAsia" w:ascii="仿宋_GB2312" w:hAnsi="仿宋_GB2312" w:cs="仿宋_GB2312"/>
                <w:sz w:val="28"/>
                <w:szCs w:val="28"/>
                <w:lang w:eastAsia="zh-CN"/>
              </w:rPr>
              <w:t>月</w:t>
            </w:r>
            <w:r>
              <w:rPr>
                <w:rFonts w:hint="eastAsia" w:ascii="仿宋_GB2312" w:hAnsi="仿宋_GB2312" w:cs="仿宋_GB2312"/>
                <w:sz w:val="28"/>
                <w:szCs w:val="28"/>
                <w:lang w:val="en-US" w:eastAsia="zh-CN"/>
              </w:rPr>
              <w:t>15</w:t>
            </w:r>
            <w:r>
              <w:rPr>
                <w:rFonts w:hint="eastAsia" w:ascii="仿宋_GB2312" w:hAnsi="仿宋_GB2312" w:cs="仿宋_GB2312"/>
                <w:sz w:val="28"/>
                <w:szCs w:val="28"/>
                <w:lang w:eastAsia="zh-CN"/>
              </w:rPr>
              <w:t>日</w:t>
            </w:r>
            <mc:AlternateContent>
              <mc:Choice Requires="wpsCustomData">
                <wpsCustomData:docfieldEnd id="8"/>
              </mc:Choice>
            </mc:AlternateContent>
            <w:r>
              <w:rPr>
                <w:rFonts w:hint="eastAsia" w:ascii="仿宋_GB2312" w:hAnsi="仿宋_GB2312" w:eastAsia="仿宋_GB2312" w:cs="仿宋_GB2312"/>
                <w:sz w:val="28"/>
                <w:szCs w:val="28"/>
              </w:rPr>
              <w:t>印发</w:t>
            </w:r>
          </w:p>
        </w:tc>
      </w:tr>
      <w:tr w14:paraId="2CA139EB">
        <w:tblPrEx>
          <w:tblBorders>
            <w:top w:val="single" w:color="auto" w:sz="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exact"/>
        </w:trPr>
        <w:tc>
          <w:tcPr>
            <w:tcW w:w="5320" w:type="dxa"/>
            <w:gridSpan w:val="2"/>
            <w:tcBorders>
              <w:top w:val="single" w:color="auto" w:sz="8" w:space="0"/>
            </w:tcBorders>
            <w:noWrap w:val="0"/>
            <w:tcMar>
              <w:right w:w="113" w:type="dxa"/>
            </w:tcMar>
            <w:vAlign w:val="top"/>
          </w:tcPr>
          <w:p w14:paraId="76173A5F">
            <w:pPr>
              <w:keepNext w:val="0"/>
              <w:keepLines w:val="0"/>
              <w:pageBreakBefore w:val="0"/>
              <w:widowControl w:val="0"/>
              <w:kinsoku/>
              <w:overflowPunct/>
              <w:topLinePunct w:val="0"/>
              <w:autoSpaceDE/>
              <w:autoSpaceDN w:val="0"/>
              <w:bidi w:val="0"/>
              <w:spacing w:line="240" w:lineRule="auto"/>
              <w:jc w:val="left"/>
              <w:textAlignment w:val="auto"/>
              <w:outlineLvl w:val="9"/>
              <w:rPr>
                <w:rFonts w:hint="eastAsia" w:ascii="仿宋" w:hAnsi="仿宋" w:eastAsia="仿宋" w:cs="仿宋"/>
                <w:sz w:val="28"/>
                <w:szCs w:val="28"/>
              </w:rPr>
            </w:pPr>
          </w:p>
        </w:tc>
        <w:tc>
          <w:tcPr>
            <w:tcW w:w="3543" w:type="dxa"/>
            <w:tcBorders>
              <w:top w:val="single" w:color="auto" w:sz="8" w:space="0"/>
            </w:tcBorders>
            <w:noWrap w:val="0"/>
            <w:tcMar>
              <w:right w:w="113" w:type="dxa"/>
            </w:tcMar>
            <w:vAlign w:val="top"/>
          </w:tcPr>
          <w:p w14:paraId="13737AE7">
            <w:pPr>
              <w:keepNext w:val="0"/>
              <w:keepLines w:val="0"/>
              <w:pageBreakBefore w:val="0"/>
              <w:widowControl w:val="0"/>
              <w:kinsoku/>
              <w:overflowPunct/>
              <w:topLinePunct w:val="0"/>
              <w:autoSpaceDE/>
              <w:autoSpaceDN w:val="0"/>
              <w:bidi w:val="0"/>
              <w:spacing w:line="240" w:lineRule="auto"/>
              <w:ind w:right="210" w:rightChars="100"/>
              <w:jc w:val="right"/>
              <w:textAlignment w:val="auto"/>
              <w:outlineLvl w:val="9"/>
              <w:rPr>
                <w:rFonts w:hint="eastAsia" w:ascii="仿宋" w:hAnsi="仿宋" w:eastAsia="仿宋" w:cs="仿宋"/>
                <w:sz w:val="28"/>
                <w:szCs w:val="28"/>
              </w:rPr>
            </w:pPr>
          </w:p>
        </w:tc>
      </w:tr>
    </w:tbl>
    <w:p w14:paraId="2ADDE142">
      <w:pPr>
        <w:pStyle w:val="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p w14:paraId="2311E9B3">
      <w:pPr>
        <w:pStyle w:val="6"/>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sectPr>
      <w:pgSz w:w="11906" w:h="16838"/>
      <w:pgMar w:top="1417" w:right="1417" w:bottom="1417" w:left="141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2000000000000000000"/>
    <w:charset w:val="86"/>
    <w:family w:val="script"/>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4FF4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6CA9B3">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E6CA9B3">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C5F94"/>
    <w:rsid w:val="04F55B30"/>
    <w:rsid w:val="090457F9"/>
    <w:rsid w:val="0A444601"/>
    <w:rsid w:val="11A61980"/>
    <w:rsid w:val="14E96DA7"/>
    <w:rsid w:val="153320AA"/>
    <w:rsid w:val="18E100AB"/>
    <w:rsid w:val="1A3A2313"/>
    <w:rsid w:val="1DBE2B2E"/>
    <w:rsid w:val="1FDB5917"/>
    <w:rsid w:val="20191E9C"/>
    <w:rsid w:val="27F0489F"/>
    <w:rsid w:val="29E51041"/>
    <w:rsid w:val="2E975000"/>
    <w:rsid w:val="2EE6487F"/>
    <w:rsid w:val="2F6649D2"/>
    <w:rsid w:val="2F9BB46C"/>
    <w:rsid w:val="31223B3B"/>
    <w:rsid w:val="38525325"/>
    <w:rsid w:val="3DFFBE2B"/>
    <w:rsid w:val="3E5A3954"/>
    <w:rsid w:val="3F9F65CC"/>
    <w:rsid w:val="41CF3F24"/>
    <w:rsid w:val="46B5189B"/>
    <w:rsid w:val="4C3D6D8F"/>
    <w:rsid w:val="511856D5"/>
    <w:rsid w:val="54C53DC5"/>
    <w:rsid w:val="55F760BD"/>
    <w:rsid w:val="597D016E"/>
    <w:rsid w:val="5F9F9000"/>
    <w:rsid w:val="5FEF9EAB"/>
    <w:rsid w:val="61E433B1"/>
    <w:rsid w:val="68CD4B9F"/>
    <w:rsid w:val="6CE72C81"/>
    <w:rsid w:val="6D28753F"/>
    <w:rsid w:val="704C0A9F"/>
    <w:rsid w:val="72AB6650"/>
    <w:rsid w:val="74053B96"/>
    <w:rsid w:val="75BF3AC1"/>
    <w:rsid w:val="77FFBC55"/>
    <w:rsid w:val="79D55FA9"/>
    <w:rsid w:val="7B93965B"/>
    <w:rsid w:val="7D827B0C"/>
    <w:rsid w:val="7E7F6399"/>
    <w:rsid w:val="7FFCFF5D"/>
    <w:rsid w:val="8FE5BCA7"/>
    <w:rsid w:val="9B7F0BD2"/>
    <w:rsid w:val="ABFB6FDD"/>
    <w:rsid w:val="BC7B8240"/>
    <w:rsid w:val="D6DC04AB"/>
    <w:rsid w:val="ED7D6D93"/>
    <w:rsid w:val="F1734F89"/>
    <w:rsid w:val="FB3FA77E"/>
    <w:rsid w:val="FBFB7097"/>
    <w:rsid w:val="FF5D9237"/>
    <w:rsid w:val="FFB9BF7B"/>
    <w:rsid w:val="FFF9C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2"/>
    <w:unhideWhenUsed/>
    <w:qFormat/>
    <w:uiPriority w:val="99"/>
    <w:pPr>
      <w:spacing w:after="0"/>
      <w:ind w:left="0" w:leftChars="0" w:firstLine="420" w:firstLineChars="200"/>
    </w:pPr>
    <w:rPr>
      <w:kern w:val="0"/>
      <w:szCs w:val="24"/>
    </w:rPr>
  </w:style>
  <w:style w:type="paragraph" w:customStyle="1" w:styleId="9">
    <w:name w:val="公文正文"/>
    <w:basedOn w:val="1"/>
    <w:qFormat/>
    <w:uiPriority w:val="0"/>
    <w:rPr>
      <w:rFonts w:eastAsia="仿宋_GB2312"/>
      <w:sz w:val="32"/>
      <w:szCs w:val="30"/>
    </w:rPr>
  </w:style>
  <w:style w:type="character" w:customStyle="1" w:styleId="10">
    <w:name w:val="样式 仿宋_GB2312"/>
    <w:basedOn w:val="8"/>
    <w:qFormat/>
    <w:uiPriority w:val="0"/>
    <w:rPr>
      <w:rFonts w:ascii="仿宋_GB2312" w:hAnsi="仿宋_GB2312" w:eastAsia="仿宋_GB2312" w:cs="Times New Roman"/>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9188c5-7b69-4c40-bc1e-82df0f6451ee}">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2008</Words>
  <Characters>2026</Characters>
  <Lines>0</Lines>
  <Paragraphs>0</Paragraphs>
  <TotalTime>2</TotalTime>
  <ScaleCrop>false</ScaleCrop>
  <LinksUpToDate>false</LinksUpToDate>
  <CharactersWithSpaces>2033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2026-04-17T16:37:00Z</dcterms:created>
  <dc:creator>Administrator</dc:creator>
  <cp:lastModifiedBy>鐘情</cp:lastModifiedBy>
  <dcterms:modified xsi:type="dcterms:W3CDTF">2026-09-15T02:10:46Z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eyJoZGlkIjoiMDZmNWYxZDNiNGE3OGEzNTYyYjFiZmI2MWRiMGMwZTEiLCJ1c2VySWQiOiIyMDgxNzM2MTkifQ==</vt:lpwstr>
  </property>
  <property fmtid="{D5CDD505-2E9C-101B-9397-08002B2CF9AE}" pid="4" name="ICV">
    <vt:lpwstr>267148D7D5D34711B57B09BA325A62AC_13</vt:lpwstr>
  </property>
</Properties>
</file>