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080" w:type="dxa"/>
        <w:tblInd w:w="-21" w:type="dxa"/>
        <w:tblLayout w:type="fixed"/>
        <w:tblCellMar>
          <w:top w:w="0" w:type="dxa"/>
          <w:left w:w="0" w:type="dxa"/>
          <w:bottom w:w="0" w:type="dxa"/>
          <w:right w:w="0" w:type="dxa"/>
        </w:tblCellMar>
      </w:tblPr>
      <w:tblGrid>
        <w:gridCol w:w="9080"/>
      </w:tblGrid>
      <w:tr w14:paraId="0962881A">
        <w:tblPrEx>
          <w:tblCellMar>
            <w:top w:w="0" w:type="dxa"/>
            <w:left w:w="0" w:type="dxa"/>
            <w:bottom w:w="0" w:type="dxa"/>
            <w:right w:w="0" w:type="dxa"/>
          </w:tblCellMar>
        </w:tblPrEx>
        <w:trPr>
          <w:cantSplit/>
          <w:trHeight w:val="2120" w:hRule="exact"/>
        </w:trPr>
        <w:tc>
          <w:tcPr>
            <w:tcW w:w="9080" w:type="dxa"/>
            <w:noWrap w:val="0"/>
            <w:vAlign w:val="top"/>
          </w:tcPr>
          <w:p w14:paraId="5B52D4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szCs w:val="32"/>
              </w:rPr>
            </w:pPr>
          </w:p>
          <w:p w14:paraId="6C704CE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rPr>
            </w:pPr>
            <mc:AlternateContent>
              <mc:Choice Requires="wpsCustomData">
                <wpsCustomData:docfieldStart id="0" docfieldname="紧急程度" hidden="0" print="1" readonly="0" index="1"/>
              </mc:Choice>
            </mc:AlternateContent>
            <mc:AlternateContent>
              <mc:Choice Requires="wpsCustomData">
                <wpsCustomData:docfieldEnd id="0"/>
              </mc:Choice>
            </mc:AlternateContent>
          </w:p>
          <w:p w14:paraId="23470AE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szCs w:val="32"/>
              </w:rPr>
            </w:pPr>
          </w:p>
        </w:tc>
      </w:tr>
      <w:tr w14:paraId="056A3BF7">
        <w:trPr>
          <w:cantSplit/>
          <w:trHeight w:val="0" w:hRule="atLeast"/>
        </w:trPr>
        <w:tc>
          <w:tcPr>
            <w:tcW w:w="9080" w:type="dxa"/>
            <w:noWrap w:val="0"/>
            <w:vAlign w:val="top"/>
          </w:tcPr>
          <w:p w14:paraId="681DFAFF">
            <w:pPr>
              <w:keepNext w:val="0"/>
              <w:keepLines w:val="0"/>
              <w:pageBreakBefore w:val="0"/>
              <w:widowControl w:val="0"/>
              <w:kinsoku/>
              <w:wordWrap/>
              <w:overflowPunct/>
              <w:topLinePunct w:val="0"/>
              <w:autoSpaceDE/>
              <w:autoSpaceDN/>
              <w:bidi w:val="0"/>
              <w:adjustRightInd w:val="0"/>
              <w:snapToGrid w:val="0"/>
              <w:spacing w:line="11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bCs/>
                <w:color w:val="FF0000"/>
                <w:sz w:val="108"/>
                <w:szCs w:val="108"/>
                <w:lang w:eastAsia="zh-CN"/>
              </w:rPr>
            </w:pPr>
            <mc:AlternateContent>
              <mc:Choice Requires="wpsCustomData">
                <wpsCustomData:docfieldStart id="1" docfieldname="标志" hidden="0" print="1" readonly="0" index="2"/>
              </mc:Choice>
            </mc:AlternateContent>
            <w:r>
              <w:rPr>
                <w:rFonts w:hint="eastAsia" w:ascii="方正小标宋简体" w:hAnsi="方正小标宋简体" w:eastAsia="方正小标宋简体" w:cs="方正小标宋简体"/>
                <w:b/>
                <w:bCs/>
                <w:color w:val="FA4006"/>
                <w:w w:val="68"/>
                <w:sz w:val="108"/>
                <w:szCs w:val="108"/>
                <w:lang w:eastAsia="zh-CN"/>
              </w:rPr>
              <w:t>建宁县</w:t>
            </w:r>
            <w:r>
              <w:rPr>
                <w:rFonts w:hint="eastAsia" w:ascii="方正小标宋简体" w:hAnsi="方正小标宋简体" w:eastAsia="方正小标宋简体" w:cs="方正小标宋简体"/>
                <w:b/>
                <w:bCs/>
                <w:color w:val="FA4006"/>
                <w:w w:val="68"/>
                <w:sz w:val="108"/>
                <w:szCs w:val="108"/>
              </w:rPr>
              <w:t>市场监督管理局文件</w:t>
            </w:r>
            <mc:AlternateContent>
              <mc:Choice Requires="wpsCustomData">
                <wpsCustomData:docfieldEnd id="1"/>
              </mc:Choice>
            </mc:AlternateContent>
          </w:p>
        </w:tc>
      </w:tr>
      <w:tr w14:paraId="47FA31CF">
        <w:tblPrEx>
          <w:tblCellMar>
            <w:top w:w="0" w:type="dxa"/>
            <w:left w:w="0" w:type="dxa"/>
            <w:bottom w:w="0" w:type="dxa"/>
            <w:right w:w="0" w:type="dxa"/>
          </w:tblCellMar>
        </w:tblPrEx>
        <w:trPr>
          <w:cantSplit/>
          <w:trHeight w:val="698" w:hRule="exact"/>
        </w:trPr>
        <w:tc>
          <w:tcPr>
            <w:tcW w:w="9080" w:type="dxa"/>
            <w:noWrap w:val="0"/>
            <w:vAlign w:val="center"/>
          </w:tcPr>
          <w:p w14:paraId="6DD5247C">
            <w:pPr>
              <w:keepNext w:val="0"/>
              <w:keepLines w:val="0"/>
              <w:pageBreakBefore w:val="0"/>
              <w:widowControl w:val="0"/>
              <w:kinsoku/>
              <w:overflowPunct/>
              <w:topLinePunct w:val="0"/>
              <w:autoSpaceDE/>
              <w:bidi w:val="0"/>
              <w:spacing w:line="240" w:lineRule="auto"/>
              <w:jc w:val="both"/>
              <w:textAlignment w:val="auto"/>
              <w:outlineLvl w:val="9"/>
              <w:rPr>
                <w:rFonts w:hint="eastAsia" w:ascii="仿宋_GB2312" w:hAnsi="仿宋_GB2312"/>
              </w:rPr>
            </w:pPr>
          </w:p>
        </w:tc>
      </w:tr>
      <w:tr w14:paraId="0CC4D1F1">
        <w:trPr>
          <w:cantSplit/>
          <w:trHeight w:val="485" w:hRule="atLeast"/>
        </w:trPr>
        <w:tc>
          <w:tcPr>
            <w:tcW w:w="9080" w:type="dxa"/>
            <w:tcBorders>
              <w:bottom w:val="nil"/>
            </w:tcBorders>
            <w:noWrap w:val="0"/>
            <w:vAlign w:val="bottom"/>
          </w:tcPr>
          <w:p w14:paraId="7350F20A">
            <w:pPr>
              <w:keepNext w:val="0"/>
              <w:keepLines w:val="0"/>
              <w:pageBreakBefore w:val="0"/>
              <w:widowControl w:val="0"/>
              <w:kinsoku/>
              <w:wordWrap w:val="0"/>
              <w:overflowPunct/>
              <w:topLinePunct w:val="0"/>
              <w:autoSpaceDE/>
              <w:autoSpaceDN/>
              <w:bidi w:val="0"/>
              <w:adjustRightInd/>
              <w:snapToGrid/>
              <w:spacing w:before="0" w:beforeLines="0" w:after="0" w:afterLines="0" w:line="240" w:lineRule="auto"/>
              <w:ind w:left="0" w:leftChars="0" w:right="210" w:rightChars="100" w:firstLine="0" w:firstLineChars="0"/>
              <w:jc w:val="center"/>
              <w:textAlignment w:val="auto"/>
              <w:outlineLvl w:val="9"/>
              <w:rPr>
                <w:rFonts w:hint="eastAsia" w:ascii="楷体" w:hAnsi="楷体" w:eastAsia="楷体" w:cs="楷体"/>
                <w:szCs w:val="32"/>
              </w:rPr>
            </w:pPr>
            <mc:AlternateContent>
              <mc:Choice Requires="wpsCustomData">
                <wpsCustomData:docfieldStart id="2" docfieldname="发文机关代字" hidden="0" print="1" readonly="0" index="3"/>
              </mc:Choice>
            </mc:AlternateContent>
            <w:r>
              <w:rPr>
                <w:rFonts w:hint="eastAsia" w:ascii="仿宋_GB2312" w:hAnsi="仿宋_GB2312" w:eastAsia="仿宋_GB2312" w:cs="仿宋_GB2312"/>
                <w:sz w:val="32"/>
                <w:szCs w:val="32"/>
                <w:lang w:eastAsia="zh-CN"/>
              </w:rPr>
              <w:t>建市监规</w:t>
            </w:r>
            <mc:AlternateContent>
              <mc:Choice Requires="wpsCustomData">
                <wpsCustomData:docfieldEnd id="2"/>
              </mc:Choice>
            </mc:AlternateContent>
            <w:r>
              <w:rPr>
                <w:rFonts w:hint="eastAsia" w:ascii="仿宋_GB2312" w:hAnsi="仿宋_GB2312" w:eastAsia="仿宋_GB2312" w:cs="仿宋_GB2312"/>
                <w:sz w:val="32"/>
                <w:szCs w:val="32"/>
              </w:rPr>
              <w:t>〔</w:t>
            </w:r>
            <mc:AlternateContent>
              <mc:Choice Requires="wpsCustomData">
                <wpsCustomData:docfieldStart id="3" docfieldname="年份" hidden="0" print="1" readonly="0" index="4"/>
              </mc:Choice>
            </mc:AlternateContent>
            <w:r>
              <w:rPr>
                <w:rFonts w:hint="eastAsia" w:ascii="仿宋_GB2312" w:hAnsi="仿宋_GB2312" w:eastAsia="仿宋_GB2312" w:cs="仿宋_GB2312"/>
                <w:sz w:val="32"/>
                <w:szCs w:val="32"/>
                <w:lang w:eastAsia="zh-CN"/>
              </w:rPr>
              <w:t>2026</w:t>
            </w:r>
            <mc:AlternateContent>
              <mc:Choice Requires="wpsCustomData">
                <wpsCustomData:docfieldEnd id="3"/>
              </mc:Choice>
            </mc:AlternateContent>
            <w:r>
              <w:rPr>
                <w:rFonts w:hint="eastAsia" w:ascii="仿宋_GB2312" w:hAnsi="仿宋_GB2312" w:eastAsia="仿宋_GB2312" w:cs="仿宋_GB2312"/>
                <w:sz w:val="32"/>
                <w:szCs w:val="32"/>
              </w:rPr>
              <w:t>〕</w:t>
            </w:r>
            <mc:AlternateContent>
              <mc:Choice Requires="wpsCustomData">
                <wpsCustomData:docfieldStart id="4" docfieldname="发文顺序号" hidden="0" print="1" readonly="0" index="5"/>
              </mc:Choice>
            </mc:AlternateContent>
            <w:r>
              <w:rPr>
                <w:rFonts w:hint="eastAsia" w:ascii="仿宋_GB2312" w:hAnsi="仿宋_GB2312" w:eastAsia="仿宋_GB2312" w:cs="仿宋_GB2312"/>
                <w:sz w:val="32"/>
                <w:szCs w:val="32"/>
                <w:lang w:val="en-US" w:eastAsia="zh-CN"/>
              </w:rPr>
              <w:t>1</w:t>
            </w:r>
            <mc:AlternateContent>
              <mc:Choice Requires="wpsCustomData">
                <wpsCustomData:docfieldEnd id="4"/>
              </mc:Choice>
            </mc:AlternateContent>
            <w:r>
              <w:rPr>
                <w:rFonts w:hint="eastAsia" w:ascii="仿宋_GB2312" w:hAnsi="仿宋_GB2312" w:eastAsia="仿宋_GB2312" w:cs="仿宋_GB2312"/>
                <w:sz w:val="32"/>
                <w:szCs w:val="32"/>
              </w:rPr>
              <w:t>号</w:t>
            </w:r>
          </w:p>
        </w:tc>
      </w:tr>
      <w:tr w14:paraId="0605F03C">
        <w:tblPrEx>
          <w:tblCellMar>
            <w:top w:w="0" w:type="dxa"/>
            <w:left w:w="0" w:type="dxa"/>
            <w:bottom w:w="0" w:type="dxa"/>
            <w:right w:w="0" w:type="dxa"/>
          </w:tblCellMar>
        </w:tblPrEx>
        <w:trPr>
          <w:cantSplit/>
          <w:trHeight w:val="90" w:hRule="exact"/>
        </w:trPr>
        <w:tc>
          <w:tcPr>
            <w:tcW w:w="9080" w:type="dxa"/>
            <w:tcBorders>
              <w:top w:val="nil"/>
              <w:left w:val="nil"/>
              <w:bottom w:val="single" w:color="FF0000" w:sz="18" w:space="0"/>
              <w:right w:val="nil"/>
            </w:tcBorders>
            <w:noWrap w:val="0"/>
            <w:vAlign w:val="center"/>
          </w:tcPr>
          <w:p w14:paraId="28ACE443">
            <w:pPr>
              <w:keepNext w:val="0"/>
              <w:keepLines w:val="0"/>
              <w:pageBreakBefore w:val="0"/>
              <w:widowControl w:val="0"/>
              <w:kinsoku/>
              <w:overflowPunct/>
              <w:topLinePunct w:val="0"/>
              <w:autoSpaceDE/>
              <w:bidi w:val="0"/>
              <w:spacing w:line="240" w:lineRule="auto"/>
              <w:jc w:val="center"/>
              <w:textAlignment w:val="auto"/>
              <w:outlineLvl w:val="9"/>
              <w:rPr>
                <w:rFonts w:hint="eastAsia" w:ascii="方正仿宋_GBK" w:hAnsi="方正仿宋_GBK"/>
                <w:b/>
                <w:sz w:val="21"/>
              </w:rPr>
            </w:pPr>
          </w:p>
        </w:tc>
      </w:tr>
      <w:tr w14:paraId="0392E46F">
        <w:tblPrEx>
          <w:tblCellMar>
            <w:top w:w="0" w:type="dxa"/>
            <w:left w:w="0" w:type="dxa"/>
            <w:bottom w:w="0" w:type="dxa"/>
            <w:right w:w="0" w:type="dxa"/>
          </w:tblCellMar>
        </w:tblPrEx>
        <w:trPr>
          <w:cantSplit/>
          <w:trHeight w:val="567" w:hRule="exact"/>
        </w:trPr>
        <w:tc>
          <w:tcPr>
            <w:tcW w:w="9080" w:type="dxa"/>
            <w:tcBorders>
              <w:top w:val="single" w:color="FF0000" w:sz="18" w:space="0"/>
            </w:tcBorders>
            <w:noWrap w:val="0"/>
            <w:vAlign w:val="center"/>
          </w:tcPr>
          <w:p w14:paraId="58FF3B3C">
            <w:pPr>
              <w:keepNext w:val="0"/>
              <w:keepLines w:val="0"/>
              <w:pageBreakBefore w:val="0"/>
              <w:widowControl w:val="0"/>
              <w:tabs>
                <w:tab w:val="left" w:pos="3808"/>
              </w:tabs>
              <w:kinsoku/>
              <w:overflowPunct/>
              <w:topLinePunct w:val="0"/>
              <w:autoSpaceDE/>
              <w:bidi w:val="0"/>
              <w:spacing w:line="240" w:lineRule="auto"/>
              <w:jc w:val="both"/>
              <w:textAlignment w:val="auto"/>
              <w:outlineLvl w:val="9"/>
              <w:rPr>
                <w:rFonts w:hint="eastAsia" w:ascii="仿宋_GB2312" w:hAnsi="仿宋_GB2312"/>
                <w:bCs/>
              </w:rPr>
            </w:pPr>
          </w:p>
        </w:tc>
      </w:tr>
      <w:tr w14:paraId="5CA64ABF">
        <w:tblPrEx>
          <w:tblCellMar>
            <w:top w:w="0" w:type="dxa"/>
            <w:left w:w="0" w:type="dxa"/>
            <w:bottom w:w="0" w:type="dxa"/>
            <w:right w:w="0" w:type="dxa"/>
          </w:tblCellMar>
        </w:tblPrEx>
        <w:trPr>
          <w:cantSplit/>
          <w:trHeight w:val="815" w:hRule="atLeast"/>
        </w:trPr>
        <w:tc>
          <w:tcPr>
            <w:tcW w:w="9080" w:type="dxa"/>
            <w:noWrap w:val="0"/>
            <w:vAlign w:val="center"/>
          </w:tcPr>
          <w:p w14:paraId="6AC284ED">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方正小标宋简体" w:hAnsi="方正小标宋简体" w:eastAsia="方正小标宋简体" w:cs="方正小标宋简体"/>
                <w:sz w:val="44"/>
                <w:szCs w:val="44"/>
                <w:lang w:eastAsia="zh-CN"/>
              </w:rPr>
            </w:pPr>
            <mc:AlternateContent>
              <mc:Choice Requires="wpsCustomData">
                <wpsCustomData:docfieldStart id="5" docfieldname="标题" hidden="0" print="1" readonly="0" index="6"/>
              </mc:Choice>
            </mc:AlternateContent>
            <w:r>
              <w:rPr>
                <w:rFonts w:hint="eastAsia" w:ascii="方正小标宋简体" w:hAnsi="方正小标宋简体" w:eastAsia="方正小标宋简体" w:cs="方正小标宋简体"/>
                <w:sz w:val="44"/>
                <w:szCs w:val="44"/>
                <w:lang w:eastAsia="zh-CN"/>
              </w:rPr>
              <w:t>建宁县市场监督管理局关于印发《</w:t>
            </w:r>
            <w:r>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t>建宁县</w:t>
            </w:r>
            <w:r>
              <w:rPr>
                <w:rFonts w:hint="eastAsia" w:ascii="方正小标宋简体" w:hAnsi="方正小标宋简体" w:eastAsia="方正小标宋简体" w:cs="方正小标宋简体"/>
                <w:i w:val="0"/>
                <w:iCs w:val="0"/>
                <w:caps w:val="0"/>
                <w:color w:val="333333"/>
                <w:spacing w:val="0"/>
                <w:sz w:val="44"/>
                <w:szCs w:val="44"/>
                <w:shd w:val="clear" w:fill="FFFFFF"/>
              </w:rPr>
              <w:t>市场监督管理局行政执法行为规范（试行）</w:t>
            </w:r>
            <w:r>
              <w:rPr>
                <w:rFonts w:hint="eastAsia" w:ascii="方正小标宋简体" w:hAnsi="方正小标宋简体" w:eastAsia="方正小标宋简体" w:cs="方正小标宋简体"/>
                <w:sz w:val="44"/>
                <w:szCs w:val="44"/>
                <w:lang w:eastAsia="zh-CN"/>
              </w:rPr>
              <w:t>》的通知</w:t>
            </w:r>
            <mc:AlternateContent>
              <mc:Choice Requires="wpsCustomData">
                <wpsCustomData:docfieldEnd id="5"/>
              </mc:Choice>
            </mc:AlternateContent>
          </w:p>
        </w:tc>
      </w:tr>
    </w:tbl>
    <w:p w14:paraId="304F29B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宋体" w:hAnsi="宋体" w:eastAsia="方正小标宋简体" w:cs="方正小标宋简体"/>
          <w:color w:val="000000" w:themeColor="text1"/>
          <w:sz w:val="44"/>
          <w:szCs w:val="44"/>
          <w:lang w:val="en-US" w:eastAsia="zh-CN"/>
          <w14:textFill>
            <w14:solidFill>
              <w14:schemeClr w14:val="tx1"/>
            </w14:solidFill>
          </w14:textFill>
        </w:rPr>
      </w:pPr>
    </w:p>
    <w:p w14:paraId="2AA1524C">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Style w:val="12"/>
          <w:rFonts w:hint="eastAsia" w:ascii="宋体" w:hAnsi="宋体"/>
          <w:kern w:val="0"/>
          <w:sz w:val="32"/>
          <w:szCs w:val="32"/>
          <w:highlight w:val="none"/>
          <w:lang w:val="en-US" w:eastAsia="zh-CN" w:bidi="ar"/>
        </w:rPr>
      </w:pPr>
      <w:r>
        <w:rPr>
          <w:rStyle w:val="12"/>
          <w:rFonts w:hint="eastAsia" w:ascii="宋体" w:hAnsi="宋体"/>
          <w:kern w:val="0"/>
          <w:sz w:val="32"/>
          <w:szCs w:val="32"/>
          <w:highlight w:val="none"/>
          <w:lang w:val="en-US" w:eastAsia="zh-CN" w:bidi="ar"/>
        </w:rPr>
        <w:t>各市场监督管理所，县局</w:t>
      </w:r>
      <w:r>
        <w:rPr>
          <w:rFonts w:hint="eastAsia" w:ascii="仿宋_GB2312" w:hAnsi="仿宋_GB2312" w:eastAsia="仿宋_GB2312" w:cs="仿宋_GB2312"/>
          <w:color w:val="000000" w:themeColor="text1"/>
          <w:sz w:val="32"/>
          <w:szCs w:val="32"/>
          <w:lang w:eastAsia="zh-CN"/>
          <w14:textFill>
            <w14:solidFill>
              <w14:schemeClr w14:val="tx1"/>
            </w14:solidFill>
          </w14:textFill>
        </w:rPr>
        <w:t>各股室、直属各单位</w:t>
      </w:r>
      <w:r>
        <w:rPr>
          <w:rStyle w:val="12"/>
          <w:rFonts w:hint="eastAsia" w:ascii="宋体" w:hAnsi="宋体"/>
          <w:kern w:val="0"/>
          <w:sz w:val="32"/>
          <w:szCs w:val="32"/>
          <w:highlight w:val="none"/>
          <w:lang w:val="en-US" w:eastAsia="zh-CN" w:bidi="ar"/>
        </w:rPr>
        <w:t>：</w:t>
      </w:r>
    </w:p>
    <w:p w14:paraId="69AF6C9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现将《建宁县市场监督管理局行政执法行为规范（试行）》印发给你们，</w:t>
      </w:r>
      <w:r>
        <w:rPr>
          <w:rFonts w:hint="eastAsia" w:ascii="仿宋_GB2312" w:hAnsi="仿宋_GB2312" w:eastAsia="仿宋_GB2312" w:cs="仿宋_GB2312"/>
          <w:sz w:val="32"/>
          <w:szCs w:val="32"/>
        </w:rPr>
        <w:t>请认真贯彻执行</w:t>
      </w:r>
      <w:r>
        <w:rPr>
          <w:rFonts w:hint="eastAsia" w:ascii="仿宋_GB2312" w:hAnsi="仿宋_GB2312" w:eastAsia="仿宋_GB2312" w:cs="仿宋_GB2312"/>
          <w:sz w:val="32"/>
          <w:szCs w:val="32"/>
          <w:lang w:val="en-US" w:eastAsia="zh-CN"/>
        </w:rPr>
        <w:t>。</w:t>
      </w:r>
    </w:p>
    <w:p w14:paraId="1BE77817">
      <w:pPr>
        <w:keepNext w:val="0"/>
        <w:keepLines w:val="0"/>
        <w:pageBreakBefore w:val="0"/>
        <w:widowControl w:val="0"/>
        <w:kinsoku/>
        <w:wordWrap/>
        <w:overflowPunct/>
        <w:topLinePunct w:val="0"/>
        <w:autoSpaceDE/>
        <w:autoSpaceDN/>
        <w:bidi w:val="0"/>
        <w:adjustRightInd/>
        <w:snapToGrid/>
        <w:spacing w:line="560" w:lineRule="exact"/>
        <w:ind w:left="0" w:leftChars="0" w:firstLine="3520" w:firstLineChars="1100"/>
        <w:textAlignment w:val="auto"/>
        <w:outlineLvl w:val="9"/>
        <w:rPr>
          <w:rFonts w:hint="eastAsia" w:ascii="仿宋_GB2312" w:hAnsi="仿宋_GB2312" w:eastAsia="仿宋_GB2312" w:cs="仿宋_GB2312"/>
          <w:sz w:val="32"/>
          <w:szCs w:val="32"/>
          <w:lang w:val="en-US" w:eastAsia="zh-CN"/>
        </w:rPr>
      </w:pPr>
    </w:p>
    <w:p w14:paraId="282A6F8E">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w:t>
      </w:r>
    </w:p>
    <w:p w14:paraId="22C7B1A8">
      <w:pPr>
        <w:pStyle w:val="11"/>
        <w:keepNext w:val="0"/>
        <w:keepLines w:val="0"/>
        <w:pageBreakBefore w:val="0"/>
        <w:widowControl w:val="0"/>
        <w:kinsoku/>
        <w:wordWrap/>
        <w:overflowPunct/>
        <w:topLinePunct w:val="0"/>
        <w:autoSpaceDE/>
        <w:autoSpaceDN/>
        <w:bidi w:val="0"/>
        <w:spacing w:line="560" w:lineRule="exact"/>
        <w:ind w:left="0" w:leftChars="0"/>
        <w:textAlignment w:val="auto"/>
        <w:rPr>
          <w:rStyle w:val="12"/>
          <w:rFonts w:hint="eastAsia" w:cs="仿宋_GB2312"/>
          <w:szCs w:val="32"/>
          <w:lang w:eastAsia="zh-CN"/>
        </w:rPr>
      </w:pPr>
    </w:p>
    <w:p w14:paraId="6AFA0218">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建宁县市场监督管理局</w:t>
      </w:r>
      <w:r>
        <w:rPr>
          <w:rFonts w:hint="eastAsia" w:ascii="仿宋_GB2312" w:hAnsi="仿宋_GB2312" w:cs="仿宋_GB2312"/>
          <w:sz w:val="32"/>
          <w:szCs w:val="32"/>
          <w:lang w:val="en-US" w:eastAsia="zh-CN"/>
        </w:rPr>
        <w:t xml:space="preserve">   </w:t>
      </w:r>
    </w:p>
    <w:p w14:paraId="712EB178">
      <w:pPr>
        <w:pStyle w:val="11"/>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2026年9月15日</w:t>
      </w:r>
      <w:r>
        <w:rPr>
          <w:rFonts w:hint="eastAsia" w:ascii="仿宋_GB2312" w:hAnsi="仿宋_GB2312" w:cs="仿宋_GB2312"/>
          <w:sz w:val="32"/>
          <w:szCs w:val="32"/>
          <w:lang w:val="en-US" w:eastAsia="zh-CN"/>
        </w:rPr>
        <w:t xml:space="preserve"> </w:t>
      </w:r>
    </w:p>
    <w:p w14:paraId="4A8B2A53">
      <w:pPr>
        <w:pStyle w:val="11"/>
        <w:keepNext w:val="0"/>
        <w:keepLines w:val="0"/>
        <w:pageBreakBefore w:val="0"/>
        <w:widowControl w:val="0"/>
        <w:kinsoku/>
        <w:wordWrap/>
        <w:overflowPunct/>
        <w:topLinePunct w:val="0"/>
        <w:autoSpaceDE/>
        <w:autoSpaceDN/>
        <w:bidi w:val="0"/>
        <w:spacing w:line="560" w:lineRule="exact"/>
        <w:ind w:left="0" w:leftChars="0"/>
        <w:textAlignment w:val="auto"/>
        <w:rPr>
          <w:rFonts w:hint="eastAsia" w:ascii="方正小标宋简体" w:hAnsi="方正小标宋简体" w:eastAsia="方正小标宋简体" w:cs="方正小标宋简体"/>
          <w:b w:val="0"/>
          <w:bCs/>
          <w:spacing w:val="0"/>
          <w:kern w:val="0"/>
          <w:sz w:val="44"/>
          <w:szCs w:val="44"/>
          <w:lang w:val="en-US" w:eastAsia="zh-CN"/>
        </w:rPr>
      </w:pPr>
    </w:p>
    <w:p w14:paraId="0E7833E5">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(此件主动公开)</w:t>
      </w:r>
    </w:p>
    <w:p w14:paraId="5CC24F1E">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jc w:val="right"/>
        <w:textAlignment w:val="auto"/>
        <w:rPr>
          <w:rFonts w:hint="eastAsia" w:ascii="方正小标宋简体" w:hAnsi="方正小标宋简体" w:eastAsia="方正小标宋简体" w:cs="方正小标宋简体"/>
          <w:b w:val="0"/>
          <w:bCs/>
          <w:spacing w:val="0"/>
          <w:kern w:val="0"/>
          <w:sz w:val="44"/>
          <w:szCs w:val="44"/>
          <w:lang w:val="en-US" w:eastAsia="zh-CN"/>
        </w:rPr>
        <w:sectPr>
          <w:footerReference r:id="rId3" w:type="default"/>
          <w:pgSz w:w="11906" w:h="16838"/>
          <w:pgMar w:top="1417" w:right="1417" w:bottom="1417" w:left="1417" w:header="851" w:footer="992" w:gutter="0"/>
          <w:pgNumType w:fmt="decimal"/>
          <w:cols w:space="425" w:num="1"/>
          <w:docGrid w:type="lines" w:linePitch="312" w:charSpace="0"/>
        </w:sectPr>
      </w:pPr>
    </w:p>
    <w:p w14:paraId="03235D5D">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t>建宁县</w:t>
      </w:r>
      <w:r>
        <w:rPr>
          <w:rFonts w:hint="eastAsia" w:ascii="方正小标宋简体" w:hAnsi="方正小标宋简体" w:eastAsia="方正小标宋简体" w:cs="方正小标宋简体"/>
          <w:i w:val="0"/>
          <w:iCs w:val="0"/>
          <w:caps w:val="0"/>
          <w:color w:val="333333"/>
          <w:spacing w:val="0"/>
          <w:sz w:val="44"/>
          <w:szCs w:val="44"/>
          <w:shd w:val="clear" w:fill="FFFFFF"/>
        </w:rPr>
        <w:t>市场监督管理局行政执法行为规范（试行）</w:t>
      </w:r>
      <w:r>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t xml:space="preserve">  </w:t>
      </w:r>
    </w:p>
    <w:p w14:paraId="57EEFA4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jc w:val="both"/>
        <w:textAlignment w:val="auto"/>
        <w:rPr>
          <w:rFonts w:hint="eastAsia" w:ascii="仿宋_GB2312" w:hAnsi="仿宋_GB2312" w:eastAsia="仿宋_GB2312" w:cs="仿宋_GB2312"/>
          <w:i w:val="0"/>
          <w:iCs w:val="0"/>
          <w:caps w:val="0"/>
          <w:color w:val="333333"/>
          <w:spacing w:val="0"/>
          <w:sz w:val="32"/>
          <w:szCs w:val="32"/>
          <w:shd w:val="clear" w:fill="FFFFFF"/>
        </w:rPr>
      </w:pPr>
    </w:p>
    <w:p w14:paraId="1A684A7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第一条</w:t>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sz w:val="32"/>
          <w:szCs w:val="32"/>
        </w:rPr>
        <w:t>为全面加强市场监管执法队伍规范化建设，严格规范行政执法行为，深入推进严格规范公正文明执法，树立廉洁高效、为民务实的市场监管执法形象，维护行政执法公信力与法定权威，依法保护公民、法人和其他组织合法权益。 依据《中华人民共和国行政处罚法》《中华人民共和国行政强制法》《中华人民共和国行政许可法》《中华人民共和国公务员法》</w:t>
      </w:r>
      <w:r>
        <w:rPr>
          <w:rFonts w:hint="eastAsia" w:ascii="仿宋_GB2312" w:hAnsi="仿宋_GB2312" w:eastAsia="仿宋_GB2312" w:cs="仿宋_GB2312"/>
          <w:color w:val="auto"/>
          <w:sz w:val="32"/>
          <w:szCs w:val="32"/>
          <w:u w:val="none"/>
          <w:lang w:eastAsia="zh-CN"/>
        </w:rPr>
        <w:t>以及司法部发布的</w:t>
      </w:r>
      <w:r>
        <w:rPr>
          <w:rFonts w:hint="eastAsia" w:ascii="仿宋_GB2312" w:hAnsi="仿宋_GB2312" w:eastAsia="仿宋_GB2312" w:cs="仿宋_GB2312"/>
          <w:color w:val="auto"/>
          <w:sz w:val="32"/>
          <w:szCs w:val="32"/>
          <w:lang w:val="en-US" w:eastAsia="zh-CN"/>
        </w:rPr>
        <w:t>《行政执法人员行为准则》</w:t>
      </w:r>
      <w:r>
        <w:rPr>
          <w:rFonts w:hint="eastAsia" w:ascii="仿宋_GB2312" w:hAnsi="仿宋_GB2312" w:eastAsia="仿宋_GB2312" w:cs="仿宋_GB2312"/>
          <w:color w:val="auto"/>
          <w:sz w:val="32"/>
          <w:szCs w:val="32"/>
          <w:u w:val="none"/>
          <w:lang w:val="en-US" w:eastAsia="zh-CN"/>
        </w:rPr>
        <w:t>、市场监管总局印发的</w:t>
      </w:r>
      <w:r>
        <w:rPr>
          <w:rFonts w:hint="eastAsia" w:ascii="仿宋_GB2312" w:hAnsi="仿宋_GB2312" w:eastAsia="仿宋_GB2312" w:cs="仿宋_GB2312"/>
          <w:color w:val="auto"/>
          <w:sz w:val="32"/>
          <w:szCs w:val="32"/>
          <w:lang w:val="en-US" w:eastAsia="zh-CN"/>
        </w:rPr>
        <w:t>《市场监管执法行为规范》</w:t>
      </w:r>
      <w:r>
        <w:rPr>
          <w:rFonts w:hint="eastAsia" w:ascii="仿宋_GB2312" w:hAnsi="仿宋_GB2312" w:eastAsia="仿宋_GB2312" w:cs="仿宋_GB2312"/>
          <w:color w:val="auto"/>
          <w:sz w:val="32"/>
          <w:szCs w:val="32"/>
        </w:rPr>
        <w:t>等法律法规</w:t>
      </w:r>
      <w:r>
        <w:rPr>
          <w:rFonts w:hint="eastAsia" w:ascii="仿宋_GB2312" w:hAnsi="仿宋_GB2312" w:eastAsia="仿宋_GB2312" w:cs="仿宋_GB2312"/>
          <w:color w:val="auto"/>
          <w:sz w:val="32"/>
          <w:szCs w:val="32"/>
          <w:u w:val="none"/>
          <w:lang w:eastAsia="zh-CN"/>
        </w:rPr>
        <w:t>、文件规定</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结合我县市场监管工作实际，制定本规范。</w:t>
      </w:r>
    </w:p>
    <w:p w14:paraId="629EC209">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第二条</w:t>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sz w:val="32"/>
          <w:szCs w:val="32"/>
        </w:rPr>
        <w:t>本局所有取得行政执法证件的执法人员，开展行政许可核查、日常行政检查、案件调查取证、行政处罚、行政强制、投诉举报处置等全部行政执法活动，适用本规范。</w:t>
      </w:r>
      <w:r>
        <w:rPr>
          <w:rFonts w:hint="eastAsia" w:ascii="仿宋_GB2312" w:hAnsi="仿宋_GB2312" w:eastAsia="仿宋_GB2312" w:cs="仿宋_GB2312"/>
          <w:i w:val="0"/>
          <w:iCs w:val="0"/>
          <w:caps w:val="0"/>
          <w:color w:val="333333"/>
          <w:spacing w:val="0"/>
          <w:sz w:val="32"/>
          <w:szCs w:val="32"/>
          <w:shd w:val="clear" w:fill="FFFFFF"/>
        </w:rPr>
        <w:t>严禁第三方服务机构、辅助人员、网格员、临时工等</w:t>
      </w:r>
      <w:r>
        <w:rPr>
          <w:rFonts w:hint="eastAsia" w:ascii="仿宋_GB2312" w:hAnsi="仿宋_GB2312" w:eastAsia="仿宋_GB2312" w:cs="仿宋_GB2312"/>
          <w:i w:val="0"/>
          <w:iCs w:val="0"/>
          <w:caps w:val="0"/>
          <w:color w:val="333333"/>
          <w:spacing w:val="0"/>
          <w:sz w:val="32"/>
          <w:szCs w:val="32"/>
          <w:shd w:val="clear" w:fill="FFFFFF"/>
          <w:lang w:val="en-US" w:eastAsia="zh-CN"/>
        </w:rPr>
        <w:t>人员</w:t>
      </w:r>
      <w:r>
        <w:rPr>
          <w:rFonts w:hint="eastAsia" w:ascii="仿宋_GB2312" w:hAnsi="仿宋_GB2312" w:eastAsia="仿宋_GB2312" w:cs="仿宋_GB2312"/>
          <w:sz w:val="32"/>
          <w:szCs w:val="32"/>
        </w:rPr>
        <w:t>不得独立开展任何行政执法活动，仅可在持证执法人员全程陪同下从事资料整理、现场记录等辅助工作。</w:t>
      </w:r>
    </w:p>
    <w:p w14:paraId="6C7AC9F6">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第三条</w:t>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sz w:val="32"/>
          <w:szCs w:val="32"/>
        </w:rPr>
        <w:t>行政执法工作坚持以习近平新时代中国特色社会主义思想为指导，全面贯彻习近平法治思想，牢牢坚持党的全面领导，牢固树立执法为民理念，严格恪守依法行政底线，持续强化廉洁自律，统筹推进法理情统一，实现政治效果、法律效果、社会效果有机统一。</w:t>
      </w:r>
    </w:p>
    <w:p w14:paraId="3D1B73AF">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第四条</w:t>
      </w:r>
      <w:r>
        <w:rPr>
          <w:rFonts w:hint="eastAsia" w:ascii="仿宋_GB2312" w:hAnsi="仿宋_GB2312" w:eastAsia="仿宋_GB2312" w:cs="仿宋_GB2312"/>
          <w:i w:val="0"/>
          <w:iCs w:val="0"/>
          <w:caps w:val="0"/>
          <w:color w:val="333333"/>
          <w:spacing w:val="0"/>
          <w:sz w:val="32"/>
          <w:szCs w:val="32"/>
          <w:shd w:val="clear" w:fill="FFFFFF"/>
        </w:rPr>
        <w:t>　市场监管执法应当遵循职权法定、公正公开、程序正当、高效便民、权责统一的原则。</w:t>
      </w:r>
    </w:p>
    <w:p w14:paraId="205DBC40">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第五条</w:t>
      </w:r>
      <w:r>
        <w:rPr>
          <w:rFonts w:hint="eastAsia" w:ascii="仿宋_GB2312" w:hAnsi="仿宋_GB2312" w:eastAsia="仿宋_GB2312" w:cs="仿宋_GB2312"/>
          <w:i w:val="0"/>
          <w:iCs w:val="0"/>
          <w:caps w:val="0"/>
          <w:color w:val="333333"/>
          <w:spacing w:val="0"/>
          <w:sz w:val="32"/>
          <w:szCs w:val="32"/>
          <w:shd w:val="clear" w:fill="FFFFFF"/>
        </w:rPr>
        <w:t>　县局建立健全行政执法人员依法履职保护机制，保障正常行政执法活动不受干扰，维护执法权威性，为执法人员依法履职创造良好环境。</w:t>
      </w:r>
    </w:p>
    <w:p w14:paraId="542AC041">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center"/>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第二章　基本规范</w:t>
      </w:r>
    </w:p>
    <w:p w14:paraId="0F4A78D9">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w:t>
      </w:r>
      <w:r>
        <w:rPr>
          <w:rStyle w:val="10"/>
          <w:rFonts w:hint="eastAsia" w:ascii="仿宋_GB2312" w:hAnsi="仿宋_GB2312" w:eastAsia="仿宋_GB2312" w:cs="仿宋_GB2312"/>
          <w:i w:val="0"/>
          <w:iCs w:val="0"/>
          <w:caps w:val="0"/>
          <w:color w:val="333333"/>
          <w:spacing w:val="0"/>
          <w:sz w:val="32"/>
          <w:szCs w:val="32"/>
          <w:shd w:val="clear" w:fill="FFFFFF"/>
          <w:lang w:eastAsia="zh-CN"/>
        </w:rPr>
        <w:t>六</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行政执法人员应当具备从事市场监管执法必要的法律知识和专业技能，经考试合格依法取得行政执法证件后方可上岗执法。未取得行政执法证件的人员不得从事行政执法活动。</w:t>
      </w:r>
    </w:p>
    <w:p w14:paraId="33424CB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w:t>
      </w:r>
      <w:r>
        <w:rPr>
          <w:rStyle w:val="10"/>
          <w:rFonts w:hint="eastAsia" w:ascii="仿宋_GB2312" w:hAnsi="仿宋_GB2312" w:eastAsia="仿宋_GB2312" w:cs="仿宋_GB2312"/>
          <w:i w:val="0"/>
          <w:iCs w:val="0"/>
          <w:caps w:val="0"/>
          <w:color w:val="333333"/>
          <w:spacing w:val="0"/>
          <w:sz w:val="32"/>
          <w:szCs w:val="32"/>
          <w:shd w:val="clear" w:fill="FFFFFF"/>
          <w:lang w:eastAsia="zh-CN"/>
        </w:rPr>
        <w:t>七</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开展行政执法活动时，执法人员应当主动出示执法证件表明身份，执法人员不得少于两人，法律另有规定的除外。</w:t>
      </w:r>
    </w:p>
    <w:p w14:paraId="0997C26E">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w:t>
      </w:r>
      <w:r>
        <w:rPr>
          <w:rStyle w:val="10"/>
          <w:rFonts w:hint="eastAsia" w:ascii="仿宋_GB2312" w:hAnsi="仿宋_GB2312" w:eastAsia="仿宋_GB2312" w:cs="仿宋_GB2312"/>
          <w:i w:val="0"/>
          <w:iCs w:val="0"/>
          <w:caps w:val="0"/>
          <w:color w:val="333333"/>
          <w:spacing w:val="0"/>
          <w:sz w:val="32"/>
          <w:szCs w:val="32"/>
          <w:shd w:val="clear" w:fill="FFFFFF"/>
          <w:lang w:eastAsia="zh-CN"/>
        </w:rPr>
        <w:t>八</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行政执法人员应当严格遵循职权法定原则，按照法定职权范围实施执法行为，严禁无权执法、越权执法、无证执法、借证执法。严禁第三方服务机构、辅助人员、网格员、临时工等人员执法。</w:t>
      </w:r>
    </w:p>
    <w:p w14:paraId="656921F1">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w:t>
      </w:r>
      <w:r>
        <w:rPr>
          <w:rStyle w:val="10"/>
          <w:rFonts w:hint="eastAsia" w:ascii="仿宋_GB2312" w:hAnsi="仿宋_GB2312" w:eastAsia="仿宋_GB2312" w:cs="仿宋_GB2312"/>
          <w:i w:val="0"/>
          <w:iCs w:val="0"/>
          <w:caps w:val="0"/>
          <w:color w:val="333333"/>
          <w:spacing w:val="0"/>
          <w:sz w:val="32"/>
          <w:szCs w:val="32"/>
          <w:shd w:val="clear" w:fill="FFFFFF"/>
          <w:lang w:eastAsia="zh-CN"/>
        </w:rPr>
        <w:t>九</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行政执法人员应当严格做到积极履行法定职责。该严则严，当宽则宽，确保执法到位。严禁不作为、慢作为。严禁该查不查、有案不立、压案不办、超期办案、拖延执行。</w:t>
      </w:r>
    </w:p>
    <w:p w14:paraId="5A66E3D7">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第十条</w:t>
      </w:r>
      <w:r>
        <w:rPr>
          <w:rFonts w:hint="eastAsia" w:ascii="仿宋_GB2312" w:hAnsi="仿宋_GB2312" w:eastAsia="仿宋_GB2312" w:cs="仿宋_GB2312"/>
          <w:i w:val="0"/>
          <w:iCs w:val="0"/>
          <w:caps w:val="0"/>
          <w:color w:val="333333"/>
          <w:spacing w:val="0"/>
          <w:sz w:val="32"/>
          <w:szCs w:val="32"/>
          <w:shd w:val="clear" w:fill="FFFFFF"/>
        </w:rPr>
        <w:t>　行政执法人员应当严格按照法律规定和客观事实执法。严禁乱收费、乱罚款、乱检查、乱查封。严禁违规异地执法和趋利性执法。严禁下达或变相下达罚没指标。严禁截留、坐收坐支、私分或变相私分、占用、挪用所收取的费用或罚没财物。</w:t>
      </w:r>
    </w:p>
    <w:p w14:paraId="107B62FC">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第十</w:t>
      </w:r>
      <w:r>
        <w:rPr>
          <w:rStyle w:val="10"/>
          <w:rFonts w:hint="eastAsia" w:ascii="仿宋_GB2312" w:hAnsi="仿宋_GB2312" w:eastAsia="仿宋_GB2312" w:cs="仿宋_GB2312"/>
          <w:i w:val="0"/>
          <w:iCs w:val="0"/>
          <w:caps w:val="0"/>
          <w:color w:val="333333"/>
          <w:spacing w:val="0"/>
          <w:sz w:val="32"/>
          <w:szCs w:val="32"/>
          <w:shd w:val="clear" w:fill="FFFFFF"/>
          <w:lang w:eastAsia="zh-CN"/>
        </w:rPr>
        <w:t>一</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遵守法定程序。全面落实行政执法公示制度、执法全过程记录制度、重大执法决定法制审核制度，依法保障当事人和利害关系人的合法权益。严禁损害当事人的知情权、参与权、陈述权、申辩权、听证权、申请回避权、获得救济和依法获得国家赔偿等权益。</w:t>
      </w:r>
    </w:p>
    <w:p w14:paraId="13BEEBBC">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第十</w:t>
      </w:r>
      <w:r>
        <w:rPr>
          <w:rStyle w:val="10"/>
          <w:rFonts w:hint="eastAsia" w:ascii="仿宋_GB2312" w:hAnsi="仿宋_GB2312" w:eastAsia="仿宋_GB2312" w:cs="仿宋_GB2312"/>
          <w:i w:val="0"/>
          <w:iCs w:val="0"/>
          <w:caps w:val="0"/>
          <w:color w:val="333333"/>
          <w:spacing w:val="0"/>
          <w:sz w:val="32"/>
          <w:szCs w:val="32"/>
          <w:shd w:val="clear" w:fill="FFFFFF"/>
          <w:lang w:eastAsia="zh-CN"/>
        </w:rPr>
        <w:t>二</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做到公正执法。坚持平等对待当事人。行使行政裁量权应当符合法律目的，排除不相关因素的干扰，所采取的措施和手段应当必要、适当，应当尽可能避免采用损害当事人权益的方式。严禁刻意差别对待当事人。严禁选择性执法、任性执法。严禁机械适用行政裁量权基准。严禁过度执法、“一刀切”执法。</w:t>
      </w:r>
    </w:p>
    <w:p w14:paraId="3B6C7D28">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第十</w:t>
      </w:r>
      <w:r>
        <w:rPr>
          <w:rStyle w:val="10"/>
          <w:rFonts w:hint="eastAsia" w:ascii="仿宋_GB2312" w:hAnsi="仿宋_GB2312" w:eastAsia="仿宋_GB2312" w:cs="仿宋_GB2312"/>
          <w:i w:val="0"/>
          <w:iCs w:val="0"/>
          <w:caps w:val="0"/>
          <w:color w:val="333333"/>
          <w:spacing w:val="0"/>
          <w:sz w:val="32"/>
          <w:szCs w:val="32"/>
          <w:shd w:val="clear" w:fill="FFFFFF"/>
          <w:lang w:eastAsia="zh-CN"/>
        </w:rPr>
        <w:t>三</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做到执法与服务相结合。坚持精准执法，加强跟进帮扶指导，综合运用各种管理手段，更多采用说服教育、劝导示范、指导约谈、信息披露等方式。落实“谁执法谁普法”普法责任制，加强释法说理，认真倾听、耐心解答当事人的疑问。严禁干扰企业的正常生产经营活动。严禁漠视企业和群众的合理诉求与实际困难。严禁简单傲慢、避重就轻回应社会关切。</w:t>
      </w:r>
    </w:p>
    <w:p w14:paraId="4B81FFB9">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center"/>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第三章　作风纪律规范</w:t>
      </w:r>
    </w:p>
    <w:p w14:paraId="23C615EA">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第十</w:t>
      </w:r>
      <w:r>
        <w:rPr>
          <w:rStyle w:val="10"/>
          <w:rFonts w:hint="eastAsia" w:ascii="仿宋_GB2312" w:hAnsi="仿宋_GB2312" w:eastAsia="仿宋_GB2312" w:cs="仿宋_GB2312"/>
          <w:i w:val="0"/>
          <w:iCs w:val="0"/>
          <w:caps w:val="0"/>
          <w:color w:val="333333"/>
          <w:spacing w:val="0"/>
          <w:sz w:val="32"/>
          <w:szCs w:val="32"/>
          <w:shd w:val="clear" w:fill="FFFFFF"/>
          <w:lang w:eastAsia="zh-CN"/>
        </w:rPr>
        <w:t>四</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行政执法人员应当严格遵守以下“八个严禁”：</w:t>
      </w:r>
    </w:p>
    <w:p w14:paraId="0B3B9013">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（一）严禁滥用职权、违反程序，随意执法；</w:t>
      </w:r>
    </w:p>
    <w:p w14:paraId="184629E8">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（二）严禁徇私舞弊、滥用裁量，选择执法；</w:t>
      </w:r>
    </w:p>
    <w:p w14:paraId="70297C99">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（三）严禁吃拿卡要、以罚代收，趋利执法；</w:t>
      </w:r>
    </w:p>
    <w:p w14:paraId="04BF5BB7">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（四）严禁畸轻畸重、过罚不当，机械执法；</w:t>
      </w:r>
    </w:p>
    <w:p w14:paraId="774EF9A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（五）严禁以罚代管、只罚不管，简单执法；</w:t>
      </w:r>
    </w:p>
    <w:p w14:paraId="0C017D97">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（六）严禁有案不查、压案不办，消极执法；</w:t>
      </w:r>
    </w:p>
    <w:p w14:paraId="4AED38C1">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（七）严禁态度恶劣、训斥威胁，粗暴执法；</w:t>
      </w:r>
    </w:p>
    <w:p w14:paraId="6285FBE3">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（八）严禁诱导欺骗、故设圈套，钓鱼执法。</w:t>
      </w:r>
    </w:p>
    <w:p w14:paraId="3755AF76">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第十</w:t>
      </w:r>
      <w:r>
        <w:rPr>
          <w:rStyle w:val="10"/>
          <w:rFonts w:hint="eastAsia" w:ascii="仿宋_GB2312" w:hAnsi="仿宋_GB2312" w:eastAsia="仿宋_GB2312" w:cs="仿宋_GB2312"/>
          <w:i w:val="0"/>
          <w:iCs w:val="0"/>
          <w:caps w:val="0"/>
          <w:color w:val="333333"/>
          <w:spacing w:val="0"/>
          <w:sz w:val="32"/>
          <w:szCs w:val="32"/>
          <w:shd w:val="clear" w:fill="FFFFFF"/>
          <w:lang w:eastAsia="zh-CN"/>
        </w:rPr>
        <w:t>五</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行政执法人员应当严格落实以下“十个不得”：</w:t>
      </w:r>
    </w:p>
    <w:p w14:paraId="5FFF54DE">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（一）不得以办案名义随意干扰企业正常生产经营活动；</w:t>
      </w:r>
    </w:p>
    <w:p w14:paraId="0BADD8B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（二）不得私自留置、处理、占用被罚没或被扣押财物；</w:t>
      </w:r>
    </w:p>
    <w:p w14:paraId="66400709">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（三）不得违规泄露案件当事人商业秘密、个人隐私以及举报人信息等；</w:t>
      </w:r>
    </w:p>
    <w:p w14:paraId="5EA0B605">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（四）不得私下与案件当事人或相关利益人接触；</w:t>
      </w:r>
    </w:p>
    <w:p w14:paraId="0CC11A6B">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（五）不得向案件当事人通风报信，为其隐瞒证据、开脱责任；</w:t>
      </w:r>
    </w:p>
    <w:p w14:paraId="3169A2F0">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（六）不得利用执法权力谋取私利，为配偶、子女及其配偶或他人经商办企业提供便利条件；</w:t>
      </w:r>
    </w:p>
    <w:p w14:paraId="66C481F0">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（七）不得接受案件当事人或相关利益人安排的吃请、旅游、娱乐、休闲等活动，索要或收受可能影响公正执法的现金、实物、有价证券、其他支付凭证或报销应由个人支付的费用；</w:t>
      </w:r>
    </w:p>
    <w:p w14:paraId="5F37B884">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（八）不得在工作期间饮酒；</w:t>
      </w:r>
    </w:p>
    <w:p w14:paraId="03BE47AD">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（九）不得酒后驾车、公车私用、驾驶执法车辆搭乘与工作无关的人员；</w:t>
      </w:r>
    </w:p>
    <w:p w14:paraId="200BAB7F">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（十）不得着制式服装出入娱乐场所，因工作需要除外。</w:t>
      </w:r>
    </w:p>
    <w:p w14:paraId="05BF4490">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第十</w:t>
      </w:r>
      <w:r>
        <w:rPr>
          <w:rStyle w:val="10"/>
          <w:rFonts w:hint="eastAsia" w:ascii="仿宋_GB2312" w:hAnsi="仿宋_GB2312" w:eastAsia="仿宋_GB2312" w:cs="仿宋_GB2312"/>
          <w:i w:val="0"/>
          <w:iCs w:val="0"/>
          <w:caps w:val="0"/>
          <w:color w:val="333333"/>
          <w:spacing w:val="0"/>
          <w:sz w:val="32"/>
          <w:szCs w:val="32"/>
          <w:shd w:val="clear" w:fill="FFFFFF"/>
          <w:lang w:eastAsia="zh-CN"/>
        </w:rPr>
        <w:t>六</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行政执法人员不得以任何形式隐匿、截留、挪用、私分或者变相私分罚款、没收违法所得或者没收非法财物通过拍卖或者变卖等方式所得的款项</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eastAsia="zh-CN"/>
        </w:rPr>
        <w:t>罚没财物统一登记保管，按法定流程处置并公示结果</w:t>
      </w:r>
      <w:r>
        <w:rPr>
          <w:rFonts w:hint="eastAsia" w:ascii="仿宋_GB2312" w:hAnsi="仿宋_GB2312" w:eastAsia="仿宋_GB2312" w:cs="仿宋_GB2312"/>
          <w:i w:val="0"/>
          <w:iCs w:val="0"/>
          <w:caps w:val="0"/>
          <w:color w:val="333333"/>
          <w:spacing w:val="0"/>
          <w:sz w:val="32"/>
          <w:szCs w:val="32"/>
          <w:shd w:val="clear" w:fill="FFFFFF"/>
        </w:rPr>
        <w:t>。</w:t>
      </w:r>
    </w:p>
    <w:p w14:paraId="6FE23A41">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r>
        <w:rPr>
          <w:rStyle w:val="10"/>
          <w:rFonts w:hint="eastAsia" w:ascii="仿宋_GB2312" w:hAnsi="仿宋_GB2312" w:eastAsia="仿宋_GB2312" w:cs="仿宋_GB2312"/>
          <w:i w:val="0"/>
          <w:iCs w:val="0"/>
          <w:caps w:val="0"/>
          <w:color w:val="auto"/>
          <w:spacing w:val="0"/>
          <w:sz w:val="32"/>
          <w:szCs w:val="32"/>
          <w:shd w:val="clear" w:fill="FFFFFF"/>
        </w:rPr>
        <w:t>第十</w:t>
      </w:r>
      <w:r>
        <w:rPr>
          <w:rStyle w:val="10"/>
          <w:rFonts w:hint="eastAsia" w:ascii="仿宋_GB2312" w:hAnsi="仿宋_GB2312" w:eastAsia="仿宋_GB2312" w:cs="仿宋_GB2312"/>
          <w:i w:val="0"/>
          <w:iCs w:val="0"/>
          <w:caps w:val="0"/>
          <w:color w:val="auto"/>
          <w:spacing w:val="0"/>
          <w:sz w:val="32"/>
          <w:szCs w:val="32"/>
          <w:shd w:val="clear" w:fill="FFFFFF"/>
          <w:lang w:eastAsia="zh-CN"/>
        </w:rPr>
        <w:t>七</w:t>
      </w:r>
      <w:r>
        <w:rPr>
          <w:rStyle w:val="10"/>
          <w:rFonts w:hint="eastAsia" w:ascii="仿宋_GB2312" w:hAnsi="仿宋_GB2312" w:eastAsia="仿宋_GB2312" w:cs="仿宋_GB2312"/>
          <w:i w:val="0"/>
          <w:iCs w:val="0"/>
          <w:caps w:val="0"/>
          <w:color w:val="auto"/>
          <w:spacing w:val="0"/>
          <w:sz w:val="32"/>
          <w:szCs w:val="32"/>
          <w:shd w:val="clear" w:fill="FFFFFF"/>
        </w:rPr>
        <w:t>条</w:t>
      </w:r>
      <w:r>
        <w:rPr>
          <w:rFonts w:hint="eastAsia" w:ascii="仿宋_GB2312" w:hAnsi="仿宋_GB2312" w:eastAsia="仿宋_GB2312" w:cs="仿宋_GB2312"/>
          <w:i w:val="0"/>
          <w:iCs w:val="0"/>
          <w:caps w:val="0"/>
          <w:color w:val="auto"/>
          <w:spacing w:val="0"/>
          <w:sz w:val="32"/>
          <w:szCs w:val="32"/>
          <w:shd w:val="clear" w:fill="FFFFFF"/>
        </w:rPr>
        <w:t>　行政执法人员与案件当事人、利害关系人存在亲属、经济往来等利害关系，可能影响公正执法的，应当主动申请回避；当事人申请回避的，由本局负责人依法决定。</w:t>
      </w:r>
    </w:p>
    <w:p w14:paraId="5C0F9F1B">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center"/>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第四章　仪容举止规范</w:t>
      </w:r>
    </w:p>
    <w:p w14:paraId="5033223C">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第十</w:t>
      </w:r>
      <w:r>
        <w:rPr>
          <w:rStyle w:val="10"/>
          <w:rFonts w:hint="eastAsia" w:ascii="仿宋_GB2312" w:hAnsi="仿宋_GB2312" w:eastAsia="仿宋_GB2312" w:cs="仿宋_GB2312"/>
          <w:i w:val="0"/>
          <w:iCs w:val="0"/>
          <w:caps w:val="0"/>
          <w:color w:val="333333"/>
          <w:spacing w:val="0"/>
          <w:sz w:val="32"/>
          <w:szCs w:val="32"/>
          <w:shd w:val="clear" w:fill="FFFFFF"/>
          <w:lang w:eastAsia="zh-CN"/>
        </w:rPr>
        <w:t>八</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从事行政执法活动时，执法人员应当举止文明，行为得体，服饰整洁，仪表端庄，精神饱满。</w:t>
      </w:r>
    </w:p>
    <w:p w14:paraId="753CE92A">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w:t>
      </w:r>
      <w:r>
        <w:rPr>
          <w:rStyle w:val="10"/>
          <w:rFonts w:hint="eastAsia" w:ascii="仿宋_GB2312" w:hAnsi="仿宋_GB2312" w:eastAsia="仿宋_GB2312" w:cs="仿宋_GB2312"/>
          <w:i w:val="0"/>
          <w:iCs w:val="0"/>
          <w:caps w:val="0"/>
          <w:color w:val="333333"/>
          <w:spacing w:val="0"/>
          <w:sz w:val="32"/>
          <w:szCs w:val="32"/>
          <w:shd w:val="clear" w:fill="FFFFFF"/>
          <w:lang w:eastAsia="zh-CN"/>
        </w:rPr>
        <w:t>十九</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着制式服装时，应当按照市场监管制式服装着装和标志佩戴管理规范成套着装，规范佩戴帽徽、肩章、领花、臂章、胸徽、胸号等标志标识，不得与便服混穿，不得佩戴与执法身份不符的其他标志标识或者饰品。</w:t>
      </w:r>
    </w:p>
    <w:p w14:paraId="54525F1D">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第二十条</w:t>
      </w:r>
      <w:r>
        <w:rPr>
          <w:rFonts w:hint="eastAsia" w:ascii="仿宋_GB2312" w:hAnsi="仿宋_GB2312" w:eastAsia="仿宋_GB2312" w:cs="仿宋_GB2312"/>
          <w:i w:val="0"/>
          <w:iCs w:val="0"/>
          <w:caps w:val="0"/>
          <w:color w:val="333333"/>
          <w:spacing w:val="0"/>
          <w:sz w:val="32"/>
          <w:szCs w:val="32"/>
          <w:shd w:val="clear" w:fill="FFFFFF"/>
        </w:rPr>
        <w:t>　非公务外出时，一般应着便装。</w:t>
      </w:r>
    </w:p>
    <w:p w14:paraId="1D0ECE0F">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第二十</w:t>
      </w:r>
      <w:r>
        <w:rPr>
          <w:rStyle w:val="10"/>
          <w:rFonts w:hint="eastAsia" w:ascii="仿宋_GB2312" w:hAnsi="仿宋_GB2312" w:eastAsia="仿宋_GB2312" w:cs="仿宋_GB2312"/>
          <w:i w:val="0"/>
          <w:iCs w:val="0"/>
          <w:caps w:val="0"/>
          <w:color w:val="333333"/>
          <w:spacing w:val="0"/>
          <w:sz w:val="32"/>
          <w:szCs w:val="32"/>
          <w:shd w:val="clear" w:fill="FFFFFF"/>
          <w:lang w:eastAsia="zh-CN"/>
        </w:rPr>
        <w:t>一</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从事行政执法活动时，不得有下列行为：</w:t>
      </w:r>
    </w:p>
    <w:p w14:paraId="30CF8C6F">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（一）相互搭肩、挽臂、揽腰；</w:t>
      </w:r>
    </w:p>
    <w:p w14:paraId="360B8BBE">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（二）追逐、打闹、喧哗；</w:t>
      </w:r>
    </w:p>
    <w:p w14:paraId="21624298">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（三）饮酒、吃零食等；</w:t>
      </w:r>
    </w:p>
    <w:p w14:paraId="33E0CF2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（四）对行政相对人指鼻、掀桌、拍台、踢打等；</w:t>
      </w:r>
    </w:p>
    <w:p w14:paraId="3AAFE5D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（五）其他影响文明执法形象的行为。</w:t>
      </w:r>
    </w:p>
    <w:p w14:paraId="6B320BF0">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auto"/>
          <w:spacing w:val="0"/>
          <w:sz w:val="32"/>
          <w:szCs w:val="32"/>
          <w:shd w:val="clear" w:fill="FFFFFF"/>
        </w:rPr>
        <w:t>第二十</w:t>
      </w:r>
      <w:r>
        <w:rPr>
          <w:rStyle w:val="10"/>
          <w:rFonts w:hint="eastAsia" w:ascii="仿宋_GB2312" w:hAnsi="仿宋_GB2312" w:eastAsia="仿宋_GB2312" w:cs="仿宋_GB2312"/>
          <w:i w:val="0"/>
          <w:iCs w:val="0"/>
          <w:caps w:val="0"/>
          <w:color w:val="auto"/>
          <w:spacing w:val="0"/>
          <w:sz w:val="32"/>
          <w:szCs w:val="32"/>
          <w:shd w:val="clear" w:fill="FFFFFF"/>
          <w:lang w:eastAsia="zh-CN"/>
        </w:rPr>
        <w:t>二</w:t>
      </w:r>
      <w:r>
        <w:rPr>
          <w:rStyle w:val="10"/>
          <w:rFonts w:hint="eastAsia" w:ascii="仿宋_GB2312" w:hAnsi="仿宋_GB2312" w:eastAsia="仿宋_GB2312" w:cs="仿宋_GB2312"/>
          <w:i w:val="0"/>
          <w:iCs w:val="0"/>
          <w:caps w:val="0"/>
          <w:color w:val="auto"/>
          <w:spacing w:val="0"/>
          <w:sz w:val="32"/>
          <w:szCs w:val="32"/>
          <w:shd w:val="clear" w:fill="FFFFFF"/>
        </w:rPr>
        <w:t>条</w:t>
      </w:r>
      <w:r>
        <w:rPr>
          <w:rStyle w:val="10"/>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遇当事人暴力抗法、阻挠执法时，执法人员应当在符合法律法规规定前提下采取必要控制性手段自我保护，严禁与当事人互殴、激化矛盾；全程开启执法记录仪完整记录处置全过程。</w:t>
      </w:r>
    </w:p>
    <w:p w14:paraId="1EE482D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第二十</w:t>
      </w:r>
      <w:r>
        <w:rPr>
          <w:rStyle w:val="10"/>
          <w:rFonts w:hint="eastAsia" w:ascii="仿宋_GB2312" w:hAnsi="仿宋_GB2312" w:eastAsia="仿宋_GB2312" w:cs="仿宋_GB2312"/>
          <w:i w:val="0"/>
          <w:iCs w:val="0"/>
          <w:caps w:val="0"/>
          <w:color w:val="333333"/>
          <w:spacing w:val="0"/>
          <w:sz w:val="32"/>
          <w:szCs w:val="32"/>
          <w:shd w:val="clear" w:fill="FFFFFF"/>
          <w:lang w:eastAsia="zh-CN"/>
        </w:rPr>
        <w:t>三</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执法车辆使用应当遵守交通安全法律法规，文明行车，严禁酒后驾车。执法车辆不得搭乘与工作无关的人员，严禁公车私用。非工作需要，不得将执法车辆停放在公共娱乐场所、餐馆酒楼等区域。</w:t>
      </w:r>
    </w:p>
    <w:p w14:paraId="6235564A">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center"/>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第五章　执法用语规范</w:t>
      </w:r>
    </w:p>
    <w:p w14:paraId="4CE92838">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第二十</w:t>
      </w:r>
      <w:r>
        <w:rPr>
          <w:rStyle w:val="10"/>
          <w:rFonts w:hint="eastAsia" w:ascii="仿宋_GB2312" w:hAnsi="仿宋_GB2312" w:eastAsia="仿宋_GB2312" w:cs="仿宋_GB2312"/>
          <w:i w:val="0"/>
          <w:iCs w:val="0"/>
          <w:caps w:val="0"/>
          <w:color w:val="333333"/>
          <w:spacing w:val="0"/>
          <w:sz w:val="32"/>
          <w:szCs w:val="32"/>
          <w:shd w:val="clear" w:fill="FFFFFF"/>
          <w:lang w:eastAsia="zh-CN"/>
        </w:rPr>
        <w:t>四</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执法用语应当规范、文明、准确，</w:t>
      </w:r>
      <w:r>
        <w:rPr>
          <w:rFonts w:hint="eastAsia" w:ascii="仿宋_GB2312" w:hAnsi="仿宋_GB2312" w:eastAsia="仿宋_GB2312" w:cs="仿宋_GB2312"/>
          <w:i w:val="0"/>
          <w:iCs w:val="0"/>
          <w:caps w:val="0"/>
          <w:color w:val="auto"/>
          <w:spacing w:val="0"/>
          <w:sz w:val="32"/>
          <w:szCs w:val="32"/>
          <w:shd w:val="clear" w:fill="FFFFFF"/>
          <w:lang w:eastAsia="zh-CN"/>
        </w:rPr>
        <w:t>优先</w:t>
      </w:r>
      <w:r>
        <w:rPr>
          <w:rFonts w:hint="eastAsia" w:ascii="仿宋_GB2312" w:hAnsi="仿宋_GB2312" w:eastAsia="仿宋_GB2312" w:cs="仿宋_GB2312"/>
          <w:i w:val="0"/>
          <w:iCs w:val="0"/>
          <w:caps w:val="0"/>
          <w:color w:val="auto"/>
          <w:spacing w:val="0"/>
          <w:sz w:val="32"/>
          <w:szCs w:val="32"/>
          <w:shd w:val="clear" w:fill="FFFFFF"/>
        </w:rPr>
        <w:t>使用普通话，可</w:t>
      </w:r>
      <w:r>
        <w:rPr>
          <w:rFonts w:hint="eastAsia" w:ascii="仿宋_GB2312" w:hAnsi="仿宋_GB2312" w:eastAsia="仿宋_GB2312" w:cs="仿宋_GB2312"/>
          <w:i w:val="0"/>
          <w:iCs w:val="0"/>
          <w:caps w:val="0"/>
          <w:color w:val="333333"/>
          <w:spacing w:val="0"/>
          <w:sz w:val="32"/>
          <w:szCs w:val="32"/>
          <w:shd w:val="clear" w:fill="FFFFFF"/>
        </w:rPr>
        <w:t>根据当事人实际情况使用容易沟通的语言，不得使用粗俗、歧视性、侮辱性以及威胁性语言，不得通过含糊、敷衍的用语诱导和推卸责任。</w:t>
      </w:r>
    </w:p>
    <w:p w14:paraId="63F4F42E">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第二十</w:t>
      </w:r>
      <w:r>
        <w:rPr>
          <w:rStyle w:val="10"/>
          <w:rFonts w:hint="eastAsia" w:ascii="仿宋_GB2312" w:hAnsi="仿宋_GB2312" w:eastAsia="仿宋_GB2312" w:cs="仿宋_GB2312"/>
          <w:i w:val="0"/>
          <w:iCs w:val="0"/>
          <w:caps w:val="0"/>
          <w:color w:val="333333"/>
          <w:spacing w:val="0"/>
          <w:sz w:val="32"/>
          <w:szCs w:val="32"/>
          <w:shd w:val="clear" w:fill="FFFFFF"/>
          <w:lang w:eastAsia="zh-CN"/>
        </w:rPr>
        <w:t>五</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接待用语应当文明、礼貌、亲和、诚恳，做到主动问候，热情周到，细心询问，耐心解释，明确告知权利义务、市场监管部门的职责范围和答复处理结果的方式或途径。</w:t>
      </w:r>
    </w:p>
    <w:p w14:paraId="31AD0611">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第二十</w:t>
      </w:r>
      <w:r>
        <w:rPr>
          <w:rStyle w:val="10"/>
          <w:rFonts w:hint="eastAsia" w:ascii="仿宋_GB2312" w:hAnsi="仿宋_GB2312" w:eastAsia="仿宋_GB2312" w:cs="仿宋_GB2312"/>
          <w:i w:val="0"/>
          <w:iCs w:val="0"/>
          <w:caps w:val="0"/>
          <w:color w:val="333333"/>
          <w:spacing w:val="0"/>
          <w:sz w:val="32"/>
          <w:szCs w:val="32"/>
          <w:shd w:val="clear" w:fill="FFFFFF"/>
          <w:lang w:eastAsia="zh-CN"/>
        </w:rPr>
        <w:t>六</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通讯联络时应当使用礼貌称谓，准确通报单位名称和个人身份，认真询问或说明事由，问话和气简洁，答话明确具体。</w:t>
      </w:r>
    </w:p>
    <w:p w14:paraId="0EB1AA19">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第二十</w:t>
      </w:r>
      <w:r>
        <w:rPr>
          <w:rStyle w:val="10"/>
          <w:rFonts w:hint="eastAsia" w:ascii="仿宋_GB2312" w:hAnsi="仿宋_GB2312" w:eastAsia="仿宋_GB2312" w:cs="仿宋_GB2312"/>
          <w:i w:val="0"/>
          <w:iCs w:val="0"/>
          <w:caps w:val="0"/>
          <w:color w:val="333333"/>
          <w:spacing w:val="0"/>
          <w:sz w:val="32"/>
          <w:szCs w:val="32"/>
          <w:shd w:val="clear" w:fill="FFFFFF"/>
          <w:lang w:eastAsia="zh-CN"/>
        </w:rPr>
        <w:t>七</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询问调查时应当明示身份，告知权利义务，明确询问事由，笔录应当送阅或宣读，做到全面细致。</w:t>
      </w:r>
    </w:p>
    <w:p w14:paraId="225B80C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第二十</w:t>
      </w:r>
      <w:r>
        <w:rPr>
          <w:rStyle w:val="10"/>
          <w:rFonts w:hint="eastAsia" w:ascii="仿宋_GB2312" w:hAnsi="仿宋_GB2312" w:eastAsia="仿宋_GB2312" w:cs="仿宋_GB2312"/>
          <w:i w:val="0"/>
          <w:iCs w:val="0"/>
          <w:caps w:val="0"/>
          <w:color w:val="333333"/>
          <w:spacing w:val="0"/>
          <w:sz w:val="32"/>
          <w:szCs w:val="32"/>
          <w:shd w:val="clear" w:fill="FFFFFF"/>
          <w:lang w:eastAsia="zh-CN"/>
        </w:rPr>
        <w:t>八</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行政执法人员应当根据不同执法情形规范使用执法用语：</w:t>
      </w:r>
    </w:p>
    <w:p w14:paraId="01ABCEE3">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（一）表明身份时：表明执法主体名称及执法人员姓名，出示行政执法证件；</w:t>
      </w:r>
    </w:p>
    <w:p w14:paraId="2137481E">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（二）检查调查时：告知执法依据和具体事项，要求当事人协助配合；</w:t>
      </w:r>
    </w:p>
    <w:p w14:paraId="1B07B367">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（三）音像记录时：告知将通过执法记录仪对执法工作进行记录，记录资料将作为视听资料证据。</w:t>
      </w:r>
    </w:p>
    <w:p w14:paraId="2A970824">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w:t>
      </w:r>
      <w:r>
        <w:rPr>
          <w:rStyle w:val="10"/>
          <w:rFonts w:hint="eastAsia" w:ascii="仿宋_GB2312" w:hAnsi="仿宋_GB2312" w:eastAsia="仿宋_GB2312" w:cs="仿宋_GB2312"/>
          <w:i w:val="0"/>
          <w:iCs w:val="0"/>
          <w:caps w:val="0"/>
          <w:color w:val="333333"/>
          <w:spacing w:val="0"/>
          <w:sz w:val="32"/>
          <w:szCs w:val="32"/>
          <w:shd w:val="clear" w:fill="FFFFFF"/>
          <w:lang w:eastAsia="zh-CN"/>
        </w:rPr>
        <w:t>二十九</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行政执法人员应当严格推进文明执法。执法仪表举止文明得体，执法用语规范文明，尊重当事人和利害关系人。严禁使用侮辱性、挑衅性、威胁性、歧视性、敷衍性语言。严禁态度蛮横、推诿扯皮、行为粗暴。</w:t>
      </w:r>
    </w:p>
    <w:p w14:paraId="08808853">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center"/>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第六章　执法程序规范</w:t>
      </w:r>
    </w:p>
    <w:p w14:paraId="257F30C1">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第三十条</w:t>
      </w:r>
      <w:r>
        <w:rPr>
          <w:rFonts w:hint="eastAsia" w:ascii="仿宋_GB2312" w:hAnsi="仿宋_GB2312" w:eastAsia="仿宋_GB2312" w:cs="仿宋_GB2312"/>
          <w:i w:val="0"/>
          <w:iCs w:val="0"/>
          <w:caps w:val="0"/>
          <w:color w:val="333333"/>
          <w:spacing w:val="0"/>
          <w:sz w:val="32"/>
          <w:szCs w:val="32"/>
          <w:shd w:val="clear" w:fill="FFFFFF"/>
        </w:rPr>
        <w:t>　行政执法人员应当通过文字、音像等记录方式，对行政执法的启动、调查取证、审核决定、送达执行等全过程进行真实、准确、规范记录，并全面完整归档保存，实现执法全过程留痕和可回溯管理。</w:t>
      </w:r>
    </w:p>
    <w:p w14:paraId="44027C14">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第三十</w:t>
      </w:r>
      <w:r>
        <w:rPr>
          <w:rStyle w:val="10"/>
          <w:rFonts w:hint="eastAsia" w:ascii="仿宋_GB2312" w:hAnsi="仿宋_GB2312" w:eastAsia="仿宋_GB2312" w:cs="仿宋_GB2312"/>
          <w:i w:val="0"/>
          <w:iCs w:val="0"/>
          <w:caps w:val="0"/>
          <w:color w:val="333333"/>
          <w:spacing w:val="0"/>
          <w:sz w:val="32"/>
          <w:szCs w:val="32"/>
          <w:shd w:val="clear" w:fill="FFFFFF"/>
          <w:lang w:eastAsia="zh-CN"/>
        </w:rPr>
        <w:t>一</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活动中，应当依法出具行政执法文书，主动告知当事人执法事由、执法依据、权利义务、救济途径等内容，充分保障当事人和利害关系人的知情权、参与权、陈述权、申辩权、听证权、申请回避权、获得救济和依法获得国家赔偿等权益。当事人提出的事实、理由或者证据成立的，应当予以采纳；不予采纳的，应当说明理由。</w:t>
      </w:r>
    </w:p>
    <w:p w14:paraId="2979469B">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第三十</w:t>
      </w:r>
      <w:r>
        <w:rPr>
          <w:rStyle w:val="10"/>
          <w:rFonts w:hint="eastAsia" w:ascii="仿宋_GB2312" w:hAnsi="仿宋_GB2312" w:eastAsia="仿宋_GB2312" w:cs="仿宋_GB2312"/>
          <w:i w:val="0"/>
          <w:iCs w:val="0"/>
          <w:caps w:val="0"/>
          <w:color w:val="333333"/>
          <w:spacing w:val="0"/>
          <w:sz w:val="32"/>
          <w:szCs w:val="32"/>
          <w:shd w:val="clear" w:fill="FFFFFF"/>
          <w:lang w:eastAsia="zh-CN"/>
        </w:rPr>
        <w:t>二</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调查取证应当依法、全面、客观、公正，严格按照法律规定和客观事实执法。严禁以利诱、欺诈、胁迫、暴力等不正当手段收集证据，严禁伪造、隐匿、损毁证据。</w:t>
      </w:r>
    </w:p>
    <w:p w14:paraId="3A6BD1F4">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第三十</w:t>
      </w:r>
      <w:r>
        <w:rPr>
          <w:rStyle w:val="10"/>
          <w:rFonts w:hint="eastAsia" w:ascii="仿宋_GB2312" w:hAnsi="仿宋_GB2312" w:eastAsia="仿宋_GB2312" w:cs="仿宋_GB2312"/>
          <w:i w:val="0"/>
          <w:iCs w:val="0"/>
          <w:caps w:val="0"/>
          <w:color w:val="333333"/>
          <w:spacing w:val="0"/>
          <w:sz w:val="32"/>
          <w:szCs w:val="32"/>
          <w:shd w:val="clear" w:fill="FFFFFF"/>
          <w:lang w:eastAsia="zh-CN"/>
        </w:rPr>
        <w:t>三</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依法实施证据先行登记保存或查封场所设施、扣押财物时，应当妥善保管相关财物，不得使用、截留、损毁或者擅自处置。</w:t>
      </w:r>
    </w:p>
    <w:p w14:paraId="7EAA7F47">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第三十</w:t>
      </w:r>
      <w:r>
        <w:rPr>
          <w:rStyle w:val="10"/>
          <w:rFonts w:hint="eastAsia" w:ascii="仿宋_GB2312" w:hAnsi="仿宋_GB2312" w:eastAsia="仿宋_GB2312" w:cs="仿宋_GB2312"/>
          <w:i w:val="0"/>
          <w:iCs w:val="0"/>
          <w:caps w:val="0"/>
          <w:color w:val="333333"/>
          <w:spacing w:val="0"/>
          <w:sz w:val="32"/>
          <w:szCs w:val="32"/>
          <w:shd w:val="clear" w:fill="FFFFFF"/>
          <w:lang w:eastAsia="zh-CN"/>
        </w:rPr>
        <w:t>四</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作出以下重大执法决定前，应当进行法制审核，未经法制审核或者审核未通过的，不得作出决定：</w:t>
      </w:r>
    </w:p>
    <w:p w14:paraId="1BD806B3">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（一）涉及重大公共利益的；</w:t>
      </w:r>
    </w:p>
    <w:p w14:paraId="17CD561A">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（二）可能造成重大社会影响或引发社会风险的；</w:t>
      </w:r>
    </w:p>
    <w:p w14:paraId="43FA27DE">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（三）直接关系当事人或者第三人重大权益，经过听证程序的；</w:t>
      </w:r>
    </w:p>
    <w:p w14:paraId="4294F396">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（四）情况疑难复杂、涉及多个法律关系的；</w:t>
      </w:r>
    </w:p>
    <w:p w14:paraId="64DAB61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（五）法律、法规规定应当进行法制审核的其他情形。</w:t>
      </w:r>
    </w:p>
    <w:p w14:paraId="27625F98">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第三十</w:t>
      </w:r>
      <w:r>
        <w:rPr>
          <w:rStyle w:val="10"/>
          <w:rFonts w:hint="eastAsia" w:ascii="仿宋_GB2312" w:hAnsi="仿宋_GB2312" w:eastAsia="仿宋_GB2312" w:cs="仿宋_GB2312"/>
          <w:i w:val="0"/>
          <w:iCs w:val="0"/>
          <w:caps w:val="0"/>
          <w:color w:val="333333"/>
          <w:spacing w:val="0"/>
          <w:sz w:val="32"/>
          <w:szCs w:val="32"/>
          <w:shd w:val="clear" w:fill="FFFFFF"/>
          <w:lang w:eastAsia="zh-CN"/>
        </w:rPr>
        <w:t>五</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行政执法人员应当积极采用说理式柔性执法方式，在执法过程中注重普法教育，推动实现行政执法政治效果、社会效果和法律效果的有机统一。</w:t>
      </w:r>
    </w:p>
    <w:p w14:paraId="4ADE6064">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第三十</w:t>
      </w:r>
      <w:r>
        <w:rPr>
          <w:rStyle w:val="10"/>
          <w:rFonts w:hint="eastAsia" w:ascii="仿宋_GB2312" w:hAnsi="仿宋_GB2312" w:eastAsia="仿宋_GB2312" w:cs="仿宋_GB2312"/>
          <w:i w:val="0"/>
          <w:iCs w:val="0"/>
          <w:caps w:val="0"/>
          <w:color w:val="333333"/>
          <w:spacing w:val="0"/>
          <w:sz w:val="32"/>
          <w:szCs w:val="32"/>
          <w:shd w:val="clear" w:fill="FFFFFF"/>
          <w:lang w:eastAsia="zh-CN"/>
        </w:rPr>
        <w:t>六</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行政执法人员应当严格遵守行政执法案卷归档保存规定。行政执法文书应当制作规范、要素齐备、表述准确、字迹清晰。行政执法案卷应当规范标准、真实完整。严禁随意修改、涂改案卷材料。严禁案卷造假。</w:t>
      </w:r>
    </w:p>
    <w:p w14:paraId="514E888C">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center"/>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第七章　监督与责任</w:t>
      </w:r>
    </w:p>
    <w:p w14:paraId="173A90C5">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jc w:val="both"/>
        <w:textAlignment w:val="auto"/>
        <w:rPr>
          <w:rStyle w:val="10"/>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auto"/>
          <w:spacing w:val="0"/>
          <w:sz w:val="32"/>
          <w:szCs w:val="32"/>
          <w:shd w:val="clear" w:fill="FFFFFF"/>
        </w:rPr>
        <w:t>第三十</w:t>
      </w:r>
      <w:r>
        <w:rPr>
          <w:rStyle w:val="10"/>
          <w:rFonts w:hint="eastAsia" w:ascii="仿宋_GB2312" w:hAnsi="仿宋_GB2312" w:eastAsia="仿宋_GB2312" w:cs="仿宋_GB2312"/>
          <w:i w:val="0"/>
          <w:iCs w:val="0"/>
          <w:caps w:val="0"/>
          <w:color w:val="auto"/>
          <w:spacing w:val="0"/>
          <w:sz w:val="32"/>
          <w:szCs w:val="32"/>
          <w:shd w:val="clear" w:fill="FFFFFF"/>
          <w:lang w:eastAsia="zh-CN"/>
        </w:rPr>
        <w:t>七</w:t>
      </w:r>
      <w:r>
        <w:rPr>
          <w:rStyle w:val="10"/>
          <w:rFonts w:hint="eastAsia" w:ascii="仿宋_GB2312" w:hAnsi="仿宋_GB2312" w:eastAsia="仿宋_GB2312" w:cs="仿宋_GB2312"/>
          <w:i w:val="0"/>
          <w:iCs w:val="0"/>
          <w:caps w:val="0"/>
          <w:color w:val="auto"/>
          <w:spacing w:val="0"/>
          <w:sz w:val="32"/>
          <w:szCs w:val="32"/>
          <w:shd w:val="clear" w:fill="FFFFFF"/>
        </w:rPr>
        <w:t>条　</w:t>
      </w:r>
      <w:r>
        <w:rPr>
          <w:rFonts w:hint="eastAsia" w:ascii="仿宋_GB2312" w:hAnsi="仿宋_GB2312" w:eastAsia="仿宋_GB2312" w:cs="仿宋_GB2312"/>
          <w:i w:val="0"/>
          <w:iCs w:val="0"/>
          <w:caps w:val="0"/>
          <w:color w:val="333333"/>
          <w:spacing w:val="0"/>
          <w:sz w:val="32"/>
          <w:szCs w:val="32"/>
          <w:shd w:val="clear" w:fill="FFFFFF"/>
        </w:rPr>
        <w:t>本规范全文通过县政府政务公开平台对外公示，主动接受人大、司法、纪检监察、行业主体、社会群众监督；企业、群众可通过12315、信访窗口、纪检投诉渠道反馈执法不规范问题。</w:t>
      </w:r>
    </w:p>
    <w:p w14:paraId="0AE1DD95">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第三十</w:t>
      </w:r>
      <w:r>
        <w:rPr>
          <w:rStyle w:val="10"/>
          <w:rFonts w:hint="eastAsia" w:ascii="仿宋_GB2312" w:hAnsi="仿宋_GB2312" w:eastAsia="仿宋_GB2312" w:cs="仿宋_GB2312"/>
          <w:i w:val="0"/>
          <w:iCs w:val="0"/>
          <w:caps w:val="0"/>
          <w:color w:val="333333"/>
          <w:spacing w:val="0"/>
          <w:sz w:val="32"/>
          <w:szCs w:val="32"/>
          <w:shd w:val="clear" w:fill="FFFFFF"/>
          <w:lang w:eastAsia="zh-CN"/>
        </w:rPr>
        <w:t>八</w:t>
      </w:r>
      <w:r>
        <w:rPr>
          <w:rStyle w:val="10"/>
          <w:rFonts w:hint="eastAsia" w:ascii="仿宋_GB2312" w:hAnsi="仿宋_GB2312" w:eastAsia="仿宋_GB2312" w:cs="仿宋_GB2312"/>
          <w:i w:val="0"/>
          <w:iCs w:val="0"/>
          <w:caps w:val="0"/>
          <w:color w:val="333333"/>
          <w:spacing w:val="0"/>
          <w:sz w:val="32"/>
          <w:szCs w:val="32"/>
          <w:shd w:val="clear" w:fill="FFFFFF"/>
        </w:rPr>
        <w:t>条</w:t>
      </w:r>
      <w:r>
        <w:rPr>
          <w:rStyle w:val="10"/>
          <w:rFonts w:hint="eastAsia" w:ascii="仿宋_GB2312" w:hAnsi="仿宋_GB2312" w:eastAsia="仿宋_GB2312" w:cs="仿宋_GB2312"/>
          <w:i w:val="0"/>
          <w:iCs w:val="0"/>
          <w:caps w:val="0"/>
          <w:color w:val="auto"/>
          <w:spacing w:val="0"/>
          <w:sz w:val="32"/>
          <w:szCs w:val="32"/>
          <w:shd w:val="clear" w:fill="FFFFFF"/>
        </w:rPr>
        <w:t>　</w:t>
      </w:r>
      <w:r>
        <w:rPr>
          <w:rStyle w:val="10"/>
          <w:rFonts w:hint="eastAsia" w:ascii="仿宋_GB2312" w:hAnsi="仿宋_GB2312" w:eastAsia="仿宋_GB2312" w:cs="仿宋_GB2312"/>
          <w:b w:val="0"/>
          <w:bCs/>
          <w:i w:val="0"/>
          <w:iCs w:val="0"/>
          <w:caps w:val="0"/>
          <w:color w:val="333333"/>
          <w:spacing w:val="0"/>
          <w:sz w:val="32"/>
          <w:szCs w:val="32"/>
          <w:shd w:val="clear" w:fill="FFFFFF"/>
          <w:lang w:val="en-US" w:eastAsia="zh-CN"/>
        </w:rPr>
        <w:t>县</w:t>
      </w:r>
      <w:r>
        <w:rPr>
          <w:rFonts w:hint="eastAsia" w:ascii="仿宋_GB2312" w:hAnsi="仿宋_GB2312" w:eastAsia="仿宋_GB2312" w:cs="仿宋_GB2312"/>
          <w:i w:val="0"/>
          <w:iCs w:val="0"/>
          <w:caps w:val="0"/>
          <w:color w:val="333333"/>
          <w:spacing w:val="0"/>
          <w:sz w:val="32"/>
          <w:szCs w:val="32"/>
          <w:shd w:val="clear" w:fill="FFFFFF"/>
        </w:rPr>
        <w:t>局</w:t>
      </w:r>
      <w:r>
        <w:rPr>
          <w:rFonts w:hint="eastAsia" w:ascii="仿宋_GB2312" w:hAnsi="仿宋_GB2312" w:eastAsia="仿宋_GB2312" w:cs="仿宋_GB2312"/>
          <w:i w:val="0"/>
          <w:iCs w:val="0"/>
          <w:caps w:val="0"/>
          <w:color w:val="333333"/>
          <w:spacing w:val="0"/>
          <w:sz w:val="32"/>
          <w:szCs w:val="32"/>
          <w:shd w:val="clear" w:fill="FFFFFF"/>
          <w:lang w:val="en-US" w:eastAsia="zh-CN"/>
        </w:rPr>
        <w:t>将</w:t>
      </w:r>
      <w:r>
        <w:rPr>
          <w:rFonts w:hint="eastAsia" w:ascii="仿宋_GB2312" w:hAnsi="仿宋_GB2312" w:eastAsia="仿宋_GB2312" w:cs="仿宋_GB2312"/>
          <w:i w:val="0"/>
          <w:iCs w:val="0"/>
          <w:caps w:val="0"/>
          <w:color w:val="333333"/>
          <w:spacing w:val="0"/>
          <w:sz w:val="32"/>
          <w:szCs w:val="32"/>
          <w:shd w:val="clear" w:fill="FFFFFF"/>
        </w:rPr>
        <w:t>加强行政执法人员执行规范情况的监督检查，及时发现、纠正违反本规范的行为。</w:t>
      </w:r>
    </w:p>
    <w:p w14:paraId="6F574B1A">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w:t>
      </w:r>
      <w:r>
        <w:rPr>
          <w:rStyle w:val="10"/>
          <w:rFonts w:hint="eastAsia" w:ascii="仿宋_GB2312" w:hAnsi="仿宋_GB2312" w:eastAsia="仿宋_GB2312" w:cs="仿宋_GB2312"/>
          <w:i w:val="0"/>
          <w:iCs w:val="0"/>
          <w:caps w:val="0"/>
          <w:color w:val="333333"/>
          <w:spacing w:val="0"/>
          <w:sz w:val="32"/>
          <w:szCs w:val="32"/>
          <w:shd w:val="clear" w:fill="FFFFFF"/>
          <w:lang w:eastAsia="zh-CN"/>
        </w:rPr>
        <w:t>三十九</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行政执法人员违反本规范，情节轻微的，责令改正，给予批评、通报或诫勉；情节严重的，对直接负责的主管人员和直接责任人员依法给予处分；构成犯罪的，依法追究刑事责任。</w:t>
      </w:r>
    </w:p>
    <w:p w14:paraId="7FAE539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center"/>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第八章　附则</w:t>
      </w:r>
    </w:p>
    <w:p w14:paraId="401DDAF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第四十条</w:t>
      </w:r>
      <w:r>
        <w:rPr>
          <w:rFonts w:hint="eastAsia" w:ascii="仿宋_GB2312" w:hAnsi="仿宋_GB2312" w:eastAsia="仿宋_GB2312" w:cs="仿宋_GB2312"/>
          <w:i w:val="0"/>
          <w:iCs w:val="0"/>
          <w:caps w:val="0"/>
          <w:color w:val="333333"/>
          <w:spacing w:val="0"/>
          <w:sz w:val="32"/>
          <w:szCs w:val="32"/>
          <w:shd w:val="clear" w:fill="FFFFFF"/>
        </w:rPr>
        <w:t>　本规范由</w:t>
      </w:r>
      <w:r>
        <w:rPr>
          <w:rFonts w:hint="eastAsia" w:ascii="仿宋_GB2312" w:hAnsi="仿宋_GB2312" w:eastAsia="仿宋_GB2312" w:cs="仿宋_GB2312"/>
          <w:i w:val="0"/>
          <w:iCs w:val="0"/>
          <w:caps w:val="0"/>
          <w:color w:val="333333"/>
          <w:spacing w:val="0"/>
          <w:sz w:val="32"/>
          <w:szCs w:val="32"/>
          <w:shd w:val="clear" w:fill="FFFFFF"/>
          <w:lang w:val="en-US" w:eastAsia="zh-CN"/>
        </w:rPr>
        <w:t>建宁县</w:t>
      </w:r>
      <w:r>
        <w:rPr>
          <w:rFonts w:hint="eastAsia" w:ascii="仿宋_GB2312" w:hAnsi="仿宋_GB2312" w:eastAsia="仿宋_GB2312" w:cs="仿宋_GB2312"/>
          <w:i w:val="0"/>
          <w:iCs w:val="0"/>
          <w:caps w:val="0"/>
          <w:color w:val="333333"/>
          <w:spacing w:val="0"/>
          <w:sz w:val="32"/>
          <w:szCs w:val="32"/>
          <w:shd w:val="clear" w:fill="FFFFFF"/>
        </w:rPr>
        <w:t>市场监督管理局负责解释。</w:t>
      </w:r>
    </w:p>
    <w:p w14:paraId="5E1DD173">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textAlignment w:val="auto"/>
        <w:rPr>
          <w:rFonts w:hint="eastAsia" w:ascii="仿宋_GB2312" w:hAnsi="仿宋_GB2312" w:cs="仿宋_GB2312"/>
          <w:sz w:val="32"/>
          <w:szCs w:val="32"/>
          <w:lang w:val="en-US" w:eastAsia="zh-CN"/>
        </w:rPr>
      </w:pPr>
      <w:r>
        <w:rPr>
          <w:rFonts w:hint="eastAsia" w:ascii="仿宋_GB2312" w:hAnsi="仿宋_GB2312" w:eastAsia="仿宋_GB2312" w:cs="仿宋_GB2312"/>
          <w:i w:val="0"/>
          <w:iCs w:val="0"/>
          <w:caps w:val="0"/>
          <w:color w:val="333333"/>
          <w:spacing w:val="0"/>
          <w:sz w:val="32"/>
          <w:szCs w:val="32"/>
          <w:shd w:val="clear" w:fill="FFFFFF"/>
        </w:rPr>
        <w:t>　　</w:t>
      </w:r>
      <w:r>
        <w:rPr>
          <w:rStyle w:val="10"/>
          <w:rFonts w:hint="eastAsia" w:ascii="仿宋_GB2312" w:hAnsi="仿宋_GB2312" w:eastAsia="仿宋_GB2312" w:cs="仿宋_GB2312"/>
          <w:i w:val="0"/>
          <w:iCs w:val="0"/>
          <w:caps w:val="0"/>
          <w:color w:val="333333"/>
          <w:spacing w:val="0"/>
          <w:sz w:val="32"/>
          <w:szCs w:val="32"/>
          <w:shd w:val="clear" w:fill="FFFFFF"/>
        </w:rPr>
        <w:t>第四十</w:t>
      </w:r>
      <w:r>
        <w:rPr>
          <w:rStyle w:val="10"/>
          <w:rFonts w:hint="eastAsia" w:ascii="仿宋_GB2312" w:hAnsi="仿宋_GB2312" w:eastAsia="仿宋_GB2312" w:cs="仿宋_GB2312"/>
          <w:i w:val="0"/>
          <w:iCs w:val="0"/>
          <w:caps w:val="0"/>
          <w:color w:val="333333"/>
          <w:spacing w:val="0"/>
          <w:sz w:val="32"/>
          <w:szCs w:val="32"/>
          <w:shd w:val="clear" w:fill="FFFFFF"/>
          <w:lang w:eastAsia="zh-CN"/>
        </w:rPr>
        <w:t>一</w:t>
      </w:r>
      <w:r>
        <w:rPr>
          <w:rStyle w:val="10"/>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sz w:val="32"/>
          <w:szCs w:val="32"/>
          <w:lang w:eastAsia="zh-CN"/>
        </w:rPr>
        <w:t>本</w:t>
      </w:r>
      <w:r>
        <w:rPr>
          <w:rFonts w:hint="eastAsia" w:ascii="仿宋_GB2312" w:hAnsi="仿宋_GB2312" w:cs="仿宋_GB2312"/>
          <w:sz w:val="32"/>
          <w:szCs w:val="32"/>
          <w:lang w:eastAsia="zh-CN"/>
        </w:rPr>
        <w:t>规范</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lang w:val="en-US" w:eastAsia="zh-CN"/>
        </w:rPr>
        <w:t>2026年9月15日起实施，有效期至2028</w:t>
      </w:r>
      <w:bookmarkStart w:id="0" w:name="_GoBack"/>
      <w:bookmarkEnd w:id="0"/>
      <w:r>
        <w:rPr>
          <w:rFonts w:hint="eastAsia" w:ascii="仿宋_GB2312" w:hAnsi="仿宋_GB2312" w:eastAsia="仿宋_GB2312" w:cs="仿宋_GB2312"/>
          <w:sz w:val="32"/>
          <w:szCs w:val="32"/>
          <w:lang w:val="en-US" w:eastAsia="zh-CN"/>
        </w:rPr>
        <w:t>年9月14日</w:t>
      </w:r>
      <w:r>
        <w:rPr>
          <w:rFonts w:hint="eastAsia" w:ascii="仿宋_GB2312" w:hAnsi="仿宋_GB2312" w:cs="仿宋_GB2312"/>
          <w:sz w:val="32"/>
          <w:szCs w:val="32"/>
          <w:lang w:val="en-US" w:eastAsia="zh-CN"/>
        </w:rPr>
        <w:t>。</w:t>
      </w:r>
    </w:p>
    <w:p w14:paraId="585156FD">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p>
    <w:p w14:paraId="5B58B6EB">
      <w:pPr>
        <w:keepNext w:val="0"/>
        <w:keepLines w:val="0"/>
        <w:pageBreakBefore w:val="0"/>
        <w:kinsoku/>
        <w:wordWrap/>
        <w:overflowPunct/>
        <w:topLinePunct w:val="0"/>
        <w:autoSpaceDE/>
        <w:autoSpaceDN/>
        <w:bidi w:val="0"/>
        <w:spacing w:beforeAutospacing="0" w:afterAutospacing="0" w:line="560" w:lineRule="exact"/>
        <w:textAlignment w:val="auto"/>
        <w:rPr>
          <w:rFonts w:hint="eastAsia" w:ascii="仿宋_GB2312" w:hAnsi="仿宋_GB2312" w:eastAsia="仿宋_GB2312" w:cs="仿宋_GB2312"/>
          <w:sz w:val="32"/>
          <w:szCs w:val="32"/>
          <w:lang w:eastAsia="zh-CN"/>
        </w:rPr>
      </w:pPr>
    </w:p>
    <w:p w14:paraId="4E9F6447">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附件</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333333"/>
          <w:spacing w:val="0"/>
          <w:sz w:val="32"/>
          <w:szCs w:val="32"/>
          <w:shd w:val="clear" w:fill="FFFFFF"/>
        </w:rPr>
        <w:t>行政执法规范用语指引</w:t>
      </w:r>
    </w:p>
    <w:p w14:paraId="513B4D66">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firstLine="0"/>
        <w:jc w:val="left"/>
        <w:textAlignment w:val="auto"/>
        <w:rPr>
          <w:rFonts w:hint="eastAsia" w:ascii="仿宋_GB2312" w:hAnsi="仿宋_GB2312" w:eastAsia="仿宋_GB2312" w:cs="仿宋_GB2312"/>
          <w:i w:val="0"/>
          <w:iCs w:val="0"/>
          <w:caps w:val="0"/>
          <w:color w:val="333333"/>
          <w:spacing w:val="0"/>
          <w:sz w:val="32"/>
          <w:szCs w:val="32"/>
          <w:lang w:eastAsia="zh-CN"/>
        </w:rPr>
      </w:pPr>
    </w:p>
    <w:p w14:paraId="3F883CE1">
      <w:pPr>
        <w:pStyle w:val="6"/>
        <w:keepNext w:val="0"/>
        <w:keepLines w:val="0"/>
        <w:widowControl/>
        <w:suppressLineNumbers w:val="0"/>
        <w:shd w:val="clear" w:fill="FFFFFF"/>
        <w:ind w:left="0" w:firstLine="0"/>
        <w:jc w:val="center"/>
        <w:rPr>
          <w:rFonts w:hint="eastAsia" w:ascii="宋体" w:hAnsi="宋体" w:eastAsia="宋体" w:cs="宋体"/>
          <w:i w:val="0"/>
          <w:iCs w:val="0"/>
          <w:caps w:val="0"/>
          <w:color w:val="333333"/>
          <w:spacing w:val="0"/>
          <w:shd w:val="clear" w:fill="FFFFFF"/>
        </w:rPr>
      </w:pPr>
      <w:r>
        <w:rPr>
          <w:rFonts w:hint="eastAsia" w:ascii="宋体" w:hAnsi="宋体" w:eastAsia="宋体" w:cs="宋体"/>
          <w:i w:val="0"/>
          <w:iCs w:val="0"/>
          <w:caps w:val="0"/>
          <w:color w:val="333333"/>
          <w:spacing w:val="0"/>
          <w:shd w:val="clear" w:fill="FFFFFF"/>
        </w:rPr>
        <w:t>　　</w:t>
      </w:r>
    </w:p>
    <w:p w14:paraId="70FF328D">
      <w:pPr>
        <w:pStyle w:val="6"/>
        <w:keepNext w:val="0"/>
        <w:keepLines w:val="0"/>
        <w:widowControl/>
        <w:suppressLineNumbers w:val="0"/>
        <w:shd w:val="clear" w:fill="FFFFFF"/>
        <w:ind w:left="0" w:firstLine="0"/>
        <w:jc w:val="center"/>
        <w:rPr>
          <w:rFonts w:hint="eastAsia" w:ascii="宋体" w:hAnsi="宋体" w:eastAsia="宋体" w:cs="宋体"/>
          <w:i w:val="0"/>
          <w:iCs w:val="0"/>
          <w:caps w:val="0"/>
          <w:color w:val="333333"/>
          <w:spacing w:val="0"/>
          <w:shd w:val="clear" w:fill="FFFFFF"/>
        </w:rPr>
      </w:pPr>
    </w:p>
    <w:p w14:paraId="278E4B97">
      <w:pPr>
        <w:pStyle w:val="6"/>
        <w:keepNext w:val="0"/>
        <w:keepLines w:val="0"/>
        <w:widowControl/>
        <w:suppressLineNumbers w:val="0"/>
        <w:shd w:val="clear" w:fill="FFFFFF"/>
        <w:ind w:left="0" w:firstLine="0"/>
        <w:jc w:val="center"/>
        <w:rPr>
          <w:rFonts w:hint="eastAsia" w:ascii="宋体" w:hAnsi="宋体" w:eastAsia="宋体" w:cs="宋体"/>
          <w:i w:val="0"/>
          <w:iCs w:val="0"/>
          <w:caps w:val="0"/>
          <w:color w:val="333333"/>
          <w:spacing w:val="0"/>
          <w:shd w:val="clear" w:fill="FFFFFF"/>
        </w:rPr>
      </w:pPr>
    </w:p>
    <w:p w14:paraId="18537E7C">
      <w:pPr>
        <w:keepNext w:val="0"/>
        <w:keepLines w:val="0"/>
        <w:widowControl/>
        <w:suppressLineNumbers w:val="0"/>
        <w:ind w:left="0" w:firstLine="0"/>
        <w:jc w:val="left"/>
        <w:rPr>
          <w:rFonts w:hint="eastAsia" w:ascii="黑体" w:hAnsi="黑体" w:eastAsia="黑体" w:cs="黑体"/>
          <w:caps w:val="0"/>
          <w:color w:val="auto"/>
          <w:spacing w:val="0"/>
          <w:kern w:val="0"/>
          <w:sz w:val="32"/>
          <w:szCs w:val="32"/>
          <w:lang w:val="en-US" w:eastAsia="zh-CN" w:bidi="ar"/>
        </w:rPr>
      </w:pPr>
      <w:r>
        <w:rPr>
          <w:rFonts w:hint="eastAsia" w:ascii="黑体" w:hAnsi="黑体" w:eastAsia="黑体" w:cs="黑体"/>
          <w:caps w:val="0"/>
          <w:color w:val="auto"/>
          <w:spacing w:val="0"/>
          <w:kern w:val="0"/>
          <w:sz w:val="32"/>
          <w:szCs w:val="32"/>
          <w:lang w:val="en-US" w:eastAsia="zh-CN" w:bidi="ar"/>
        </w:rPr>
        <w:t>附件</w:t>
      </w:r>
    </w:p>
    <w:p w14:paraId="71FE7313">
      <w:pPr>
        <w:pStyle w:val="6"/>
        <w:keepNext w:val="0"/>
        <w:keepLines w:val="0"/>
        <w:widowControl/>
        <w:suppressLineNumbers w:val="0"/>
        <w:shd w:val="clear" w:fill="FFFFFF"/>
        <w:ind w:left="0" w:firstLine="0"/>
        <w:jc w:val="center"/>
        <w:rPr>
          <w:rFonts w:hint="eastAsia" w:ascii="方正小标宋简体" w:hAnsi="方正小标宋简体" w:eastAsia="方正小标宋简体" w:cs="方正小标宋简体"/>
          <w:i w:val="0"/>
          <w:iCs w:val="0"/>
          <w:caps w:val="0"/>
          <w:color w:val="333333"/>
          <w:spacing w:val="0"/>
          <w:sz w:val="44"/>
          <w:szCs w:val="44"/>
        </w:rPr>
      </w:pPr>
      <w:r>
        <w:rPr>
          <w:rFonts w:hint="eastAsia" w:ascii="方正小标宋简体" w:hAnsi="方正小标宋简体" w:eastAsia="方正小标宋简体" w:cs="方正小标宋简体"/>
          <w:i w:val="0"/>
          <w:iCs w:val="0"/>
          <w:caps w:val="0"/>
          <w:color w:val="333333"/>
          <w:spacing w:val="0"/>
          <w:sz w:val="44"/>
          <w:szCs w:val="44"/>
          <w:shd w:val="clear" w:fill="FFFFFF"/>
        </w:rPr>
        <w:t>行政执法规范用语指引</w:t>
      </w:r>
    </w:p>
    <w:tbl>
      <w:tblPr>
        <w:tblStyle w:val="8"/>
        <w:tblW w:w="5000" w:type="pct"/>
        <w:tblCellSpacing w:w="0" w:type="dxa"/>
        <w:tblInd w:w="15"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30" w:type="dxa"/>
          <w:left w:w="30" w:type="dxa"/>
          <w:bottom w:w="30" w:type="dxa"/>
          <w:right w:w="30" w:type="dxa"/>
        </w:tblCellMar>
      </w:tblPr>
      <w:tblGrid>
        <w:gridCol w:w="1440"/>
        <w:gridCol w:w="5160"/>
        <w:gridCol w:w="2562"/>
      </w:tblGrid>
      <w:tr w14:paraId="41D6617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4C20B584">
            <w:pPr>
              <w:pStyle w:val="6"/>
              <w:keepNext w:val="0"/>
              <w:keepLines w:val="0"/>
              <w:widowControl/>
              <w:suppressLineNumbers w:val="0"/>
              <w:jc w:val="center"/>
            </w:pPr>
            <w:r>
              <w:rPr>
                <w:rStyle w:val="10"/>
                <w:rFonts w:hint="eastAsia" w:ascii="宋体" w:hAnsi="宋体" w:eastAsia="宋体" w:cs="宋体"/>
                <w:i w:val="0"/>
                <w:iCs w:val="0"/>
                <w:caps w:val="0"/>
                <w:color w:val="333333"/>
                <w:spacing w:val="0"/>
              </w:rPr>
              <w:t>过程情形</w:t>
            </w:r>
          </w:p>
        </w:tc>
        <w:tc>
          <w:tcPr>
            <w:tcW w:w="5160" w:type="dxa"/>
            <w:shd w:val="clear" w:color="auto" w:fill="FFFFFF"/>
            <w:vAlign w:val="center"/>
          </w:tcPr>
          <w:p w14:paraId="7EA28530">
            <w:pPr>
              <w:pStyle w:val="6"/>
              <w:keepNext w:val="0"/>
              <w:keepLines w:val="0"/>
              <w:widowControl/>
              <w:suppressLineNumbers w:val="0"/>
              <w:jc w:val="center"/>
            </w:pPr>
            <w:r>
              <w:rPr>
                <w:rStyle w:val="10"/>
                <w:rFonts w:hint="eastAsia" w:ascii="宋体" w:hAnsi="宋体" w:eastAsia="宋体" w:cs="宋体"/>
                <w:i w:val="0"/>
                <w:iCs w:val="0"/>
                <w:caps w:val="0"/>
                <w:color w:val="333333"/>
                <w:spacing w:val="0"/>
              </w:rPr>
              <w:t>用语规范</w:t>
            </w:r>
          </w:p>
        </w:tc>
        <w:tc>
          <w:tcPr>
            <w:tcW w:w="0" w:type="auto"/>
            <w:shd w:val="clear" w:color="auto" w:fill="FFFFFF"/>
            <w:vAlign w:val="center"/>
          </w:tcPr>
          <w:p w14:paraId="60A689CC">
            <w:pPr>
              <w:pStyle w:val="6"/>
              <w:keepNext w:val="0"/>
              <w:keepLines w:val="0"/>
              <w:widowControl/>
              <w:suppressLineNumbers w:val="0"/>
              <w:jc w:val="center"/>
            </w:pPr>
            <w:r>
              <w:rPr>
                <w:rStyle w:val="10"/>
                <w:rFonts w:hint="eastAsia" w:ascii="宋体" w:hAnsi="宋体" w:eastAsia="宋体" w:cs="宋体"/>
                <w:i w:val="0"/>
                <w:iCs w:val="0"/>
                <w:caps w:val="0"/>
                <w:color w:val="333333"/>
                <w:spacing w:val="0"/>
              </w:rPr>
              <w:t>备注</w:t>
            </w:r>
          </w:p>
        </w:tc>
      </w:tr>
      <w:tr w14:paraId="6DEF761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5CE0726D">
            <w:pPr>
              <w:pStyle w:val="6"/>
              <w:keepNext w:val="0"/>
              <w:keepLines w:val="0"/>
              <w:widowControl/>
              <w:suppressLineNumbers w:val="0"/>
              <w:jc w:val="left"/>
            </w:pPr>
            <w:r>
              <w:rPr>
                <w:rFonts w:hint="eastAsia" w:ascii="宋体" w:hAnsi="宋体" w:eastAsia="宋体" w:cs="宋体"/>
                <w:i w:val="0"/>
                <w:iCs w:val="0"/>
                <w:caps w:val="0"/>
                <w:color w:val="333333"/>
                <w:spacing w:val="0"/>
              </w:rPr>
              <w:t>表明身份</w:t>
            </w:r>
          </w:p>
        </w:tc>
        <w:tc>
          <w:tcPr>
            <w:tcW w:w="5160" w:type="dxa"/>
            <w:shd w:val="clear" w:color="auto" w:fill="FFFFFF"/>
            <w:vAlign w:val="center"/>
          </w:tcPr>
          <w:p w14:paraId="4F2B8CA2">
            <w:pPr>
              <w:pStyle w:val="6"/>
              <w:keepNext w:val="0"/>
              <w:keepLines w:val="0"/>
              <w:widowControl/>
              <w:suppressLineNumbers w:val="0"/>
              <w:jc w:val="left"/>
            </w:pPr>
            <w:r>
              <w:rPr>
                <w:rFonts w:hint="eastAsia" w:ascii="宋体" w:hAnsi="宋体" w:eastAsia="宋体" w:cs="宋体"/>
                <w:i w:val="0"/>
                <w:iCs w:val="0"/>
                <w:caps w:val="0"/>
                <w:color w:val="333333"/>
                <w:spacing w:val="0"/>
              </w:rPr>
              <w:t>你好！我们是XX（行政执法主体名称）执法人员XX和XX，这是我们的行政执法证件。</w:t>
            </w:r>
          </w:p>
        </w:tc>
        <w:tc>
          <w:tcPr>
            <w:tcW w:w="0" w:type="auto"/>
            <w:shd w:val="clear" w:color="auto" w:fill="FFFFFF"/>
            <w:vAlign w:val="center"/>
          </w:tcPr>
          <w:p w14:paraId="09A854F2">
            <w:pPr>
              <w:pStyle w:val="6"/>
              <w:keepNext w:val="0"/>
              <w:keepLines w:val="0"/>
              <w:widowControl/>
              <w:suppressLineNumbers w:val="0"/>
              <w:jc w:val="left"/>
            </w:pPr>
            <w:r>
              <w:rPr>
                <w:rFonts w:hint="eastAsia" w:ascii="宋体" w:hAnsi="宋体" w:eastAsia="宋体" w:cs="宋体"/>
                <w:i w:val="0"/>
                <w:iCs w:val="0"/>
                <w:caps w:val="0"/>
                <w:color w:val="333333"/>
                <w:spacing w:val="0"/>
              </w:rPr>
              <w:t>表明身份时应同时出示证件，确保证件可见；如遇当事人有阅读障碍，可口头宣读证件内容。</w:t>
            </w:r>
          </w:p>
        </w:tc>
      </w:tr>
      <w:tr w14:paraId="44759B3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31AA021A">
            <w:pPr>
              <w:pStyle w:val="6"/>
              <w:keepNext w:val="0"/>
              <w:keepLines w:val="0"/>
              <w:widowControl/>
              <w:suppressLineNumbers w:val="0"/>
              <w:jc w:val="left"/>
            </w:pPr>
            <w:r>
              <w:rPr>
                <w:rFonts w:hint="eastAsia" w:ascii="宋体" w:hAnsi="宋体" w:eastAsia="宋体" w:cs="宋体"/>
                <w:i w:val="0"/>
                <w:iCs w:val="0"/>
                <w:caps w:val="0"/>
                <w:color w:val="333333"/>
                <w:spacing w:val="0"/>
              </w:rPr>
              <w:t>检查调查</w:t>
            </w:r>
          </w:p>
        </w:tc>
        <w:tc>
          <w:tcPr>
            <w:tcW w:w="5160" w:type="dxa"/>
            <w:shd w:val="clear" w:color="auto" w:fill="FFFFFF"/>
            <w:vAlign w:val="center"/>
          </w:tcPr>
          <w:p w14:paraId="01F9CB64">
            <w:pPr>
              <w:pStyle w:val="6"/>
              <w:keepNext w:val="0"/>
              <w:keepLines w:val="0"/>
              <w:widowControl/>
              <w:suppressLineNumbers w:val="0"/>
              <w:jc w:val="left"/>
            </w:pPr>
            <w:r>
              <w:rPr>
                <w:rFonts w:hint="eastAsia" w:ascii="宋体" w:hAnsi="宋体" w:eastAsia="宋体" w:cs="宋体"/>
                <w:i w:val="0"/>
                <w:iCs w:val="0"/>
                <w:caps w:val="0"/>
                <w:color w:val="333333"/>
                <w:spacing w:val="0"/>
              </w:rPr>
              <w:t>我们根据XX（依据）依法对你（单位）进行XX（具体事项）检查（核查），请你（单位）协助和配合。</w:t>
            </w:r>
          </w:p>
        </w:tc>
        <w:tc>
          <w:tcPr>
            <w:tcW w:w="0" w:type="auto"/>
            <w:shd w:val="clear" w:color="auto" w:fill="FFFFFF"/>
            <w:vAlign w:val="center"/>
          </w:tcPr>
          <w:p w14:paraId="4E3534B0">
            <w:pPr>
              <w:pStyle w:val="6"/>
              <w:keepNext w:val="0"/>
              <w:keepLines w:val="0"/>
              <w:widowControl/>
              <w:suppressLineNumbers w:val="0"/>
              <w:jc w:val="left"/>
            </w:pPr>
            <w:r>
              <w:rPr>
                <w:rFonts w:hint="eastAsia" w:ascii="宋体" w:hAnsi="宋体" w:eastAsia="宋体" w:cs="宋体"/>
                <w:i w:val="0"/>
                <w:iCs w:val="0"/>
                <w:caps w:val="0"/>
                <w:color w:val="333333"/>
                <w:spacing w:val="0"/>
              </w:rPr>
              <w:t>应明确告知检查依据和具体事项，不得含糊其辞或扩大检查范围。</w:t>
            </w:r>
          </w:p>
        </w:tc>
      </w:tr>
      <w:tr w14:paraId="1E151F0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2D80D4E5">
            <w:pPr>
              <w:pStyle w:val="6"/>
              <w:keepNext w:val="0"/>
              <w:keepLines w:val="0"/>
              <w:widowControl/>
              <w:suppressLineNumbers w:val="0"/>
              <w:jc w:val="left"/>
            </w:pPr>
            <w:r>
              <w:rPr>
                <w:rFonts w:hint="eastAsia" w:ascii="宋体" w:hAnsi="宋体" w:eastAsia="宋体" w:cs="宋体"/>
                <w:i w:val="0"/>
                <w:iCs w:val="0"/>
                <w:caps w:val="0"/>
                <w:color w:val="333333"/>
                <w:spacing w:val="0"/>
              </w:rPr>
              <w:t>音像记录</w:t>
            </w:r>
          </w:p>
        </w:tc>
        <w:tc>
          <w:tcPr>
            <w:tcW w:w="5160" w:type="dxa"/>
            <w:shd w:val="clear" w:color="auto" w:fill="FFFFFF"/>
            <w:vAlign w:val="center"/>
          </w:tcPr>
          <w:p w14:paraId="5447E202">
            <w:pPr>
              <w:pStyle w:val="6"/>
              <w:keepNext w:val="0"/>
              <w:keepLines w:val="0"/>
              <w:widowControl/>
              <w:suppressLineNumbers w:val="0"/>
              <w:jc w:val="left"/>
            </w:pPr>
            <w:r>
              <w:rPr>
                <w:rFonts w:hint="eastAsia" w:ascii="宋体" w:hAnsi="宋体" w:eastAsia="宋体" w:cs="宋体"/>
                <w:i w:val="0"/>
                <w:iCs w:val="0"/>
                <w:caps w:val="0"/>
                <w:color w:val="333333"/>
                <w:spacing w:val="0"/>
              </w:rPr>
              <w:t>根据工作要求，我们将通过执法记录仪对执法工作进行记录，记录所产生的音像资料将作为视听资料证据。</w:t>
            </w:r>
          </w:p>
        </w:tc>
        <w:tc>
          <w:tcPr>
            <w:tcW w:w="0" w:type="auto"/>
            <w:shd w:val="clear" w:color="auto" w:fill="FFFFFF"/>
            <w:vAlign w:val="center"/>
          </w:tcPr>
          <w:p w14:paraId="054EEE05">
            <w:pPr>
              <w:pStyle w:val="6"/>
              <w:keepNext w:val="0"/>
              <w:keepLines w:val="0"/>
              <w:widowControl/>
              <w:suppressLineNumbers w:val="0"/>
              <w:jc w:val="left"/>
            </w:pPr>
            <w:r>
              <w:rPr>
                <w:rFonts w:hint="eastAsia" w:ascii="宋体" w:hAnsi="宋体" w:eastAsia="宋体" w:cs="宋体"/>
                <w:i w:val="0"/>
                <w:iCs w:val="0"/>
                <w:caps w:val="0"/>
                <w:color w:val="333333"/>
                <w:spacing w:val="0"/>
              </w:rPr>
              <w:t>开启记录设备后，宜先说明日期、事由、执法人员及检查对象，以增强记录完整性。</w:t>
            </w:r>
          </w:p>
        </w:tc>
      </w:tr>
      <w:tr w14:paraId="4C06D13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1D4C0828">
            <w:pPr>
              <w:pStyle w:val="6"/>
              <w:keepNext w:val="0"/>
              <w:keepLines w:val="0"/>
              <w:widowControl/>
              <w:suppressLineNumbers w:val="0"/>
              <w:jc w:val="left"/>
            </w:pPr>
            <w:r>
              <w:rPr>
                <w:rFonts w:hint="eastAsia" w:ascii="宋体" w:hAnsi="宋体" w:eastAsia="宋体" w:cs="宋体"/>
                <w:i w:val="0"/>
                <w:iCs w:val="0"/>
                <w:caps w:val="0"/>
                <w:color w:val="333333"/>
                <w:spacing w:val="0"/>
              </w:rPr>
              <w:t>开展询问</w:t>
            </w:r>
          </w:p>
        </w:tc>
        <w:tc>
          <w:tcPr>
            <w:tcW w:w="5160" w:type="dxa"/>
            <w:shd w:val="clear" w:color="auto" w:fill="FFFFFF"/>
            <w:vAlign w:val="center"/>
          </w:tcPr>
          <w:p w14:paraId="104B5BB0">
            <w:pPr>
              <w:pStyle w:val="6"/>
              <w:keepNext w:val="0"/>
              <w:keepLines w:val="0"/>
              <w:widowControl/>
              <w:suppressLineNumbers w:val="0"/>
              <w:jc w:val="left"/>
            </w:pPr>
            <w:r>
              <w:rPr>
                <w:rFonts w:hint="eastAsia" w:ascii="宋体" w:hAnsi="宋体" w:eastAsia="宋体" w:cs="宋体"/>
                <w:i w:val="0"/>
                <w:iCs w:val="0"/>
                <w:caps w:val="0"/>
                <w:color w:val="333333"/>
                <w:spacing w:val="0"/>
              </w:rPr>
              <w:t>请你带齐XX材料并于XX月XX日前到XX单位XX部门接受询问调查，如有疑问，请拨打XX电话联系XX同志。</w:t>
            </w:r>
          </w:p>
        </w:tc>
        <w:tc>
          <w:tcPr>
            <w:tcW w:w="0" w:type="auto"/>
            <w:shd w:val="clear" w:color="auto" w:fill="FFFFFF"/>
            <w:vAlign w:val="center"/>
          </w:tcPr>
          <w:p w14:paraId="7155AFD0">
            <w:pPr>
              <w:pStyle w:val="6"/>
              <w:keepNext w:val="0"/>
              <w:keepLines w:val="0"/>
              <w:widowControl/>
              <w:suppressLineNumbers w:val="0"/>
              <w:jc w:val="left"/>
            </w:pPr>
            <w:r>
              <w:rPr>
                <w:rFonts w:hint="eastAsia" w:ascii="宋体" w:hAnsi="宋体" w:eastAsia="宋体" w:cs="宋体"/>
                <w:i w:val="0"/>
                <w:iCs w:val="0"/>
                <w:caps w:val="0"/>
                <w:color w:val="333333"/>
                <w:spacing w:val="0"/>
              </w:rPr>
              <w:t>询问通知书应提前送达，并确保当事人知晓联系人及联系方式。</w:t>
            </w:r>
          </w:p>
        </w:tc>
      </w:tr>
      <w:tr w14:paraId="35D8D97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3C09C85B">
            <w:pPr>
              <w:pStyle w:val="6"/>
              <w:keepNext w:val="0"/>
              <w:keepLines w:val="0"/>
              <w:widowControl/>
              <w:suppressLineNumbers w:val="0"/>
              <w:jc w:val="left"/>
            </w:pPr>
            <w:r>
              <w:rPr>
                <w:rFonts w:hint="eastAsia" w:ascii="宋体" w:hAnsi="宋体" w:eastAsia="宋体" w:cs="宋体"/>
                <w:i w:val="0"/>
                <w:iCs w:val="0"/>
                <w:caps w:val="0"/>
                <w:color w:val="333333"/>
                <w:spacing w:val="0"/>
              </w:rPr>
              <w:t>笔录签字</w:t>
            </w:r>
          </w:p>
        </w:tc>
        <w:tc>
          <w:tcPr>
            <w:tcW w:w="5160" w:type="dxa"/>
            <w:shd w:val="clear" w:color="auto" w:fill="FFFFFF"/>
            <w:vAlign w:val="center"/>
          </w:tcPr>
          <w:p w14:paraId="3C48639A">
            <w:pPr>
              <w:pStyle w:val="6"/>
              <w:keepNext w:val="0"/>
              <w:keepLines w:val="0"/>
              <w:widowControl/>
              <w:suppressLineNumbers w:val="0"/>
              <w:jc w:val="left"/>
            </w:pPr>
            <w:r>
              <w:rPr>
                <w:rFonts w:hint="eastAsia" w:ascii="宋体" w:hAnsi="宋体" w:eastAsia="宋体" w:cs="宋体"/>
                <w:i w:val="0"/>
                <w:iCs w:val="0"/>
                <w:caps w:val="0"/>
                <w:color w:val="333333"/>
                <w:spacing w:val="0"/>
              </w:rPr>
              <w:t>以上是本次询问情况的记录，请核对/已向你宣读。如有遗漏或错误，请你指出并由我们进行补充或更正；如核对无误，请你逐页签字/盖章。如果你拒绝签字，我们将记录在案，依法处理。</w:t>
            </w:r>
          </w:p>
        </w:tc>
        <w:tc>
          <w:tcPr>
            <w:tcW w:w="0" w:type="auto"/>
            <w:shd w:val="clear" w:color="auto" w:fill="FFFFFF"/>
            <w:vAlign w:val="center"/>
          </w:tcPr>
          <w:p w14:paraId="2FEC1185">
            <w:pPr>
              <w:pStyle w:val="6"/>
              <w:keepNext w:val="0"/>
              <w:keepLines w:val="0"/>
              <w:widowControl/>
              <w:suppressLineNumbers w:val="0"/>
              <w:jc w:val="left"/>
            </w:pPr>
            <w:r>
              <w:rPr>
                <w:rFonts w:hint="eastAsia" w:ascii="宋体" w:hAnsi="宋体" w:eastAsia="宋体" w:cs="宋体"/>
                <w:i w:val="0"/>
                <w:iCs w:val="0"/>
                <w:caps w:val="0"/>
                <w:color w:val="333333"/>
                <w:spacing w:val="0"/>
              </w:rPr>
              <w:t>当事人拒绝签字的，应在笔录中如实注明并由两名执法人员签名确认。</w:t>
            </w:r>
          </w:p>
        </w:tc>
      </w:tr>
      <w:tr w14:paraId="44191E8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4F914896">
            <w:pPr>
              <w:pStyle w:val="6"/>
              <w:keepNext w:val="0"/>
              <w:keepLines w:val="0"/>
              <w:widowControl/>
              <w:suppressLineNumbers w:val="0"/>
              <w:jc w:val="left"/>
            </w:pPr>
            <w:r>
              <w:rPr>
                <w:rFonts w:hint="eastAsia" w:ascii="宋体" w:hAnsi="宋体" w:eastAsia="宋体" w:cs="宋体"/>
                <w:i w:val="0"/>
                <w:iCs w:val="0"/>
                <w:caps w:val="0"/>
                <w:color w:val="333333"/>
                <w:spacing w:val="0"/>
              </w:rPr>
              <w:t>拟作出行政处罚告知</w:t>
            </w:r>
          </w:p>
        </w:tc>
        <w:tc>
          <w:tcPr>
            <w:tcW w:w="5160" w:type="dxa"/>
            <w:shd w:val="clear" w:color="auto" w:fill="FFFFFF"/>
            <w:vAlign w:val="center"/>
          </w:tcPr>
          <w:p w14:paraId="44C6928B">
            <w:pPr>
              <w:pStyle w:val="6"/>
              <w:keepNext w:val="0"/>
              <w:keepLines w:val="0"/>
              <w:widowControl/>
              <w:suppressLineNumbers w:val="0"/>
              <w:jc w:val="left"/>
            </w:pPr>
            <w:r>
              <w:rPr>
                <w:rFonts w:hint="eastAsia" w:ascii="宋体" w:hAnsi="宋体" w:eastAsia="宋体" w:cs="宋体"/>
                <w:i w:val="0"/>
                <w:iCs w:val="0"/>
                <w:caps w:val="0"/>
                <w:color w:val="333333"/>
                <w:spacing w:val="0"/>
              </w:rPr>
              <w:t>通过检查（核查），发现你（单位）XX行为涉嫌违反了《XX》第XX条（第XX款）（第XX项）的规定，属于XX违法行为，依法拟对你（单位）处以XX处罚，你（单位）依法享有陈述、申辩的权利。现在你（单位）可以进行陈述和申辩（拟作出的行政处罚属于听证范围的，还应当告知当事人有要求听证的权利）。</w:t>
            </w:r>
          </w:p>
        </w:tc>
        <w:tc>
          <w:tcPr>
            <w:tcW w:w="0" w:type="auto"/>
            <w:shd w:val="clear" w:color="auto" w:fill="FFFFFF"/>
            <w:vAlign w:val="center"/>
          </w:tcPr>
          <w:p w14:paraId="3266B5DC">
            <w:pPr>
              <w:pStyle w:val="6"/>
              <w:keepNext w:val="0"/>
              <w:keepLines w:val="0"/>
              <w:widowControl/>
              <w:suppressLineNumbers w:val="0"/>
              <w:jc w:val="left"/>
            </w:pPr>
            <w:r>
              <w:rPr>
                <w:rFonts w:hint="eastAsia" w:ascii="宋体" w:hAnsi="宋体" w:eastAsia="宋体" w:cs="宋体"/>
                <w:i w:val="0"/>
                <w:iCs w:val="0"/>
                <w:caps w:val="0"/>
                <w:color w:val="333333"/>
                <w:spacing w:val="0"/>
              </w:rPr>
              <w:t>应充分告知拟处罚内容及依据，并保障当事人陈述、申辩权；属于听证范围的，必须明确告知听证权利。</w:t>
            </w:r>
          </w:p>
        </w:tc>
      </w:tr>
      <w:tr w14:paraId="6183509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4A014AAA">
            <w:pPr>
              <w:pStyle w:val="6"/>
              <w:keepNext w:val="0"/>
              <w:keepLines w:val="0"/>
              <w:widowControl/>
              <w:suppressLineNumbers w:val="0"/>
              <w:jc w:val="left"/>
            </w:pPr>
            <w:r>
              <w:rPr>
                <w:rFonts w:hint="eastAsia" w:ascii="宋体" w:hAnsi="宋体" w:eastAsia="宋体" w:cs="宋体"/>
                <w:i w:val="0"/>
                <w:iCs w:val="0"/>
                <w:caps w:val="0"/>
                <w:color w:val="333333"/>
                <w:spacing w:val="0"/>
              </w:rPr>
              <w:t>行政处罚决定书宣告</w:t>
            </w:r>
          </w:p>
        </w:tc>
        <w:tc>
          <w:tcPr>
            <w:tcW w:w="5160" w:type="dxa"/>
            <w:shd w:val="clear" w:color="auto" w:fill="FFFFFF"/>
            <w:vAlign w:val="center"/>
          </w:tcPr>
          <w:p w14:paraId="01C33DC7">
            <w:pPr>
              <w:pStyle w:val="6"/>
              <w:keepNext w:val="0"/>
              <w:keepLines w:val="0"/>
              <w:widowControl/>
              <w:suppressLineNumbers w:val="0"/>
              <w:jc w:val="left"/>
            </w:pPr>
            <w:r>
              <w:rPr>
                <w:rFonts w:hint="eastAsia" w:ascii="宋体" w:hAnsi="宋体" w:eastAsia="宋体" w:cs="宋体"/>
                <w:i w:val="0"/>
                <w:iCs w:val="0"/>
                <w:caps w:val="0"/>
                <w:color w:val="333333"/>
                <w:spacing w:val="0"/>
              </w:rPr>
              <w:t>经查实，你（单位）XX行为，违反了《XX》第XX条（第XX款）（第XX项）的规定，根据《XX》第XX条（第XX款）（第XX项）的规定，我局现作出XX（行政处罚决定书编号）《行政处罚决定书》，决定对你（单位）处以XX（具体行政处罚内容）。请在XX日内XX（履行方式和途径）履行。</w:t>
            </w:r>
          </w:p>
        </w:tc>
        <w:tc>
          <w:tcPr>
            <w:tcW w:w="0" w:type="auto"/>
            <w:shd w:val="clear" w:color="auto" w:fill="FFFFFF"/>
            <w:vAlign w:val="center"/>
          </w:tcPr>
          <w:p w14:paraId="493324A1">
            <w:pPr>
              <w:pStyle w:val="6"/>
              <w:keepNext w:val="0"/>
              <w:keepLines w:val="0"/>
              <w:widowControl/>
              <w:suppressLineNumbers w:val="0"/>
              <w:jc w:val="left"/>
            </w:pPr>
            <w:r>
              <w:rPr>
                <w:rFonts w:hint="eastAsia" w:ascii="宋体" w:hAnsi="宋体" w:eastAsia="宋体" w:cs="宋体"/>
                <w:i w:val="0"/>
                <w:iCs w:val="0"/>
                <w:caps w:val="0"/>
                <w:color w:val="333333"/>
                <w:spacing w:val="0"/>
              </w:rPr>
              <w:t>宣告时应同时送达书面决定书，并当场说明履行方式、期限及不履行的法律后果。</w:t>
            </w:r>
          </w:p>
        </w:tc>
      </w:tr>
      <w:tr w14:paraId="3528EC1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53012221">
            <w:pPr>
              <w:pStyle w:val="6"/>
              <w:keepNext w:val="0"/>
              <w:keepLines w:val="0"/>
              <w:widowControl/>
              <w:suppressLineNumbers w:val="0"/>
              <w:jc w:val="left"/>
            </w:pPr>
            <w:r>
              <w:rPr>
                <w:rFonts w:hint="eastAsia" w:ascii="宋体" w:hAnsi="宋体" w:eastAsia="宋体" w:cs="宋体"/>
                <w:i w:val="0"/>
                <w:iCs w:val="0"/>
                <w:caps w:val="0"/>
                <w:color w:val="333333"/>
                <w:spacing w:val="0"/>
              </w:rPr>
              <w:t>行政强制措施宣告</w:t>
            </w:r>
          </w:p>
        </w:tc>
        <w:tc>
          <w:tcPr>
            <w:tcW w:w="5160" w:type="dxa"/>
            <w:shd w:val="clear" w:color="auto" w:fill="FFFFFF"/>
            <w:vAlign w:val="center"/>
          </w:tcPr>
          <w:p w14:paraId="2A6BE9E4">
            <w:pPr>
              <w:pStyle w:val="6"/>
              <w:keepNext w:val="0"/>
              <w:keepLines w:val="0"/>
              <w:widowControl/>
              <w:suppressLineNumbers w:val="0"/>
              <w:jc w:val="left"/>
            </w:pPr>
            <w:r>
              <w:rPr>
                <w:rFonts w:hint="eastAsia" w:ascii="宋体" w:hAnsi="宋体" w:eastAsia="宋体" w:cs="宋体"/>
                <w:i w:val="0"/>
                <w:iCs w:val="0"/>
                <w:caps w:val="0"/>
                <w:color w:val="333333"/>
                <w:spacing w:val="0"/>
              </w:rPr>
              <w:t>你（单位）正在进行的XX行为涉嫌违反了《XX》第XX条（第XX款）（第XX项）的规定，依据《XX》第XX条（第XX款）（第XX项）的规定，我局执法人员需要对XX场所（XX物品或XX工具）实施XX强制措施，实施期限为XX日，请你（单位）配合。你（单位）依法享有陈述、申辩的权利。这是《实施行政强制措施决定书》和《场所/设施/财物清单》，请你核对。如果没有异议，请你在现场笔录和清单上签名或盖章。</w:t>
            </w:r>
          </w:p>
        </w:tc>
        <w:tc>
          <w:tcPr>
            <w:tcW w:w="0" w:type="auto"/>
            <w:shd w:val="clear" w:color="auto" w:fill="FFFFFF"/>
            <w:vAlign w:val="center"/>
          </w:tcPr>
          <w:p w14:paraId="185540F2">
            <w:pPr>
              <w:pStyle w:val="6"/>
              <w:keepNext w:val="0"/>
              <w:keepLines w:val="0"/>
              <w:widowControl/>
              <w:suppressLineNumbers w:val="0"/>
              <w:jc w:val="left"/>
            </w:pPr>
            <w:r>
              <w:rPr>
                <w:rFonts w:hint="eastAsia" w:ascii="宋体" w:hAnsi="宋体" w:eastAsia="宋体" w:cs="宋体"/>
                <w:i w:val="0"/>
                <w:iCs w:val="0"/>
                <w:caps w:val="0"/>
                <w:color w:val="333333"/>
                <w:spacing w:val="0"/>
              </w:rPr>
              <w:t>实施强制措施必须有明确法律依据，不得随意扩大对象范围；当场交付文书并制作现场笔录。</w:t>
            </w:r>
          </w:p>
        </w:tc>
      </w:tr>
      <w:tr w14:paraId="6DC2652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39123222">
            <w:pPr>
              <w:pStyle w:val="6"/>
              <w:keepNext w:val="0"/>
              <w:keepLines w:val="0"/>
              <w:widowControl/>
              <w:suppressLineNumbers w:val="0"/>
              <w:jc w:val="left"/>
            </w:pPr>
            <w:r>
              <w:rPr>
                <w:rFonts w:hint="eastAsia" w:ascii="宋体" w:hAnsi="宋体" w:eastAsia="宋体" w:cs="宋体"/>
                <w:i w:val="0"/>
                <w:iCs w:val="0"/>
                <w:caps w:val="0"/>
                <w:color w:val="333333"/>
                <w:spacing w:val="0"/>
              </w:rPr>
              <w:t>救济途径告知</w:t>
            </w:r>
          </w:p>
        </w:tc>
        <w:tc>
          <w:tcPr>
            <w:tcW w:w="5160" w:type="dxa"/>
            <w:shd w:val="clear" w:color="auto" w:fill="FFFFFF"/>
            <w:vAlign w:val="center"/>
          </w:tcPr>
          <w:p w14:paraId="2115CF5C">
            <w:pPr>
              <w:pStyle w:val="6"/>
              <w:keepNext w:val="0"/>
              <w:keepLines w:val="0"/>
              <w:widowControl/>
              <w:suppressLineNumbers w:val="0"/>
              <w:jc w:val="left"/>
            </w:pPr>
            <w:r>
              <w:rPr>
                <w:rFonts w:hint="eastAsia" w:ascii="宋体" w:hAnsi="宋体" w:eastAsia="宋体" w:cs="宋体"/>
                <w:i w:val="0"/>
                <w:iCs w:val="0"/>
                <w:caps w:val="0"/>
                <w:color w:val="333333"/>
                <w:spacing w:val="0"/>
              </w:rPr>
              <w:t>你（单位）如不服本行政处罚/行政强制决定，可以在收到本《行政处罚决定书》《实施行政强制措施决定书》之日起60日内依法向XX人民政府申请行政复议（执法主体为国家市场监督管理总局的，向国家市场监督管理总局申请行政复议），或者6个月内向人民法院提起行政诉讼。（对当场作出的行政处罚决定不服，应当先向行政复议机关申请行政复议，对行政复议决定不服的，可以再依法向人民法院提起行政诉讼。）</w:t>
            </w:r>
          </w:p>
        </w:tc>
        <w:tc>
          <w:tcPr>
            <w:tcW w:w="0" w:type="auto"/>
            <w:shd w:val="clear" w:color="auto" w:fill="FFFFFF"/>
            <w:vAlign w:val="center"/>
          </w:tcPr>
          <w:p w14:paraId="57BBBC3C">
            <w:pPr>
              <w:pStyle w:val="6"/>
              <w:keepNext w:val="0"/>
              <w:keepLines w:val="0"/>
              <w:widowControl/>
              <w:suppressLineNumbers w:val="0"/>
              <w:jc w:val="left"/>
            </w:pPr>
            <w:r>
              <w:rPr>
                <w:rFonts w:hint="eastAsia" w:ascii="宋体" w:hAnsi="宋体" w:eastAsia="宋体" w:cs="宋体"/>
                <w:i w:val="0"/>
                <w:iCs w:val="0"/>
                <w:caps w:val="0"/>
                <w:color w:val="333333"/>
                <w:spacing w:val="0"/>
              </w:rPr>
              <w:t>应区分处罚与强制的救济途径，并准确告知复议机关和诉讼法院；注意复议前置情形。</w:t>
            </w:r>
          </w:p>
        </w:tc>
      </w:tr>
      <w:tr w14:paraId="25506A8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20B87971">
            <w:pPr>
              <w:pStyle w:val="6"/>
              <w:keepNext w:val="0"/>
              <w:keepLines w:val="0"/>
              <w:widowControl/>
              <w:suppressLineNumbers w:val="0"/>
              <w:jc w:val="left"/>
            </w:pPr>
            <w:r>
              <w:rPr>
                <w:rFonts w:hint="eastAsia" w:ascii="宋体" w:hAnsi="宋体" w:eastAsia="宋体" w:cs="宋体"/>
                <w:i w:val="0"/>
                <w:iCs w:val="0"/>
                <w:caps w:val="0"/>
                <w:color w:val="333333"/>
                <w:spacing w:val="0"/>
              </w:rPr>
              <w:t>听证告知</w:t>
            </w:r>
          </w:p>
        </w:tc>
        <w:tc>
          <w:tcPr>
            <w:tcW w:w="5160" w:type="dxa"/>
            <w:shd w:val="clear" w:color="auto" w:fill="FFFFFF"/>
            <w:vAlign w:val="center"/>
          </w:tcPr>
          <w:p w14:paraId="47BC1ADD">
            <w:pPr>
              <w:pStyle w:val="6"/>
              <w:keepNext w:val="0"/>
              <w:keepLines w:val="0"/>
              <w:widowControl/>
              <w:suppressLineNumbers w:val="0"/>
              <w:jc w:val="left"/>
            </w:pPr>
            <w:r>
              <w:rPr>
                <w:rFonts w:hint="eastAsia" w:ascii="宋体" w:hAnsi="宋体" w:eastAsia="宋体" w:cs="宋体"/>
                <w:i w:val="0"/>
                <w:iCs w:val="0"/>
                <w:caps w:val="0"/>
                <w:color w:val="333333"/>
                <w:spacing w:val="0"/>
              </w:rPr>
              <w:t>根据你（单位）的要求，本局决定在XX年XX月XX日在XX地点对你（单位）涉嫌XX一案公开/不公开举行听证。由XX担任听证主持人，XX担任听证员，XX担任记录员，XX担任翻译人员，你如认为上述人员与你（单位）存在直接利害关系，有权申请回避。</w:t>
            </w:r>
          </w:p>
        </w:tc>
        <w:tc>
          <w:tcPr>
            <w:tcW w:w="0" w:type="auto"/>
            <w:shd w:val="clear" w:color="auto" w:fill="FFFFFF"/>
            <w:vAlign w:val="center"/>
          </w:tcPr>
          <w:p w14:paraId="65BE354C">
            <w:pPr>
              <w:pStyle w:val="6"/>
              <w:keepNext w:val="0"/>
              <w:keepLines w:val="0"/>
              <w:widowControl/>
              <w:suppressLineNumbers w:val="0"/>
              <w:jc w:val="left"/>
            </w:pPr>
            <w:r>
              <w:rPr>
                <w:rFonts w:hint="eastAsia" w:ascii="宋体" w:hAnsi="宋体" w:eastAsia="宋体" w:cs="宋体"/>
                <w:i w:val="0"/>
                <w:iCs w:val="0"/>
                <w:caps w:val="0"/>
                <w:color w:val="333333"/>
                <w:spacing w:val="0"/>
              </w:rPr>
              <w:t>听证告知应包含时间、地点、人员组成及回避权利；是否公开举行应依法决定。</w:t>
            </w:r>
          </w:p>
        </w:tc>
      </w:tr>
      <w:tr w14:paraId="0A1E009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2FB4DF2E">
            <w:pPr>
              <w:pStyle w:val="6"/>
              <w:keepNext w:val="0"/>
              <w:keepLines w:val="0"/>
              <w:widowControl/>
              <w:suppressLineNumbers w:val="0"/>
              <w:jc w:val="left"/>
            </w:pPr>
            <w:r>
              <w:rPr>
                <w:rFonts w:hint="eastAsia" w:ascii="宋体" w:hAnsi="宋体" w:eastAsia="宋体" w:cs="宋体"/>
                <w:i w:val="0"/>
                <w:iCs w:val="0"/>
                <w:caps w:val="0"/>
                <w:color w:val="333333"/>
                <w:spacing w:val="0"/>
              </w:rPr>
              <w:t>妨碍公务时告知当事人</w:t>
            </w:r>
          </w:p>
        </w:tc>
        <w:tc>
          <w:tcPr>
            <w:tcW w:w="5160" w:type="dxa"/>
            <w:shd w:val="clear" w:color="auto" w:fill="FFFFFF"/>
            <w:vAlign w:val="center"/>
          </w:tcPr>
          <w:p w14:paraId="4DCE2F24">
            <w:pPr>
              <w:pStyle w:val="6"/>
              <w:keepNext w:val="0"/>
              <w:keepLines w:val="0"/>
              <w:widowControl/>
              <w:suppressLineNumbers w:val="0"/>
              <w:jc w:val="left"/>
            </w:pPr>
            <w:r>
              <w:rPr>
                <w:rFonts w:hint="eastAsia" w:ascii="宋体" w:hAnsi="宋体" w:eastAsia="宋体" w:cs="宋体"/>
                <w:i w:val="0"/>
                <w:iCs w:val="0"/>
                <w:caps w:val="0"/>
                <w:color w:val="333333"/>
                <w:spacing w:val="0"/>
              </w:rPr>
              <w:t>请保持冷静！我们是XX（行政执法主体名称）的执法人员，正在依法执行公务，并开启了执法记录仪。你单位应当协助调查或者检查，不得拒绝或者阻挠，请立即停止妨碍公务的行为，否则将承担法律责任（按照相关法律规定具体表述）。如果对我们的执法过程有异议或其他问题的，可以向XX市场监管局或有关纪检监察机关反映。</w:t>
            </w:r>
          </w:p>
        </w:tc>
        <w:tc>
          <w:tcPr>
            <w:tcW w:w="0" w:type="auto"/>
            <w:shd w:val="clear" w:color="auto" w:fill="FFFFFF"/>
            <w:vAlign w:val="center"/>
          </w:tcPr>
          <w:p w14:paraId="4742C60F">
            <w:pPr>
              <w:pStyle w:val="6"/>
              <w:keepNext w:val="0"/>
              <w:keepLines w:val="0"/>
              <w:widowControl/>
              <w:suppressLineNumbers w:val="0"/>
              <w:jc w:val="left"/>
            </w:pPr>
            <w:r>
              <w:rPr>
                <w:rFonts w:hint="eastAsia" w:ascii="宋体" w:hAnsi="宋体" w:eastAsia="宋体" w:cs="宋体"/>
                <w:i w:val="0"/>
                <w:iCs w:val="0"/>
                <w:caps w:val="0"/>
                <w:color w:val="333333"/>
                <w:spacing w:val="0"/>
              </w:rPr>
              <w:t>遇阻挠时执法人员应保持克制，用语理性，不得与当事人发生肢体冲突或使用侮辱性语言。</w:t>
            </w:r>
          </w:p>
        </w:tc>
      </w:tr>
    </w:tbl>
    <w:p w14:paraId="5027A199">
      <w:pPr>
        <w:rPr>
          <w:rFonts w:hint="eastAsia" w:eastAsiaTheme="minorEastAsia"/>
          <w:lang w:eastAsia="zh-CN"/>
        </w:rPr>
      </w:pPr>
    </w:p>
    <w:p w14:paraId="31166D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2ADDE142">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2311E9B3">
      <w:pPr>
        <w:pStyle w:val="7"/>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4EA1FCE4">
      <w:pPr>
        <w:pStyle w:val="7"/>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0C2ACF2C">
      <w:pPr>
        <w:pStyle w:val="7"/>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6276E1BD">
      <w:pPr>
        <w:pStyle w:val="7"/>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181D34F9">
      <w:pPr>
        <w:pStyle w:val="7"/>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2217E93F">
      <w:pPr>
        <w:pStyle w:val="7"/>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5BE47A77">
      <w:pPr>
        <w:pStyle w:val="7"/>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8"/>
        <w:tblpPr w:leftFromText="181" w:rightFromText="181" w:vertAnchor="page" w:horzAnchor="page" w:tblpX="1417" w:tblpY="13507"/>
        <w:tblOverlap w:val="never"/>
        <w:tblW w:w="8863" w:type="dxa"/>
        <w:tblInd w:w="0" w:type="dxa"/>
        <w:tblBorders>
          <w:top w:val="single" w:color="auto"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14"/>
        <w:gridCol w:w="4106"/>
        <w:gridCol w:w="3543"/>
      </w:tblGrid>
      <w:tr w14:paraId="3DBC6739">
        <w:tblPrEx>
          <w:tblBorders>
            <w:top w:val="single" w:color="auto" w:sz="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214" w:type="dxa"/>
            <w:tcBorders>
              <w:top w:val="nil"/>
              <w:bottom w:val="single" w:color="auto" w:sz="6" w:space="0"/>
            </w:tcBorders>
            <w:noWrap w:val="0"/>
            <w:tcMar>
              <w:top w:w="0" w:type="dxa"/>
              <w:left w:w="0" w:type="dxa"/>
              <w:bottom w:w="0" w:type="dxa"/>
              <w:right w:w="0" w:type="dxa"/>
            </w:tcMar>
            <w:vAlign w:val="top"/>
          </w:tcPr>
          <w:p w14:paraId="17EC5A5B">
            <w:pPr>
              <w:keepNext w:val="0"/>
              <w:keepLines w:val="0"/>
              <w:pageBreakBefore w:val="0"/>
              <w:widowControl w:val="0"/>
              <w:kinsoku/>
              <w:overflowPunct/>
              <w:topLinePunct w:val="0"/>
              <w:autoSpaceDE/>
              <w:autoSpaceDN w:val="0"/>
              <w:bidi w:val="0"/>
              <w:spacing w:line="240" w:lineRule="auto"/>
              <w:ind w:firstLine="280" w:firstLineChars="100"/>
              <w:jc w:val="right"/>
              <w:textAlignment w:val="auto"/>
              <w:outlineLvl w:val="9"/>
              <w:rPr>
                <w:rFonts w:hint="eastAsia" w:ascii="仿宋_GB2312" w:hAnsi="仿宋_GB2312" w:eastAsia="仿宋_GB2312" w:cs="仿宋_GB2312"/>
                <w:sz w:val="28"/>
                <w:szCs w:val="28"/>
                <w:lang w:val="en-US" w:eastAsia="zh-CN"/>
              </w:rPr>
            </w:pPr>
          </w:p>
        </w:tc>
        <w:tc>
          <w:tcPr>
            <w:tcW w:w="7649" w:type="dxa"/>
            <w:gridSpan w:val="2"/>
            <w:tcBorders>
              <w:top w:val="nil"/>
              <w:bottom w:val="single" w:color="auto" w:sz="6" w:space="0"/>
            </w:tcBorders>
            <w:noWrap w:val="0"/>
            <w:tcMar>
              <w:top w:w="0" w:type="dxa"/>
              <w:left w:w="0" w:type="dxa"/>
              <w:bottom w:w="0" w:type="dxa"/>
              <w:right w:w="113" w:type="dxa"/>
            </w:tcMar>
            <w:vAlign w:val="top"/>
          </w:tcPr>
          <w:p w14:paraId="219083E0">
            <w:pPr>
              <w:keepNext w:val="0"/>
              <w:keepLines w:val="0"/>
              <w:pageBreakBefore w:val="0"/>
              <w:widowControl w:val="0"/>
              <w:kinsoku/>
              <w:overflowPunct/>
              <w:topLinePunct w:val="0"/>
              <w:autoSpaceDE/>
              <w:autoSpaceDN w:val="0"/>
              <w:bidi w:val="0"/>
              <w:spacing w:line="240" w:lineRule="auto"/>
              <w:ind w:right="210" w:rightChars="100"/>
              <w:jc w:val="both"/>
              <w:textAlignment w:val="auto"/>
              <w:outlineLvl w:val="9"/>
              <w:rPr>
                <w:rFonts w:hint="eastAsia" w:ascii="仿宋_GB2312" w:hAnsi="仿宋_GB2312" w:eastAsia="仿宋_GB2312" w:cs="仿宋_GB2312"/>
                <w:sz w:val="28"/>
                <w:szCs w:val="28"/>
                <w:lang w:eastAsia="zh-CN"/>
              </w:rPr>
            </w:pPr>
            <mc:AlternateContent>
              <mc:Choice Requires="wpsCustomData">
                <wpsCustomData:docfieldStart id="6" docfieldname="抄送机关" hidden="0" print="1" readonly="0" index="21"/>
              </mc:Choice>
            </mc:AlternateContent>
            <mc:AlternateContent>
              <mc:Choice Requires="wpsCustomData">
                <wpsCustomData:docfieldEnd id="6"/>
              </mc:Choice>
            </mc:AlternateContent>
          </w:p>
        </w:tc>
      </w:tr>
      <w:tr w14:paraId="0A189BB2">
        <w:tblPrEx>
          <w:tblBorders>
            <w:top w:val="single" w:color="auto" w:sz="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5320" w:type="dxa"/>
            <w:gridSpan w:val="2"/>
            <w:tcBorders>
              <w:top w:val="single" w:color="auto" w:sz="6" w:space="0"/>
              <w:bottom w:val="single" w:color="auto" w:sz="8" w:space="0"/>
            </w:tcBorders>
            <w:noWrap w:val="0"/>
            <w:tcMar>
              <w:right w:w="113" w:type="dxa"/>
            </w:tcMar>
            <w:vAlign w:val="center"/>
          </w:tcPr>
          <w:p w14:paraId="289B818D">
            <w:pPr>
              <w:keepNext w:val="0"/>
              <w:keepLines w:val="0"/>
              <w:pageBreakBefore w:val="0"/>
              <w:widowControl w:val="0"/>
              <w:kinsoku/>
              <w:overflowPunct/>
              <w:topLinePunct w:val="0"/>
              <w:autoSpaceDE/>
              <w:autoSpaceDN w:val="0"/>
              <w:bidi w:val="0"/>
              <w:spacing w:line="240" w:lineRule="auto"/>
              <w:ind w:left="210" w:leftChars="100"/>
              <w:jc w:val="left"/>
              <w:textAlignment w:val="auto"/>
              <w:outlineLvl w:val="9"/>
              <w:rPr>
                <w:rFonts w:hint="eastAsia" w:ascii="仿宋_GB2312" w:hAnsi="仿宋_GB2312" w:eastAsia="仿宋_GB2312" w:cs="仿宋_GB2312"/>
                <w:sz w:val="28"/>
                <w:szCs w:val="28"/>
              </w:rPr>
            </w:pPr>
            <mc:AlternateContent>
              <mc:Choice Requires="wpsCustomData">
                <wpsCustomData:docfieldStart id="7" docfieldname="印发机关" hidden="0" print="1" readonly="0" index="18"/>
              </mc:Choice>
            </mc:AlternateContent>
            <w:r>
              <w:rPr>
                <w:rFonts w:hint="eastAsia" w:eastAsia="仿宋_GB2312"/>
                <w:sz w:val="28"/>
                <w:szCs w:val="28"/>
                <w:lang w:eastAsia="zh-CN"/>
              </w:rPr>
              <w:t>建宁县</w:t>
            </w:r>
            <w:r>
              <w:rPr>
                <w:rFonts w:hint="eastAsia" w:eastAsia="仿宋_GB2312"/>
                <w:sz w:val="28"/>
                <w:szCs w:val="28"/>
              </w:rPr>
              <w:t>市场监督管理局办公室</w:t>
            </w:r>
            <mc:AlternateContent>
              <mc:Choice Requires="wpsCustomData">
                <wpsCustomData:docfieldEnd id="7"/>
              </mc:Choice>
            </mc:AlternateContent>
          </w:p>
        </w:tc>
        <w:tc>
          <w:tcPr>
            <w:tcW w:w="3543" w:type="dxa"/>
            <w:tcBorders>
              <w:top w:val="single" w:color="auto" w:sz="6" w:space="0"/>
              <w:bottom w:val="single" w:color="auto" w:sz="8" w:space="0"/>
            </w:tcBorders>
            <w:noWrap w:val="0"/>
            <w:tcMar>
              <w:right w:w="113" w:type="dxa"/>
            </w:tcMar>
            <w:vAlign w:val="center"/>
          </w:tcPr>
          <w:p w14:paraId="621FDECB">
            <w:pPr>
              <w:keepNext w:val="0"/>
              <w:keepLines w:val="0"/>
              <w:pageBreakBefore w:val="0"/>
              <w:widowControl w:val="0"/>
              <w:kinsoku/>
              <w:overflowPunct/>
              <w:topLinePunct w:val="0"/>
              <w:autoSpaceDE/>
              <w:autoSpaceDN w:val="0"/>
              <w:bidi w:val="0"/>
              <w:spacing w:line="240" w:lineRule="auto"/>
              <w:ind w:right="210" w:rightChars="100"/>
              <w:jc w:val="right"/>
              <w:textAlignment w:val="auto"/>
              <w:outlineLvl w:val="9"/>
              <w:rPr>
                <w:rFonts w:hint="eastAsia" w:ascii="仿宋_GB2312" w:hAnsi="仿宋_GB2312" w:eastAsia="仿宋_GB2312" w:cs="仿宋_GB2312"/>
                <w:sz w:val="28"/>
                <w:szCs w:val="28"/>
              </w:rPr>
            </w:pPr>
            <mc:AlternateContent>
              <mc:Choice Requires="wpsCustomData">
                <wpsCustomData:docfieldStart id="8" docfieldname="印发日期" hidden="0" print="1" readonly="0" index="19"/>
              </mc:Choice>
            </mc:AlternateContent>
            <w:r>
              <w:rPr>
                <w:rFonts w:hint="eastAsia" w:ascii="仿宋_GB2312" w:hAnsi="仿宋_GB2312" w:cs="仿宋_GB2312"/>
                <w:sz w:val="28"/>
                <w:szCs w:val="28"/>
                <w:lang w:eastAsia="zh-CN"/>
              </w:rPr>
              <w:t>202</w:t>
            </w:r>
            <w:r>
              <w:rPr>
                <w:rFonts w:hint="eastAsia" w:ascii="仿宋_GB2312" w:hAnsi="仿宋_GB2312" w:cs="仿宋_GB2312"/>
                <w:sz w:val="28"/>
                <w:szCs w:val="28"/>
                <w:lang w:val="en-US" w:eastAsia="zh-CN"/>
              </w:rPr>
              <w:t>6</w:t>
            </w:r>
            <w:r>
              <w:rPr>
                <w:rFonts w:hint="eastAsia" w:ascii="仿宋_GB2312" w:hAnsi="仿宋_GB2312" w:cs="仿宋_GB2312"/>
                <w:sz w:val="28"/>
                <w:szCs w:val="28"/>
                <w:lang w:eastAsia="zh-CN"/>
              </w:rPr>
              <w:t>年</w:t>
            </w:r>
            <w:r>
              <w:rPr>
                <w:rFonts w:hint="eastAsia" w:ascii="仿宋_GB2312" w:hAnsi="仿宋_GB2312" w:cs="仿宋_GB2312"/>
                <w:sz w:val="28"/>
                <w:szCs w:val="28"/>
                <w:lang w:val="en-US" w:eastAsia="zh-CN"/>
              </w:rPr>
              <w:t>9</w:t>
            </w:r>
            <w:r>
              <w:rPr>
                <w:rFonts w:hint="eastAsia" w:ascii="仿宋_GB2312" w:hAnsi="仿宋_GB2312" w:cs="仿宋_GB2312"/>
                <w:sz w:val="28"/>
                <w:szCs w:val="28"/>
                <w:lang w:eastAsia="zh-CN"/>
              </w:rPr>
              <w:t>月</w:t>
            </w:r>
            <w:r>
              <w:rPr>
                <w:rFonts w:hint="eastAsia" w:ascii="仿宋_GB2312" w:hAnsi="仿宋_GB2312" w:cs="仿宋_GB2312"/>
                <w:sz w:val="28"/>
                <w:szCs w:val="28"/>
                <w:lang w:val="en-US" w:eastAsia="zh-CN"/>
              </w:rPr>
              <w:t>15</w:t>
            </w:r>
            <w:r>
              <w:rPr>
                <w:rFonts w:hint="eastAsia" w:ascii="仿宋_GB2312" w:hAnsi="仿宋_GB2312" w:cs="仿宋_GB2312"/>
                <w:sz w:val="28"/>
                <w:szCs w:val="28"/>
                <w:lang w:eastAsia="zh-CN"/>
              </w:rPr>
              <w:t>日</w:t>
            </w:r>
            <mc:AlternateContent>
              <mc:Choice Requires="wpsCustomData">
                <wpsCustomData:docfieldEnd id="8"/>
              </mc:Choice>
            </mc:AlternateContent>
            <w:r>
              <w:rPr>
                <w:rFonts w:hint="eastAsia" w:ascii="仿宋_GB2312" w:hAnsi="仿宋_GB2312" w:eastAsia="仿宋_GB2312" w:cs="仿宋_GB2312"/>
                <w:sz w:val="28"/>
                <w:szCs w:val="28"/>
              </w:rPr>
              <w:t>印发</w:t>
            </w:r>
          </w:p>
        </w:tc>
      </w:tr>
      <w:tr w14:paraId="13BB451B">
        <w:tblPrEx>
          <w:tblBorders>
            <w:top w:val="single" w:color="auto" w:sz="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exact"/>
        </w:trPr>
        <w:tc>
          <w:tcPr>
            <w:tcW w:w="5320" w:type="dxa"/>
            <w:gridSpan w:val="2"/>
            <w:tcBorders>
              <w:top w:val="single" w:color="auto" w:sz="8" w:space="0"/>
            </w:tcBorders>
            <w:noWrap w:val="0"/>
            <w:tcMar>
              <w:right w:w="113" w:type="dxa"/>
            </w:tcMar>
            <w:vAlign w:val="top"/>
          </w:tcPr>
          <w:p w14:paraId="6DFECBD9">
            <w:pPr>
              <w:keepNext w:val="0"/>
              <w:keepLines w:val="0"/>
              <w:pageBreakBefore w:val="0"/>
              <w:widowControl w:val="0"/>
              <w:kinsoku/>
              <w:overflowPunct/>
              <w:topLinePunct w:val="0"/>
              <w:autoSpaceDE/>
              <w:autoSpaceDN w:val="0"/>
              <w:bidi w:val="0"/>
              <w:spacing w:line="240" w:lineRule="auto"/>
              <w:jc w:val="left"/>
              <w:textAlignment w:val="auto"/>
              <w:outlineLvl w:val="9"/>
              <w:rPr>
                <w:rFonts w:hint="eastAsia" w:ascii="仿宋" w:hAnsi="仿宋" w:eastAsia="仿宋" w:cs="仿宋"/>
                <w:sz w:val="28"/>
                <w:szCs w:val="28"/>
              </w:rPr>
            </w:pPr>
          </w:p>
        </w:tc>
        <w:tc>
          <w:tcPr>
            <w:tcW w:w="3543" w:type="dxa"/>
            <w:tcBorders>
              <w:top w:val="single" w:color="auto" w:sz="8" w:space="0"/>
            </w:tcBorders>
            <w:noWrap w:val="0"/>
            <w:tcMar>
              <w:right w:w="113" w:type="dxa"/>
            </w:tcMar>
            <w:vAlign w:val="top"/>
          </w:tcPr>
          <w:p w14:paraId="43F8B02A">
            <w:pPr>
              <w:keepNext w:val="0"/>
              <w:keepLines w:val="0"/>
              <w:pageBreakBefore w:val="0"/>
              <w:widowControl w:val="0"/>
              <w:kinsoku/>
              <w:overflowPunct/>
              <w:topLinePunct w:val="0"/>
              <w:autoSpaceDE/>
              <w:autoSpaceDN w:val="0"/>
              <w:bidi w:val="0"/>
              <w:spacing w:line="240" w:lineRule="auto"/>
              <w:ind w:right="210" w:rightChars="100"/>
              <w:jc w:val="right"/>
              <w:textAlignment w:val="auto"/>
              <w:outlineLvl w:val="9"/>
              <w:rPr>
                <w:rFonts w:hint="eastAsia" w:ascii="仿宋" w:hAnsi="仿宋" w:eastAsia="仿宋" w:cs="仿宋"/>
                <w:sz w:val="28"/>
                <w:szCs w:val="28"/>
              </w:rPr>
            </w:pPr>
          </w:p>
        </w:tc>
      </w:tr>
    </w:tbl>
    <w:p w14:paraId="4692A4D5">
      <w:pPr>
        <w:pStyle w:val="7"/>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sectPr>
      <w:footerReference r:id="rId4" w:type="default"/>
      <w:pgSz w:w="11906" w:h="16838"/>
      <w:pgMar w:top="1417" w:right="1417" w:bottom="1417"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236B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F8829A">
                          <w:pPr>
                            <w:pStyle w:val="4"/>
                            <w:rPr>
                              <w:rFonts w:hint="eastAsia" w:asciiTheme="majorEastAsia" w:hAnsiTheme="majorEastAsia" w:eastAsiaTheme="majorEastAsia" w:cstheme="majorEastAsia"/>
                              <w:sz w:val="28"/>
                              <w:szCs w:val="32"/>
                            </w:rPr>
                          </w:pPr>
                          <w:r>
                            <w:rPr>
                              <w:rFonts w:hint="eastAsia" w:asciiTheme="majorEastAsia" w:hAnsiTheme="majorEastAsia" w:eastAsiaTheme="majorEastAsia" w:cstheme="majorEastAsia"/>
                              <w:sz w:val="28"/>
                              <w:szCs w:val="32"/>
                            </w:rPr>
                            <w:t xml:space="preserve">— </w:t>
                          </w:r>
                          <w:r>
                            <w:rPr>
                              <w:rFonts w:hint="eastAsia" w:asciiTheme="majorEastAsia" w:hAnsiTheme="majorEastAsia" w:eastAsiaTheme="majorEastAsia" w:cstheme="majorEastAsia"/>
                              <w:sz w:val="28"/>
                              <w:szCs w:val="32"/>
                            </w:rPr>
                            <w:fldChar w:fldCharType="begin"/>
                          </w:r>
                          <w:r>
                            <w:rPr>
                              <w:rFonts w:hint="eastAsia" w:asciiTheme="majorEastAsia" w:hAnsiTheme="majorEastAsia" w:eastAsiaTheme="majorEastAsia" w:cstheme="majorEastAsia"/>
                              <w:sz w:val="28"/>
                              <w:szCs w:val="32"/>
                            </w:rPr>
                            <w:instrText xml:space="preserve"> PAGE  \* MERGEFORMAT </w:instrText>
                          </w:r>
                          <w:r>
                            <w:rPr>
                              <w:rFonts w:hint="eastAsia" w:asciiTheme="majorEastAsia" w:hAnsiTheme="majorEastAsia" w:eastAsiaTheme="majorEastAsia" w:cstheme="majorEastAsia"/>
                              <w:sz w:val="28"/>
                              <w:szCs w:val="32"/>
                            </w:rPr>
                            <w:fldChar w:fldCharType="separate"/>
                          </w:r>
                          <w:r>
                            <w:rPr>
                              <w:rFonts w:hint="eastAsia" w:asciiTheme="majorEastAsia" w:hAnsiTheme="majorEastAsia" w:eastAsiaTheme="majorEastAsia" w:cstheme="majorEastAsia"/>
                              <w:sz w:val="28"/>
                              <w:szCs w:val="32"/>
                            </w:rPr>
                            <w:t>1</w:t>
                          </w:r>
                          <w:r>
                            <w:rPr>
                              <w:rFonts w:hint="eastAsia" w:asciiTheme="majorEastAsia" w:hAnsiTheme="majorEastAsia" w:eastAsiaTheme="majorEastAsia" w:cstheme="majorEastAsia"/>
                              <w:sz w:val="28"/>
                              <w:szCs w:val="32"/>
                            </w:rPr>
                            <w:fldChar w:fldCharType="end"/>
                          </w:r>
                          <w:r>
                            <w:rPr>
                              <w:rFonts w:hint="eastAsia" w:asciiTheme="majorEastAsia" w:hAnsiTheme="majorEastAsia" w:eastAsiaTheme="majorEastAsia" w:cstheme="majorEastAsia"/>
                              <w:sz w:val="28"/>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6F8829A">
                    <w:pPr>
                      <w:pStyle w:val="4"/>
                      <w:rPr>
                        <w:rFonts w:hint="eastAsia" w:asciiTheme="majorEastAsia" w:hAnsiTheme="majorEastAsia" w:eastAsiaTheme="majorEastAsia" w:cstheme="majorEastAsia"/>
                        <w:sz w:val="28"/>
                        <w:szCs w:val="32"/>
                      </w:rPr>
                    </w:pPr>
                    <w:r>
                      <w:rPr>
                        <w:rFonts w:hint="eastAsia" w:asciiTheme="majorEastAsia" w:hAnsiTheme="majorEastAsia" w:eastAsiaTheme="majorEastAsia" w:cstheme="majorEastAsia"/>
                        <w:sz w:val="28"/>
                        <w:szCs w:val="32"/>
                      </w:rPr>
                      <w:t xml:space="preserve">— </w:t>
                    </w:r>
                    <w:r>
                      <w:rPr>
                        <w:rFonts w:hint="eastAsia" w:asciiTheme="majorEastAsia" w:hAnsiTheme="majorEastAsia" w:eastAsiaTheme="majorEastAsia" w:cstheme="majorEastAsia"/>
                        <w:sz w:val="28"/>
                        <w:szCs w:val="32"/>
                      </w:rPr>
                      <w:fldChar w:fldCharType="begin"/>
                    </w:r>
                    <w:r>
                      <w:rPr>
                        <w:rFonts w:hint="eastAsia" w:asciiTheme="majorEastAsia" w:hAnsiTheme="majorEastAsia" w:eastAsiaTheme="majorEastAsia" w:cstheme="majorEastAsia"/>
                        <w:sz w:val="28"/>
                        <w:szCs w:val="32"/>
                      </w:rPr>
                      <w:instrText xml:space="preserve"> PAGE  \* MERGEFORMAT </w:instrText>
                    </w:r>
                    <w:r>
                      <w:rPr>
                        <w:rFonts w:hint="eastAsia" w:asciiTheme="majorEastAsia" w:hAnsiTheme="majorEastAsia" w:eastAsiaTheme="majorEastAsia" w:cstheme="majorEastAsia"/>
                        <w:sz w:val="28"/>
                        <w:szCs w:val="32"/>
                      </w:rPr>
                      <w:fldChar w:fldCharType="separate"/>
                    </w:r>
                    <w:r>
                      <w:rPr>
                        <w:rFonts w:hint="eastAsia" w:asciiTheme="majorEastAsia" w:hAnsiTheme="majorEastAsia" w:eastAsiaTheme="majorEastAsia" w:cstheme="majorEastAsia"/>
                        <w:sz w:val="28"/>
                        <w:szCs w:val="32"/>
                      </w:rPr>
                      <w:t>1</w:t>
                    </w:r>
                    <w:r>
                      <w:rPr>
                        <w:rFonts w:hint="eastAsia" w:asciiTheme="majorEastAsia" w:hAnsiTheme="majorEastAsia" w:eastAsiaTheme="majorEastAsia" w:cstheme="majorEastAsia"/>
                        <w:sz w:val="28"/>
                        <w:szCs w:val="32"/>
                      </w:rPr>
                      <w:fldChar w:fldCharType="end"/>
                    </w:r>
                    <w:r>
                      <w:rPr>
                        <w:rFonts w:hint="eastAsia" w:asciiTheme="majorEastAsia" w:hAnsiTheme="majorEastAsia" w:eastAsiaTheme="majorEastAsia" w:cstheme="majorEastAsia"/>
                        <w:sz w:val="28"/>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4FF4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6CA9B3">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6CA9B3">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C5F94"/>
    <w:rsid w:val="04F55B30"/>
    <w:rsid w:val="090457F9"/>
    <w:rsid w:val="0A444601"/>
    <w:rsid w:val="11A61980"/>
    <w:rsid w:val="14E96DA7"/>
    <w:rsid w:val="153320AA"/>
    <w:rsid w:val="18E100AB"/>
    <w:rsid w:val="1A3A2313"/>
    <w:rsid w:val="1DBE2B2E"/>
    <w:rsid w:val="20191E9C"/>
    <w:rsid w:val="20827432"/>
    <w:rsid w:val="27F0489F"/>
    <w:rsid w:val="29E51041"/>
    <w:rsid w:val="2E975000"/>
    <w:rsid w:val="2EE6487F"/>
    <w:rsid w:val="2F6649D2"/>
    <w:rsid w:val="2F9BB46C"/>
    <w:rsid w:val="31223B3B"/>
    <w:rsid w:val="38525325"/>
    <w:rsid w:val="3DFFBE2B"/>
    <w:rsid w:val="3E5A3954"/>
    <w:rsid w:val="3F9F65CC"/>
    <w:rsid w:val="41CF3F24"/>
    <w:rsid w:val="46B5189B"/>
    <w:rsid w:val="4FD706A9"/>
    <w:rsid w:val="511856D5"/>
    <w:rsid w:val="54C53DC5"/>
    <w:rsid w:val="55F760BD"/>
    <w:rsid w:val="595AFA69"/>
    <w:rsid w:val="597D016E"/>
    <w:rsid w:val="5EF7EDF3"/>
    <w:rsid w:val="5FEF9EAB"/>
    <w:rsid w:val="61E433B1"/>
    <w:rsid w:val="68CD4B9F"/>
    <w:rsid w:val="6CE72C81"/>
    <w:rsid w:val="6D28753F"/>
    <w:rsid w:val="704C0A9F"/>
    <w:rsid w:val="72AB6650"/>
    <w:rsid w:val="74053B96"/>
    <w:rsid w:val="752048CF"/>
    <w:rsid w:val="75BF3AC1"/>
    <w:rsid w:val="77BFE065"/>
    <w:rsid w:val="77FFBC55"/>
    <w:rsid w:val="79D55FA9"/>
    <w:rsid w:val="7B3F02C9"/>
    <w:rsid w:val="7B7EB70B"/>
    <w:rsid w:val="7B93965B"/>
    <w:rsid w:val="7D827B0C"/>
    <w:rsid w:val="7ED25FDF"/>
    <w:rsid w:val="7EFFB069"/>
    <w:rsid w:val="7FF97E2B"/>
    <w:rsid w:val="7FFCFF5D"/>
    <w:rsid w:val="8FE5BCA7"/>
    <w:rsid w:val="9B7F0BD2"/>
    <w:rsid w:val="DDEE020F"/>
    <w:rsid w:val="ED7D6D93"/>
    <w:rsid w:val="F1734F89"/>
    <w:rsid w:val="F7CED0AB"/>
    <w:rsid w:val="FB3FA77E"/>
    <w:rsid w:val="FBFB7097"/>
    <w:rsid w:val="FF5D9237"/>
    <w:rsid w:val="FFB9BF7B"/>
    <w:rsid w:val="FFF9C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2"/>
    <w:unhideWhenUsed/>
    <w:qFormat/>
    <w:uiPriority w:val="99"/>
    <w:pPr>
      <w:spacing w:after="0"/>
      <w:ind w:left="0" w:leftChars="0" w:firstLine="420" w:firstLineChars="200"/>
    </w:pPr>
    <w:rPr>
      <w:kern w:val="0"/>
      <w:szCs w:val="24"/>
    </w:rPr>
  </w:style>
  <w:style w:type="character" w:styleId="10">
    <w:name w:val="Strong"/>
    <w:basedOn w:val="9"/>
    <w:qFormat/>
    <w:uiPriority w:val="0"/>
    <w:rPr>
      <w:b/>
    </w:rPr>
  </w:style>
  <w:style w:type="paragraph" w:customStyle="1" w:styleId="11">
    <w:name w:val="公文正文"/>
    <w:basedOn w:val="1"/>
    <w:qFormat/>
    <w:uiPriority w:val="0"/>
    <w:rPr>
      <w:rFonts w:eastAsia="仿宋_GB2312"/>
      <w:sz w:val="32"/>
      <w:szCs w:val="30"/>
    </w:rPr>
  </w:style>
  <w:style w:type="character" w:customStyle="1" w:styleId="12">
    <w:name w:val="样式 仿宋_GB2312"/>
    <w:basedOn w:val="9"/>
    <w:qFormat/>
    <w:uiPriority w:val="0"/>
    <w:rPr>
      <w:rFonts w:ascii="仿宋_GB2312" w:hAnsi="仿宋_GB2312" w:eastAsia="仿宋_GB2312" w:cs="Times New Roman"/>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9188c5-7b69-4c40-bc1e-82df0f6451ee}">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4406</Words>
  <Characters>4428</Characters>
  <Lines>0</Lines>
  <Paragraphs>0</Paragraphs>
  <TotalTime>2</TotalTime>
  <ScaleCrop>false</ScaleCrop>
  <LinksUpToDate>false</LinksUpToDate>
  <CharactersWithSpaces>4658</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2026-04-19T08:37:00Z</dcterms:created>
  <dc:creator>Administrator</dc:creator>
  <cp:lastModifiedBy>greatwall</cp:lastModifiedBy>
  <dcterms:modified xsi:type="dcterms:W3CDTF">2026-09-15T10:40:17Z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KSOTemplateDocerSaveRecord">
    <vt:lpwstr>eyJoZGlkIjoiMDZmNWYxZDNiNGE3OGEzNTYyYjFiZmI2MWRiMGMwZTEiLCJ1c2VySWQiOiIyMDgxNzM2MTkifQ==</vt:lpwstr>
  </property>
  <property fmtid="{D5CDD505-2E9C-101B-9397-08002B2CF9AE}" pid="4" name="ICV">
    <vt:lpwstr>CD1EE6CE5B9CA07611B0A86AB90C36E5_43</vt:lpwstr>
  </property>
</Properties>
</file>